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https://www.agcm.it/dotcmsdoc/bollettini/2021/46-21.pdf</w:t>
      </w:r>
    </w:p>
    <w:p>
      <w:r>
        <w:t>Pages translated : 78</w:t>
      </w:r>
    </w:p>
    <w:p/>
    <w:p>
      <w:r>
        <w:rPr>
          <w:b/>
        </w:rPr>
        <w:t>[Pages 1–3]</w:t>
      </w:r>
    </w:p>
    <w:p>
      <w:r>
        <w:t>Bulletin</w:t>
        <w:br/>
        <w:t>Weekly</w:t>
        <w:br/>
        <w:t>Year XXXI - No. 46</w:t>
        <w:br/>
        <w:t>Published on the website www.agcm.it</w:t>
        <w:br/>
        <w:t>November 22, 2021</w:t>
      </w:r>
    </w:p>
    <w:p>
      <w:r>
        <w:t>SUMMARY</w:t>
        <w:br/>
        <w:t>AGREEMENTS AND ABUSE OF DOMINANT POSITION 5</w:t>
        <w:br/>
        <w:t>A545 - POLIECO CONSORTIUM/ANTICOMPETITIVE CONDUCT</w:t>
        <w:br/>
        <w:t>Measure No. 29873 5</w:t>
        <w:br/>
        <w:t>A547 - WIND TRE CONDUCTS TO THE DETRIMENT OF RESELLERS</w:t>
        <w:br/>
        <w:t>Measure No. 29874 6</w:t>
        <w:br/>
        <w:t>CONCENTRATION OPERATIONS 13</w:t>
        <w:br/>
        <w:t>C12410 - CINVEN CAPITAL MANAGEMENT-FRESSNAPF BETEILIGUNGS/AGRIFARMA - MAXI</w:t>
        <w:br/>
        <w:t>ZOO ITALIA</w:t>
        <w:br/>
        <w:t>Measure No. 29886 13</w:t>
        <w:br/>
        <w:t>REPORTING AND CONSULTATIVE ACTIVITIES 28</w:t>
        <w:br/>
        <w:t>AS1801 - CALABRIA REGION - EXTENSION OF MARITIME STATE CONCESSIONS FOR TOURIST-RECREATIONAL PURPOSES 28</w:t>
        <w:br/>
        <w:t>UNFAIR COMMERCIAL PRACTICES 32</w:t>
        <w:br/>
        <w:t>PS11919 - COMUNICA ITALIA-APP IT ALERT</w:t>
        <w:br/>
        <w:t>Measure No. 29879 32</w:t>
        <w:br/>
        <w:t>PS11930 - GRIMALDI LINES-CANCELLATION INSURANCE</w:t>
        <w:br/>
        <w:t>Measure No. 29880 43</w:t>
        <w:br/>
        <w:t>PS11996 - BRAVONEXT - LASTMINUTE.COM - VOLAGRATIS.COM/REFUND MANAGEMENT</w:t>
        <w:br/>
        <w:t>COVID19 EMERGENCY</w:t>
        <w:br/>
        <w:t>Measure No. 29882 55</w:t>
        <w:br/>
        <w:t>PS12018 - FINECO-BALANCES OVER 100,000 EUROS</w:t>
        <w:br/>
        <w:t>Measure No. 29885 65</w:t>
        <w:br/>
        <w:t>PS12185 – NUTRISCORE - DUKAN</w:t>
        <w:br/>
        <w:t>Notice of initiation of investigative proceedings 74</w:t>
      </w:r>
    </w:p>
    <w:p>
      <w:r>
        <w:t>BULLETIN NO. 46 OF NOVEMBER 22, 2021 5</w:t>
        <w:br/>
        <w:t>AGREEMENTS AND ABUSE OF DOMINANT POSITION</w:t>
        <w:br/>
        <w:t>A545 - POLIECO CONSORTIUM/ANTICOMPETITIVE CONDUCT</w:t>
        <w:br/>
        <w:t>Measure No. 29873</w:t>
        <w:br/>
        <w:t>THE COMPETITION AND MARKET AUTHORITY</w:t>
        <w:br/>
        <w:t>IN ITS MEETING of November 4, 2021;</w:t>
        <w:br/>
        <w:t>HEARD the Rapporteur Professor Michele Ainis;</w:t>
        <w:br/>
        <w:t>HAVING REGARD TO Article 102 of the Treaty on the Functioning of the European Union (TFEU);</w:t>
        <w:br/>
        <w:t>HAVING REGARD TO Regulation No. 1/2003 of the European Council of December 16, 2002, concerning the application of the competition rules laid down in Articles 81 and 82 of the Treaty establishing the European Community (now Articles 101 and 102 TFEU);</w:t>
        <w:br/>
        <w:t>HAVING REGARD TO Law No. 287 of October 10, 1990, and subsequent amendments;</w:t>
        <w:br/>
        <w:t>HAVING REGARD TO the Presidential Decree No. 217 of April 30, 1998;</w:t>
        <w:br/>
        <w:t>HAVING REGARD TO its resolution of August 31, 2021, by which an investigation was initiated, pursuant to Article 14 of Law No. 287/90, against POLIECO "Consortium for the recycling of polyethylene waste," to ascertain the existence of possible violations of Article 102 of the TFEU;</w:t>
        <w:br/>
        <w:t>HAVING REGARD TO the documents of the proceedings;</w:t>
        <w:br/>
        <w:t>CONSIDERING it necessary to replace the person responsible for the proceedings due to subsequent organizational needs;</w:t>
        <w:br/>
        <w:t>RESOLVES</w:t>
        <w:br/>
        <w:t>to replace Dr. Claudia Caruso with Dr. Vittoria Tesei as the person responsible for the proceedings.</w:t>
        <w:br/>
        <w:t>This measure will be notified to the interested parties and published in the bulletin of the Competition and Market Authority.</w:t>
        <w:br/>
        <w:t>THE SECRETARY GENERAL THE PRESIDENT</w:t>
        <w:br/>
        <w:t>Filippo Arena Roberto Rustichelli</w:t>
      </w:r>
    </w:p>
    <w:p>
      <w:r>
        <w:rPr>
          <w:b/>
        </w:rPr>
        <w:t>[Pages 4–6]</w:t>
      </w:r>
    </w:p>
    <w:p>
      <w:r>
        <w:t>6 BULLETIN NO. 46 OF NOVEMBER 22, 2021</w:t>
        <w:br/>
        <w:t>A547 - CONDUCTS OF WIND TRE TO THE DETRIMENT OF RESELLERS</w:t>
        <w:br/>
        <w:t>Measure No. 29874</w:t>
        <w:br/>
        <w:t>THE COMPETITION AND MARKET AUTHORITY</w:t>
        <w:br/>
        <w:t>IN ITS MEETING of 4 November 2021;</w:t>
        <w:br/>
        <w:t>HEARD the Rapporteur, President Roberto Rustichelli;</w:t>
        <w:br/>
        <w:t>HAVING REGARD TO Law No. 287 of 10 October 1990;</w:t>
        <w:br/>
        <w:t>HAVING REGARD TO Law No. 192 of 18 June 1998, and in particular, Article 9;</w:t>
        <w:br/>
        <w:t>HAVING REGARD TO Presidential Decree No. 217 of 30 April 1998;</w:t>
        <w:br/>
        <w:t>HAVING REGARD TO the report received on 16 December 2019, regarding the commercial collaboration contracts, now terminated, entered into by the complainant with the then company H3G S.p.A., which subsequently merged, effective from 31 December 2016, into Wind Tre S.p.A.;</w:t>
        <w:br/>
        <w:t>HAVING REGARD TO the subsequent information received from the complainant on 17 November 2020, as well as on 13, 14, and 22 July, and on 6 August and 8 October 2021;</w:t>
        <w:br/>
        <w:t>HAVING REGARD TO the documents of the proceedings;</w:t>
        <w:br/>
        <w:t>CONSIDERING the following:</w:t>
        <w:br/>
        <w:t>I. THE PARTIES</w:t>
        <w:br/>
        <w:t>1. Wind Tre S.p.A. (hereinafter, "Wind Tre") is a telecommunications company controlled by the international group CK Hutchison Holdings Limited through the company Wind Tre Italia S.p.A. Wind Tre is active in the provision of telecommunications services on fixed networks and owns a mobile telecommunications network and, as of 31 December 2016, has incorporated the operator H3G 1.</w:t>
        <w:br/>
        <w:t>2. The complainant is a family-controlled company whose reference shareholders have managed, for many years, also through other companies, several retail outlets in Lazio, as authorized resellers first of H3G and, after the aforementioned merger, with Wind Tre2. The complaint therefore refers to the various companies, each a counterparty to a commercial collaboration contract with the then H3G. Since 2015, the commercial relationships with the telephone operator have been transferred to the complainant, which became operational from July 20153; therefore, hereinafter the term "Complainant" refers indiscriminately to each and/or all of these companies, as resellers first of H3G and currently of Wind Tre. The Complainant, following the withdrawal of Wind Tre that occurred in the early months of 2018, is no longer a reseller of the telecommunications group.</w:t>
        <w:br/>
        <w:t>1 See the Commission decision of 1 September 2016 regarding case M7758 – HUTCHISON 3G ITALY/WIND/JV.</w:t>
        <w:br/>
        <w:t>2 Doc. 1, Complainant, Report received on 16 December 2019, Annex 1, containing the communication from Wind Tre, dated 2 January 2017, regarding the merger and the consequent assumption of Wind Tre in the contractual relationships previously existing with H3G.</w:t>
        <w:br/>
        <w:t>3 Complainant, Information received on 22 July 2021.</w:t>
      </w:r>
    </w:p>
    <w:p>
      <w:r>
        <w:t>BULLETIN NO. 46 OF NOVEMBER 22, 2021 7</w:t>
        <w:br/>
        <w:t>II. THE REPORTED FACTS</w:t>
        <w:br/>
        <w:t>3. In the documentation on record, the Complainant highlighted that Wind Tre imposes economically unsustainable clauses and conditions on its network of resellers. In particular, the Complainant complains that, following the H3G/Wind merger, the contractual relationship with Wind Tre has deteriorated, culminating in what the reseller considers an unjustified withdrawal on 7 February 20184. The conducts of Wind Tre described below would not constitute an isolated case but would be implemented against the entire distribution channel of the resellers of this telephone operator*.</w:t>
        <w:br/>
        <w:t>5. In other words, the conducts of Wind Tre – which represents one of the main mobile phone operators in the market along with TIM and Vodafone – would have involved a large number of distributors, including small family-run businesses.</w:t>
        <w:br/>
        <w:t>4. Firstly, the documentation shows that the contracts provide for a substantial exclusivity obligation of the reseller towards Wind Tre, both by virtue of a non-competition clause and, among other things, due to stringent obligations regarding the type of furnishings and materials that the reseller can use in its premises6.</w:t>
        <w:br/>
        <w:t>5. Furthermore, it is worth focusing on the following three contractual profiles that emerge from the documents of the proceedings:</w:t>
        <w:br/>
        <w:t>a) the reverse charge mechanism under which the cost of VAT is, in fact, borne by the reseller rather than the end customer;</w:t>
        <w:br/>
        <w:t>b) the pro-rata chargeback mechanism;</w:t>
        <w:br/>
        <w:t>c) a series of unilateral changes aimed at worsening the economic remuneration of the reseller;</w:t>
        <w:br/>
        <w:t>d) the withdrawal by Wind Tre.</w:t>
        <w:br/>
        <w:t>a) The reverse charge mechanism</w:t>
        <w:br/>
        <w:t>6. To understand the reverse charge mechanism7, applied at least since the early months of 2011, it is useful to preface that the reseller, also due to specific contractual obligations in this regard, purchased both the telephone devices and the SIM cards from the telephone operator through a sale transaction, exempt from VAT under the current tax legislation. In fact, the reseller could not freely procure phones (for example, iPhones) on the market, because otherwise, the SIM activation system would not recognize the phone,</w:t>
        <w:br/>
        <w:t>4 Doc. 1, Complainant, Report received on 16 December 2019, Annex 16.</w:t>
        <w:br/>
        <w:t>* In this version, some data are omitted, as there were deemed to be elements of confidentiality or secrecy of the information.</w:t>
        <w:br/>
        <w:t>5 Minutes of the hearing of the Complainant on 14 July 2021, to which documentation related to another reseller who, for the same conducts subject to this complaint, would have been forced to exit the market (Annex 1, Communication from Wind Tre to [omitted].</w:t>
        <w:br/>
        <w:t>6 Doc. 1, Complainant, Report received on 16 December 2019, Annex 2, Article 21: [“omitted”], see also Article 3 of the Commercial Collaboration Contract from Wind Tre to the Reseller regarding furnishings and hardware equipment, etc.</w:t>
        <w:br/>
        <w:t>7 See Complainant, Information received on 6 August 2021.</w:t>
      </w:r>
    </w:p>
    <w:p>
      <w:r>
        <w:t>8 BULLETIN NO. 46 OF NOVEMBER 22, 2021</w:t>
        <w:br/>
        <w:t>preventing the activation of the telephone contract and making it impossible to sell the device in conjunction with the SIM8.</w:t>
        <w:br/>
        <w:t>7. The reseller then offered the SIMs on the retail market, often, but not necessarily, in conjunction with the phone. In particular, the then H3G was among the first operators, if not the first, to introduce the possibility of purchasing, together with the SIM and the stipulation of the contract with the telephone operator, the phone in installments, and this initiative was commercially successful. However, at the time of sale to the end customer, the reseller issued a receipt to the final consumer who pays VAT at 22% on the purchased goods, without however collecting any amount. In fact, simultaneously with the sale to the final consumer, the transfer of credit to Wind Tre was triggered for the entire amount indicated on the receipt (including VAT). In fact, the monthly installments paid by the final consumer, which also include the amount paid as VAT, were collected directly by Wind Tre and not by the reseller, who was liable for the payment of that tax9. In other words, in light of what has just been described, the consumer paid an amount inclusive of the VAT cost, which – based on the credit transfer mechanism, concurrent with the operation, from the reseller (transferor) to Wind Tre (transferee) – was collected by Wind Tre, while the burden of paying the VAT to the tax authorities remained with the reseller, being the issuer of the receipt.</w:t>
        <w:br/>
        <w:t>8. The liquidity to meet the tax obligations was not provided as compensation by Wind Tre to the reseller: the latter had to face it through its own commissions, which, however, have gradually decreased over time, due to unilateral changes and the pro-rata chargeback mechanism (see below), making the aforementioned tax burden economically unsustainable.</w:t>
        <w:br/>
        <w:t>b) The pro-rata chargeback mechanism</w:t>
        <w:br/>
        <w:t xml:space="preserve">9. The second contractual practice that is relevant here is that of pro-rata chargebacks, that is, the mechanism described below underlying the sale of cellular devices with the installment payment to the end consumer of the sale price amounts. Specifically, Wind Tre paid, monthly and in full, to the reseller the commissions for the customers acquired during that time period; however, at the same time, Wind Tre calculated the customers who had meanwhile terminated the relationship without completing the installment payment. Therefore, in the event of withdrawal by the end customers and regardless of any penalties applied to them, Wind Tre charged back, from the amounts due to the reseller, the portion of the commission related to the installments that the customer would no longer pay. This conduct, together with the reverse charge mechanism, has resulted in a significant exposure of the Complainant and the impossibility of economically sustaining the reseller activity10. </w:t>
        <w:br/>
        <w:t>10. It is worth noting that this mechanism operated regardless of the reason that led the customer to change operators, as well as any responsibilities of the reseller and even in cases where the</w:t>
        <w:br/>
        <w:t>8 Minutes of the hearing of the Complainant on 14 July 2021 and see also Article 8 of the Commercial Collaboration Contract, in Doc. 1.</w:t>
        <w:br/>
        <w:t>9 Minutes of the hearing of the Complainant on 14 July 2021.</w:t>
        <w:br/>
        <w:t>10 Minutes of the hearing of the Complainant on 14 July 2021 and see the Commercial Collaboration Contract, Annex 5, in Doc. 1.</w:t>
      </w:r>
    </w:p>
    <w:p>
      <w:r>
        <w:rPr>
          <w:b/>
        </w:rPr>
        <w:t>[Pages 7–9]</w:t>
      </w:r>
    </w:p>
    <w:p>
      <w:r>
        <w:t>BULLETIN NO. 46 OF NOVEMBER 22, 2021 9</w:t>
        <w:br/>
        <w:t>the operator would recover the customer in another way, for example through win-back telephone operations by the call center channel.</w:t>
      </w:r>
    </w:p>
    <w:p>
      <w:r>
        <w:t>Pro rata refunds lead to a systematic offsetting of existing debts and credits and, therefore, to a reduction of the commissions to be paid to the retailer and the liquidity that the latter can then use to meet, among other things, the tax burdens arising from the payment of the aforementioned VAT.</w:t>
      </w:r>
    </w:p>
    <w:p>
      <w:r>
        <w:t xml:space="preserve">c) The succession of unilateral changes to the compensation plan </w:t>
        <w:br/>
        <w:t>11. According to the contracts entered into with the notifier, the mobile operator can unilaterally modify many of the contractual conditions, including the compensation plans, for the purpose of “[…] omissis”11.</w:t>
      </w:r>
    </w:p>
    <w:p>
      <w:r>
        <w:t>In this regard, the documentation on record highlights that this power has been frequently exercised over the years. In particular, it appears that, in 2016, Wind Tre sent at least five communications aimed at modifying the retailer's compensation plan and two other communications were sent in 201712.</w:t>
      </w:r>
    </w:p>
    <w:p>
      <w:r>
        <w:t xml:space="preserve">d) The unjustified withdrawal by Wind Tre and exit from the market </w:t>
        <w:br/>
        <w:t>12. The companies mentioned in the notification were among the first retailers of H3G and have consolidated, exclusively with this operator, a very strong relationship over the years13.</w:t>
      </w:r>
    </w:p>
    <w:p>
      <w:r>
        <w:t>In this context, also following the concentration of H3G/Wind, the contractual relationships deteriorated to the point where Wind Tre resolved all collaboration contracts related to the notifier14.</w:t>
      </w:r>
    </w:p>
    <w:p>
      <w:r>
        <w:t>13. In this regard, Wind Tre sent three separate communications, all dated February 7, 2018, withdrawing from each existing contract concerning all points of sale related to the notifier15.</w:t>
      </w:r>
    </w:p>
    <w:p>
      <w:r>
        <w:t>All three communications have similar content and do not indicate any motivation and/or contractual breach by the retailer. These withdrawals indeed refer to Article 12.1 of the contracts, according to which: “[…] omissis […]”. In these communications, it is then specified that all credits of the retailer will be offset, based on a specific statement.</w:t>
      </w:r>
    </w:p>
    <w:p>
      <w:r>
        <w:t>14. On the other hand, it is worth noting that, had the retailer decided to withdraw from the contract and change the mobile operator for which to carry out the resale activity, the retailer would have had to return to Wind Tre all commissions collected, but attributable to installments that the end customer would have had to pay after the withdrawal16.</w:t>
      </w:r>
    </w:p>
    <w:p>
      <w:r>
        <w:t xml:space="preserve">11 See Doc. 1, Notifier, Complaint received on December 16, 2019, annex 2, see Article 15. </w:t>
        <w:br/>
        <w:t xml:space="preserve">12 See Doc. 1, Notifier, Complaint received on December 16, 2019, annexes 6 to 15. </w:t>
        <w:br/>
        <w:t xml:space="preserve">13 Minutes of the Notifier's hearing of July 14, 2021. </w:t>
        <w:br/>
        <w:t xml:space="preserve">14 Minutes of the Notifier's hearing of July 14, 2021. </w:t>
        <w:br/>
        <w:t xml:space="preserve">15 See Doc. 1, Notifier, Complaint received on December 16, 2019, annexes 16, 17, and 18. </w:t>
        <w:br/>
        <w:t>16 See Notifier, Documentation received on October 8, 2021.</w:t>
      </w:r>
    </w:p>
    <w:p>
      <w:r>
        <w:t xml:space="preserve">10 BULLETIN NO. 46 OF NOVEMBER 22, 2021 </w:t>
        <w:br/>
        <w:t xml:space="preserve">III. EVALUATIONS </w:t>
        <w:br/>
        <w:t>15. Article 9 of Law No. 192/1998 prohibits the abuse by one or more companies of the state of economic dependence, defined as “the situation in which a company is able to determine, in commercial relations with another company, an excessive imbalance of rights and obligations. Economic dependence is assessed taking into account also the actual possibility for the party that has suffered the abuse to find satisfactory alternatives on the market.” Among the examples of conduct qualifying as abusive, the same norm refers, among other things, to the “imposition of unjustifiably burdensome or discriminatory contractual conditions” and to the “… arbitrary interruption of ongoing commercial relations.”</w:t>
      </w:r>
    </w:p>
    <w:p>
      <w:r>
        <w:t xml:space="preserve">16. In the case at hand, according to the available information, there may be an economic dependence relationship between Wind Tre and the Notifier, in light of several symptomatic elements concerning the market position of the Parties, the duration of the contractual relationship (which began with H3G as early as 2002) and the content of the contractual obligations. Among these, by way of example, it is worth recalling: </w:t>
        <w:br/>
        <w:t xml:space="preserve">i. the different size and market position of the Parties: Wind Tre is, along with Tim and Vodafone, one of the three leading operators in mobile telephony, while the retailers are small businesses, often family-run, with virtually no bargaining power against Wind Tre; </w:t>
        <w:br/>
        <w:t xml:space="preserve">ii. the circumstance that the contractual relationship is characterized by an exclusivity solely for the benefit of Wind Tre which, together with the other previously mentioned contractual conditions, prevents the retailer from establishing and maintaining relationships with other mobile operators both during the contract and, in fact, for a considerable period of time, after the termination of the relationship; </w:t>
        <w:br/>
        <w:t>iii. the circumstance that retailers essentially adhere to standard contracts, containing the contractual provisions described above (for example, pro rata refunds, reverse charge combined with the assignment of credit and offsetting mechanisms, unilateral changes to contractual conditions) which are suitable for identifying an excessive imbalance of rights and obligations between Wind Tre and the retailers, making it extremely difficult for the retailer to terminate the contractual relationship.</w:t>
      </w:r>
    </w:p>
    <w:p>
      <w:r>
        <w:t>17. In this context, Wind Tre may have imposed on its retailers a series of unjustifiably burdensome conditions and obligations, such as to unduly condition the economic activity of the retailer and compress its profit margins.</w:t>
      </w:r>
    </w:p>
    <w:p>
      <w:r>
        <w:t>In this regard, it is also necessary to recall the frequent redefinitions of contractual conditions, both economic and non-economic, which make it difficult for the retailer to have full awareness of the content of the contract and the effects of the mechanisms described above in terms of financial exposure.</w:t>
      </w:r>
    </w:p>
    <w:p>
      <w:r>
        <w:t>In fact, the economic conditions related to the pro rata refund could assume a particularly burdensome character which, together with the reverse charge and offsetting systems, have led the notifier, as well as presumably other retailers, to an unsustainable financial management. At the same time, the early withdrawal by the retailer could, in light of the previously mentioned contractual constraints, make it extremely difficult for retailers to seek suitable alternatives.</w:t>
      </w:r>
    </w:p>
    <w:p>
      <w:r>
        <w:t xml:space="preserve">BULLETIN NO. 46 OF NOVEMBER 22, 2021 11 </w:t>
        <w:br/>
        <w:t>In other words, from the documentation on record, it seems to emerge that Wind Tre has imposed on its retailers a commercial and financial organization designed according to its own needs, through the application of a series of pervasive clauses and subject to repeated modifications over time.</w:t>
      </w:r>
    </w:p>
    <w:p>
      <w:r>
        <w:t>18. Given that Wind Tre holds a prominent position in the markets related to mobile telephony, with a brand that enjoys strong commercial appeal, the reported facts appear to be relevant not only with respect to the individual contractual relationship but also in relation to the protection of competition and the market. The contractual conditions described above, applied by a mobile operator that manages a significant commercial network, could indeed have a significant impact on all entrepreneurs that make up the network in question, to the detriment of competitive dynamics in the relevant market.</w:t>
      </w:r>
    </w:p>
    <w:p>
      <w:r>
        <w:t>In particular, the uniformity of the contractual clauses and the consequent behaviors, implemented within one of the main retail networks present in Italy, namely that of Wind Tre, could distort competitive dynamics both intra-brand and limit the mobility of retailers from one mobile operator to another.</w:t>
      </w:r>
    </w:p>
    <w:p>
      <w:r>
        <w:t>Furthermore, through the reverse charge mechanism with the simultaneous assignment to Wind Tre of the retailer's credit towards the end customer, Wind Tre would also collect the portion of the payment made by the end customer aimed at the payment of VAT, placing itself, to the detriment of the retailer network, in a competitively advantageous position compared to competing mobile operators.</w:t>
      </w:r>
    </w:p>
    <w:p>
      <w:r>
        <w:t>CONSIDERING that, pursuant to Article 9, paragraph 3 bis, of Law No. 192 of June 18, 1998, the Competition and Market Authority, if it finds that an abuse of economic dependence is relevant for the protection of competition and the market, may activate its investigative and instructive powers and proceed with the warnings and sanctions provided for in Article 15 of Law No. 287 of October 10, 1990, against the company or companies that have committed such abuse;</w:t>
      </w:r>
    </w:p>
    <w:p>
      <w:r>
        <w:t>CONSIDERING, therefore, that the described conduct of Wind Tre S.p.A. could constitute an abuse of economic dependence relevant for the protection of competition and the market;</w:t>
      </w:r>
    </w:p>
    <w:p>
      <w:r>
        <w:t xml:space="preserve">RESOLVES </w:t>
        <w:br/>
        <w:t xml:space="preserve">a) to initiate the investigation, pursuant to Article 9, paragraph 3 bis, of Law No. 192 of June 18, 1998 and Article 14 of Law No. 287 of October 10, 1990, against the company Wind Tre S.p.A.; </w:t>
        <w:br/>
        <w:t xml:space="preserve">b) to set a period of sixty days, starting from the date of notification of this measure, for the exercise, by the legal representatives of the Party, of the right to be heard, personally or through a special attorney, specifying that the request for a hearing must be received by the Communications Directorate of the Directorate General for Competition of this Authority at least fifteen days before the expiration of the aforementioned deadline; </w:t>
        <w:br/>
        <w:t xml:space="preserve">c) that the person responsible for the procedure is Dr. Gabriella Romano; </w:t>
        <w:br/>
        <w:t>d) that the acts of the procedure can be viewed at the Communications Directorate of the Directorate General for Competition of this Authority by the legal representatives of the Parties, as well as by persons delegated by them;</w:t>
      </w:r>
    </w:p>
    <w:p>
      <w:r>
        <w:rPr>
          <w:b/>
        </w:rPr>
        <w:t>[Pages 10–12]</w:t>
      </w:r>
    </w:p>
    <w:p>
      <w:r>
        <w:t>12 BULLETIN NO. 46 OF NOVEMBER 22, 2021</w:t>
        <w:br/>
        <w:t>e) that the procedure must be concluded by December 31, 2022.</w:t>
        <w:br/>
        <w:t>This measure will be notified to the interested parties and published in the Bulletin of the Competition and Market Authority.</w:t>
        <w:br/>
        <w:t>THE SECRETARY GENERAL THE PRESIDENT</w:t>
        <w:br/>
        <w:t>Filippo Arena Roberto Rustichelli</w:t>
      </w:r>
    </w:p>
    <w:p>
      <w:r>
        <w:t>BULLETIN NO. 46 OF NOVEMBER 22, 2021 13</w:t>
        <w:br/>
        <w:t>CONCENTRATION OPERATIONS</w:t>
        <w:br/>
        <w:t>C12410 - CINVEN CAPITAL MANAGEMENT-FRESSNAPF</w:t>
        <w:br/>
        <w:t>BETEILIGUNGS/AGRIFARMA - MAXI ZOO ITALIA</w:t>
        <w:br/>
        <w:t>Measure No. 29886</w:t>
        <w:br/>
        <w:t>THE COMPETITION AND MARKET AUTHORITY</w:t>
        <w:br/>
        <w:t>IN ITS MEETING of November 16, 2021;</w:t>
        <w:br/>
        <w:t>HEARD the Rapporteur, President Roberto Rustichelli;</w:t>
        <w:br/>
        <w:t>HAVING REGARD TO Regulation (EC) No. 139/2004;</w:t>
        <w:br/>
        <w:t>HAVING REGARD TO Law No. 287 of October 10, 1990;</w:t>
        <w:br/>
        <w:t>HAVING REGARD TO Presidential Decree No. 217 of April 30, 1998;</w:t>
        <w:br/>
        <w:t>HAVING REGARD TO the document received on August 23, 2021 from the European Commission (hereinafter "Commission"), concerning the request made to it on the same date by the companies Cinven Capital Management (VII) General Partner Limited and Fressnapf Beteiligungs GmbH pursuant to Article 4, paragraph 4, of Regulation (EC) No. 139/2004;</w:t>
        <w:br/>
        <w:t>HAVING REGARD TO the document sent by the Authority to the Commission on September 9, 2021, in which the Authority expressed its consent to refer the operation to Italy for evaluation based on national competition legislation, in application of Article 4, paragraph 4 of Regulation (EC) No. 139/2004;</w:t>
        <w:br/>
        <w:t>HAVING REGARD TO the document from the European Commission sent on September 20, 2021, in which the Commission decided to refer, pursuant to the same article, the examination of the operation in its entirety to Italy;</w:t>
        <w:br/>
        <w:t>HAVING REGARD TO the communication from the companies Cinven Capital Management (VII) General Partner Limited and Fressnapf Beteiligungs GmbH, received on October 19, 2021, subsequently supplemented on October 26, 2021;</w:t>
        <w:br/>
        <w:t>HAVING REGARD TO the documentation on record;</w:t>
        <w:br/>
        <w:t>CONSIDERING the following:</w:t>
        <w:br/>
        <w:t>I. THE PARTIES</w:t>
        <w:br/>
        <w:t>1. Cinven Capital Management (VII) General Partner Limited is a private equity company of the Cinven group (hereinafter also "Cinven"), which provides management and advisory services regarding investments to numerous investment funds.</w:t>
        <w:br/>
        <w:t>The funds managed by Cinven hold controlling interests in various companies, active in a wide range of sectors, including commercial services, consumer goods, financial services, healthcare, industry and technology, media and telecommunications. In particular, Cinven is active in the production and sale of pet food and snacks, both private label and branded, in Italy through the Hungarian law company Partner in Pet Food (hereinafter "PPF") and the recently acquired Italian company Landini Giuntini S.p.A.1 (hereinafter "Giuntini").</w:t>
        <w:br/>
        <w:t>In 2020, Cinven achieved a turnover in Italy of approximately [2-3]* billion euros.</w:t>
        <w:br/>
        <w:t>2. Fressnapf Beteiligungs GmbH is a company controlled by Fressnapf Holding SE, the holding company at the head of the Fressnapf group (hereinafter also "Fressnapf"), exclusively controlled by an individual.</w:t>
        <w:br/>
        <w:t>The group is active in the retail distribution of products for the nutrition, care, hygiene, and entertainment of pets (hereinafter also "pet products") in numerous European countries; in Italy, Fressnapf is present with the subsidiary Maxi Zoo Italia S.p.A. The group is also active in the production of branded pet food and accessories, which are sold in its network of stores and on its online platforms.</w:t>
        <w:br/>
        <w:t>Fressnapf achieved a turnover in Italy in 2020 of approximately [100-511] million euros.</w:t>
        <w:br/>
        <w:t>3. Agrifarma S.p.A. (hereinafter also "Arcaplanet") is a company indirectly controlled by the private equity firm Permira; it is active in the retail distribution of pet products through a chain of approximately 390 specialized points of sale (hereinafter also "pv") under the Arcaplanet brand present in 17 Italian regions.</w:t>
        <w:br/>
        <w:t>Arcaplanet has acquired four specialized distribution chains in the same sector over the last three years, which previously held a total of over 100 stores, branded Fortesan, Zoodom, Fauna Food, and La Città degli Animali.</w:t>
        <w:br/>
        <w:t>Arcaplanet controls three companies active, respectively, in the retail distribution of pet products in Lombardy, Veneto, and Piedmont (Arcawip S.r.l.), in Switzerland (Arcaplanet S.A.), and in consulting in the pet food sector (First One S.r.l.).</w:t>
        <w:br/>
        <w:t>The turnover generated by Arcaplanet in 2020 in Italy amounts to approximately [100-511] million euros.</w:t>
        <w:br/>
        <w:t>4. Maxi Zoo Italia S.p.A. (hereinafter also "Maxi Zoo") is a company active in the retail distribution of pet products through a chain of approximately 135 specialized stores under the Maxi Zoo brand, spread across the national territory.</w:t>
        <w:br/>
        <w:t>Maxi Zoo is wholly owned by Fressnapf. The company's turnover was approximately [100-511] million euros in 2020.</w:t>
        <w:br/>
        <w:t>II. DESCRIPTION OF THE OPERATION</w:t>
        <w:br/>
        <w:t>5. The operation in question (hereinafter, the “Operation”) consists of the joint acquisition of control by Cinven and Fressnapf, through the newly established company Shiba Bidco S.p.A., over Arcaplanet and Maxi Zoo.</w:t>
        <w:br/>
        <w:t>1 See C12332 – ARTEMIS ACQUISITIONS/LANDINI GIUNTINI, measure No. 28472 of December 1, 2020, in Bulletin No. 50/2020.</w:t>
        <w:br/>
        <w:t>* In this version, some data is omitted, as elements of confidentiality or secrecy of the information were deemed to exist.</w:t>
      </w:r>
    </w:p>
    <w:p>
      <w:r>
        <w:rPr>
          <w:b/>
        </w:rPr>
        <w:t>[Pages 13–15]</w:t>
      </w:r>
    </w:p>
    <w:p>
      <w:r>
        <w:t xml:space="preserve">BULLETIN NO. 46 OF NOVEMBER 22, 2021 15  </w:t>
        <w:br/>
        <w:t xml:space="preserve">6. The Operation will be implemented pursuant to two share purchase agreements, under which Cinven will hold [65-70%] and Fressnapf [30-35%] of the shares of the newly established company Shiba Bidco S.p.A., which in turn will hold the entire share capital of Arcaplanet and Maxi Zoo.  </w:t>
        <w:br/>
        <w:t xml:space="preserve">7. Based on the governance agreements entered into between the Parties, Cinven will be able to appoint and remove the majority of the Board of Directors for each acquired company, which will have full power to direct and control the affairs and activities of the company. The agreements also provide that both Cinven and Fressnapf must approve the initial business plan of the post-merger entity before the closing of the Operation. Finally, Fressnapf will have veto rights in relation to certain essential decisions that determine the strategic directions of the business.  </w:t>
        <w:br/>
        <w:t xml:space="preserve">8. In light of the governance mechanisms described above, following the Operation, Cinven and Fressnapf will jointly hold control of Arcaplanet and Maxi Zoo2.  </w:t>
        <w:br/>
        <w:t xml:space="preserve">III. QUALIFICATION OF THE OPERATION  </w:t>
        <w:br/>
        <w:t xml:space="preserve">9. The Operation, as it involves the acquisition of joint control of multiple companies, constitutes a concentration pursuant to Article 3, paragraph 1, letter b), of EC Regulation No. 139/04 and falls within the scope of application of said Regulation, as it meets the conditions set forth in Article 1, paragraph 2, thereof. Based on the referral decision of the Commission adopted pursuant to Article 4, paragraph 4, of the aforementioned Regulation, received by the Authority on September 20, 2021, Law No. 287/90 is applicable to the concentration.  </w:t>
        <w:br/>
        <w:t xml:space="preserve">IV. ASSESSMENT OF THE OPERATION  </w:t>
        <w:br/>
        <w:t xml:space="preserve">IV.I. The relevant sector  </w:t>
        <w:br/>
        <w:t xml:space="preserve">10. The sector affected by the Operation is that of the retail distribution of products for the nutrition, care, hygiene, and entertainment of pets, collectively referred to as "pet products." These products can be categorized based on the type of animal they are intended for (dogs, cats, fish, reptiles, rodents, and birds) and the specific need they aim to satisfy (nutrition, play, hygiene, and care); furthermore, with reference to specific organoleptic and nutritional characteristics, pet food for dogs and cats can be further divided into dry and wet food.  </w:t>
        <w:br/>
        <w:t xml:space="preserve">11. According to the Parties' estimates, total sales in Italy of pet products were approximately 3.4 billion euros (including VAT) in 2020, following years of steady growth. The pet food segment accounts for about 80% of the total, with an estimated value of approximately 2.7 billion euros, of which almost all relates to products for the nutrition of dogs and cats. Euromonitor3 estimates an annual growth rate for the sector of 2.7% for the period 2020-25.  </w:t>
        <w:br/>
        <w:t xml:space="preserve">12. In the sector of pet product distribution, various categories of operators operate, differing in relation to the breadth and depth of the assortment, price positioning, and the number and quality of services offered to consumers:  </w:t>
        <w:br/>
        <w:t xml:space="preserve">2 See Consolidated Communication of the Commission on jurisdictional competence criteria pursuant to Regulation (EC) No. 139/2004 of the Council concerning the control of concentrations between enterprises (2008/C 95/01).  </w:t>
        <w:br/>
        <w:t>3 Euromonitor International, Pet Care in Italy, May 2020.</w:t>
      </w:r>
    </w:p>
    <w:p>
      <w:r>
        <w:t xml:space="preserve">16 BULLETIN NO. 46 OF NOVEMBER 22, 2021  </w:t>
        <w:br/>
        <w:t xml:space="preserve">i) large specialized surfaces organized in chains ("pet shop chains"), such as those managed by the Parties, which channel – based on estimates provided by the Parties themselves – about [15-20%] of national sales in value; ii) traditional specialized stores, with a national share of [25-30%]; iii) points of sale of large organized distribution (GDO), with a share of approximately [30-35%] at the national level; iv) online operators, with a share of about [5-10%]. Additionally, other types of operators specialized in different product categories (household hygiene, health and beauty, gardening, etc.) operate in the sector, albeit to a marginal extent.  </w:t>
        <w:br/>
        <w:t xml:space="preserve">13. Among the pet shop chains are also specialized points of sale attributable to various GDO operators (e.g., Amici di Casa Coop, Petstore Conad, Animali Che Passione, Joe Zampetti, Pet Elite di Selex, and Ayoka di Végé) who, aware of the development potential of the specialized chain formula, have recently opened numerous stores exclusively dedicated to pet products, characterized by a specific brand (hereinafter also referred to as "GDO pet shops").  </w:t>
        <w:br/>
        <w:t xml:space="preserve">14. The performance of the various sales channels is extremely differentiated: specialized chains show the most marked development, confirming the double-digit growth dynamic that has characterized them in recent years (+19.7% in value and +13.8% in volume in the period July 2020-June 2021); GDO shows a decent overall growth (+6.2% in value and +4.5% in volume)4; traditional pet stores manage to maintain their positioning, with a slight increase in sales (+1.3% in volume and +0.3% in value)5. Furthermore, there is a strong acceleration in the growth of the online channel, also driven by the movement restrictions that occurred during the COVID-19 health emergency.  </w:t>
        <w:br/>
        <w:t xml:space="preserve">15. All the different types of points of sale described have an assortment that covers the various categories of food (pet food) and care products (pet care) for pets, although there are significant differences between the various channels.  </w:t>
        <w:br/>
        <w:t xml:space="preserve">16. Table No. 1 highlights some characteristics of the different categories of points of sale (average number of references, average turnover, average price per kg), with exclusive reference to the sector of dog and cat food, for which there are official data from IRI.  </w:t>
        <w:br/>
        <w:t xml:space="preserve">4 The data includes, in addition to GDO (hypermarkets, supermarkets, superettes, and discount stores), also points of sale of non-specialized trade with an area of less than 100 square meters.  </w:t>
        <w:br/>
        <w:t>5 Source: Assalco – Zoomark Report, XIV edition, 2021.</w:t>
      </w:r>
    </w:p>
    <w:p>
      <w:r>
        <w:t xml:space="preserve">BULLETIN NO. 46 OF NOVEMBER 22, 2021 17  </w:t>
        <w:br/>
        <w:t xml:space="preserve">Table 1 – Characteristics of the main distribution channels  </w:t>
        <w:br/>
        <w:t xml:space="preserve">Stores  </w:t>
        <w:br/>
        <w:t xml:space="preserve">Traditional Chains Hypermarkets Supermarkets  </w:t>
        <w:br/>
        <w:t xml:space="preserve">specialized specialized  </w:t>
        <w:br/>
        <w:t xml:space="preserve">Average No.  </w:t>
        <w:br/>
        <w:t xml:space="preserve">2,601 1,850 871 322  </w:t>
        <w:br/>
        <w:t xml:space="preserve">of references  </w:t>
        <w:br/>
        <w:t xml:space="preserve">Average turnover  </w:t>
        <w:br/>
        <w:t xml:space="preserve">756 135 390 76  </w:t>
        <w:br/>
        <w:t xml:space="preserve">per store (000 euros)*  </w:t>
        <w:br/>
        <w:t xml:space="preserve">Average unit  </w:t>
        <w:br/>
        <w:t xml:space="preserve">6.7 6.9 2.7**  </w:t>
        <w:br/>
        <w:t xml:space="preserve">price (€/kg)  </w:t>
        <w:br/>
        <w:t xml:space="preserve">* The data relates only to sales of dog and cat food.  </w:t>
        <w:br/>
        <w:t xml:space="preserve">** The data relates to the entire GDO sector and to points of sale of non-specialized trade with an area of less than 100 square meters.  </w:t>
        <w:br/>
        <w:t xml:space="preserve">Source: AGCM processing on Assalco/IRI data in Assalco Report 2021.  </w:t>
        <w:br/>
        <w:t xml:space="preserve">17. As emerges from the table, specialized stores (both independent and organized in chains6) offer a much wider and deeper assortment compared to that of GDO, especially with reference to smaller GDO points of sale, which represent the predominant part of sales in this channel. The assortment of specialized points of sale, in particular, also includes niche products and/or those aimed at meeting specific nutritional and care needs of animals (dietary, aimed at animals with diseases, etc.).  </w:t>
        <w:br/>
        <w:t xml:space="preserve">18. Furthermore, specialized stores appear to be more focused on the premium product range, which has a higher unit value. The average price of a kilogram of food sold by pet shops is more than double that of GDO. The assortment of GDO, on the other hand, appears to be predominantly oriented towards the medium-low price range, with an offer aimed primarily at ensuring greater convenience, in terms of cost and speed of purchase.  </w:t>
        <w:br/>
        <w:t xml:space="preserve">19. Additionally, the offer of specialized points of sale, and especially that of traditional stores, is not limited to the sale of pet items, often extending to the sale of live animals and, almost always, to the provision of additional services related to the care and management of the animal (grooming, dog/cat sitting, boarding, consultations for nutrition and choosing a veterinarian, etc.).  </w:t>
        <w:br/>
        <w:t xml:space="preserve">20. Another element of differentiation between the channels is given by the presence and quality of the sales assistance service offered to consumers. In this regard, in particular, the traditional store is the channel in which the trust relationship of the customer with the point of sale assumes greater importance: in most cases, in fact, it is the store owner who provides a qualified sales assistance service, interfacing directly with the end consumer: this allows for the added value of higher-end products to be transferred more easily, justifying the price positioning of certain items. Aware of the need to respond to this demand, even large chains are equipping themselves to ensure that consumers have personnel with specific and deep sector expertise.  </w:t>
        <w:br/>
        <w:t>6 GDO pet shops offer an assortment comparable to that of non-GDO pet shop chains: the average number of references of the former is, in fact, 2,332, compared to the average of 2,601 references of the other pet shop chains. GDO pet shops also present a distribution of product categories and a price positioning aligned with those of other chains. Source: Assalco – Zoomark Report, XIV edition, 2021.</w:t>
      </w:r>
    </w:p>
    <w:p>
      <w:r>
        <w:rPr>
          <w:b/>
        </w:rPr>
        <w:t>[Pages 16–18]</w:t>
      </w:r>
    </w:p>
    <w:p>
      <w:r>
        <w:t xml:space="preserve">18 BULLETIN NO. 46 OF NOVEMBER 22, 2021  </w:t>
        <w:br/>
        <w:t xml:space="preserve">IV.II. Relevant markets  </w:t>
        <w:br/>
        <w:t xml:space="preserve">21. For the purposes of evaluating the present operation, the markets for the retail sale and procurement of products for the nutrition, care, hygiene, and entertainment of pets, collectively referred to as pet products, are relevant.  </w:t>
        <w:br/>
        <w:t xml:space="preserve">a) The retail markets for pet products  </w:t>
        <w:br/>
        <w:t xml:space="preserve">22. In its previous C12139 - Noah 2/Mondial Pet Distribution7, the Authority identified a relevant product market composed solely of specialized retail outlets, both traditional stores and chains, within the sector of pet product distribution.  </w:t>
        <w:br/>
        <w:t xml:space="preserve">23. The investigation conducted had, in fact, highlighted the existence of rather limited substitutability between specialized stores and GDO retail outlets. Within this channel, only the hypermarket segment (retail outlets with areas equal to or greater than 2,500 square meters) was found to exert some competitive pressure on specialized surfaces entirely dedicated to pet products, to an extent, however, insufficient to consider the two types of channel as part of the same relevant market. However, due to the rapid and marked evolutionary trends currently taking place in the sector, from a precautionary perspective, the effects of this operation were also assessed taking into account the competitive pressure exerted by hypermarkets, as a future greater substitutability between the latter and pet shops could not be excluded.  </w:t>
        <w:br/>
        <w:t xml:space="preserve">24. The online channel, which at the time represented a relatively insignificant share of sales, was also not considered part of the relevant market.  </w:t>
        <w:br/>
        <w:t xml:space="preserve">25. The effects of the operation in question differ significantly depending on the inclusion or exclusion of the GDO channel (or some of its segments) and/or the online channel in the relevant product market. Considering the high dynamism of the sector in question, it therefore appears necessary in this investigation to further explore the existing relationship of substitutability (i.e., the degree of mutual competition) between retail outlets of such types and specialized stores.  </w:t>
        <w:br/>
        <w:t xml:space="preserve">26. From a geographical perspective, the markets for pet products have a local dimension, considering consumer purchasing behaviors and the importance they attribute to the proximity of retail outlets. In the aforementioned previous case, the geographical extent of the relevant market was identified within the area delineated by isochrones of 20 minutes of driving, constructed around the retail outlets concerned. However, the geographical definition of the relevant market may also be subject to further investigation during the inquiry.  </w:t>
        <w:br/>
        <w:t xml:space="preserve">b) The markets for the procurement of pet products  </w:t>
        <w:br/>
        <w:t xml:space="preserve">27. The procurement markets pertain to purchases made by pet shop chains and other types of operators active in the retail distribution of pet products, which represent the demand side, directly from the manufacturing companies of pet products, which constitute the supply side.  </w:t>
        <w:br/>
        <w:t xml:space="preserve">7 C12139 - NOAH 2/MONDIAL PET DISTRIBUTION, measure No. 27148 of April 24, 2018 in Bulletin No. 18/2018.  </w:t>
        <w:br/>
        <w:t xml:space="preserve">28. The product definition of the procurement markets for pet articles should, in principle, mirror the definition of the markets for the production of such articles, based on the type of animal and the specific need for which they are intended8.  </w:t>
        <w:br/>
        <w:t xml:space="preserve">29. From a geographical standpoint, the procurement markets have at least a national dimension, considering the breadth of the operational basin of suppliers and the uniformity of sales and purchasing conditions across the entire national territory.  </w:t>
        <w:br/>
        <w:t xml:space="preserve">IV.III. The effects of the operation  </w:t>
        <w:br/>
        <w:t xml:space="preserve">a) The retail markets for pet products  </w:t>
        <w:br/>
        <w:t xml:space="preserve">30. Arcaplanet and Maxi Zoo represent, at the national level, the first and third chain specialized in the marketing of pet articles, with 388 and 136 retail outlets, respectively. The main competing chain is Isola dei Tesori, with approximately 200 owned retail outlets. Following, at a considerable distance, is the GDO pet shop chain Petstore Conad (84 retail outlets) and other smaller chains, predominantly of a subnational character. The wide and capillary network of retail outlets, along with the promotional capacity and the established and recognized brand by consumers, represent the distinguishing elements of specialized chains. The concentration in question, by eliminating one of the few entities that nationally possesses such characteristics, would remove a significant competitive constraint from the market.  </w:t>
        <w:br/>
        <w:t xml:space="preserve">31. Within the distribution of pet articles through specialized retail outlets (including both large surface chains and traditional pet shops), Arcaplanet holds a share of [20-25%] and Maxi Zoo [5-10%]: the new operator would therefore reach, at the national level, a share of specialized sales of approximately [30-35%].  </w:t>
        <w:br/>
        <w:t xml:space="preserve">32. At the local level, the notified operation results in significant horizontal overlaps between the activities of the Parties in almost all the considered retail markets.  </w:t>
        <w:br/>
        <w:t xml:space="preserve">33. Based on the available information, significant horizontal overlaps have indeed been identified, at present, in 124 local markets of specialized retail outlets (out of the 136 overall subject to communication), constituted by isochrones centered on the Maxi Zoo retail outlets listed in the appendix. In these local markets, the post-merger shares of the Parties9, calculated on isochrones of 20 minutes of driving, constructed around the retail outlets concerned, and considering the GDO channel and the online channel as not belonging to the relevant market, are positioned at levels above 25%10, with increases attributable to the concentration in question being non-negligible11.  </w:t>
        <w:br/>
        <w:t xml:space="preserve">8 In previous community cases, the European Commission divided the wholesale markets of pet food based on the different types of animals for which it is intended and, in the case of dog and cat food, further divided dry products from wet ones. The Commission also considered that private label pet products and branded products, although part of the same relevant retail market, constitute two separate wholesale markets. See Commission decisions of July 27, 2001 Case COMP/M2337, Nestlé/Ralston Purina and February 15, 2002 Case COMP/M.2544 Masterfoods/Royal Canin.  </w:t>
        <w:br/>
        <w:t xml:space="preserve">9 The value shares were calculated based on data provided by the Parties regarding the turnover achieved in 2020 by each of their own retail outlets (actual data) and competitors (estimated data). For newly opened retail outlets, an estimate of annual turnover was provided.  </w:t>
        <w:br/>
        <w:t xml:space="preserve">10 See Council Regulation (EC) No. 139/2004 of January 20, 2004, on the control of concentrations between undertakings, para. 32: "Concentrations may be presumed compatible with the common market if, given the modest market share of the undertakings concerned, they are not such as to impede effective competition. Without prejudice to Articles 81 [101 TFEU] and 82 [102 TFEU] of the Treaty, an indication in this sense exists if the market share of the undertakings concerned does not exceed 25% either in the common market or in a substantial part thereof."  </w:t>
        <w:br/>
        <w:t xml:space="preserve">11 Increases below 2% were deemed negligible.  </w:t>
        <w:br/>
        <w:t xml:space="preserve">20 BULLETIN NO. 46 OF NOVEMBER 22, 2021  </w:t>
        <w:br/>
        <w:t xml:space="preserve">Table 2 – Post-merger market shares in local markets  </w:t>
        <w:br/>
        <w:t xml:space="preserve">Joint market share &gt;25% Joint market share &gt;40% Joint market share &gt;50% Joint market share &gt;60%  </w:t>
        <w:br/>
        <w:t xml:space="preserve">No. of local markets 124 113 90 64  </w:t>
        <w:br/>
        <w:t xml:space="preserve">34. Considering the aggregated level of shares - which stand, in the majority of areas, well above 50% (see Table 2) - along with the significant and capillary presence of retail outlets of the new entity across the national territory and the importance and notoriety of the brands subject to concentration, it is believed that the operation in question may significantly hinder effective competition in the retail markets for pet products, to the detriment of consumers, resulting in the strengthening or establishment of a dominant position.  </w:t>
        <w:br/>
        <w:t xml:space="preserve">35. It is highlighted that competitive concerns do not significantly diminish even in the case of including hypermarkets (i.e., GDO retail outlets with an area starting from 2,500 square meters) in the relevant market: in this case, in fact, the post-merger market share would exceed 25%, with increases attributable to the concentration being non-negligible, in 121 local markets.  </w:t>
        <w:br/>
        <w:t xml:space="preserve">b) The markets for the procurement of pet products  </w:t>
        <w:br/>
        <w:t xml:space="preserve">36. Regarding the procurement markets, the position of the Parties following the concentration can be approximated by the sum of the shares of sales made at the national level by them. Taking as a reference a definition of the market restricted to specialized operators and the national territory, the share of the post-merger entity in the procurement market is estimated, based on the data provided by the Parties, at around [30-35%], allowing the new entity to become the leading operator in the market.  </w:t>
        <w:br/>
        <w:t xml:space="preserve">37. The market power of the new entity in the procurement markets must also be assessed taking into account the market shares it holds in the local retail markets. The distribution of sales shares across the territory can, in fact, influence the bargaining power during the purchasing phase: a manufacturing company that wants to ensure a widespread presence in all geographical areas, for example, is somewhat "obliged" to engage with distribution companies that hold strong positions even in a few downstream markets.  </w:t>
        <w:br/>
        <w:t xml:space="preserve">38. Considering that the post-merger entity, as a result of the concentration, will constitute the leading operator in the procurement markets and will hold particularly significant shares in numerous local retail markets, the operation in question appears likely to raise competitive concerns regarding the possible strengthening or establishment of a dominant position in the procurement markets.  </w:t>
        <w:br/>
        <w:t>THEREFORE, it is deemed that the operation in question is likely to create or strengthen a dominant position as indicated, pursuant to Article 6, paragraph 1, of Law No. 287/90;</w:t>
      </w:r>
    </w:p>
    <w:p>
      <w:r>
        <w:rPr>
          <w:b/>
        </w:rPr>
        <w:t>[Pages 19–21]</w:t>
      </w:r>
    </w:p>
    <w:p>
      <w:r>
        <w:t>BULLETIN NO. 46 OF NOVEMBER 22, 2021 21</w:t>
        <w:br/>
        <w:t>RESOLUTION</w:t>
        <w:br/>
        <w:t>a) the initiation of the investigation, pursuant to Article 16, paragraph 4, of Law No. 287/90, against the companies Cinven Capital Management (VII) General Partner Limited and Fressnapf Beteiligungs GmbH;</w:t>
        <w:br/>
        <w:t>b) the setting of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Directorate General for Competition of this Authority at least three days before the expiration of the aforementioned deadline;</w:t>
        <w:br/>
        <w:t>c) that the person responsible for the procedure is Dr. Bianca Maria Cammino;</w:t>
        <w:br/>
        <w:t>d) that the documents of the procedure can be viewed at the Agro-food, Pharmaceutical and Transport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measure.</w:t>
        <w:br/>
        <w:t>This measure will be notified to the interested parties and published in the Bulletin of the Competition and Market Authority.</w:t>
        <w:br/>
        <w:t>THE SECRETARY GENERAL THE PRESIDENT</w:t>
        <w:br/>
        <w:t>Filippo Arena Roberto Rustichelli</w:t>
      </w:r>
    </w:p>
    <w:p>
      <w:r>
        <w:t>22 BULLETIN NO. 46 OF NOVEMBER 22, 2021</w:t>
        <w:br/>
        <w:t>Appendix</w:t>
        <w:br/>
        <w:t>Local markets of specialized retail outlets where significant overlaps occur between the Parties</w:t>
        <w:br/>
        <w:t>Share of</w:t>
        <w:br/>
        <w:t>Share of Share of</w:t>
        <w:br/>
        <w:t>Isochrones built around the Maxi Zoo retail outlets</w:t>
        <w:br/>
        <w:t>No. Market Market Market</w:t>
        <w:br/>
        <w:t>(Address) Aggregate</w:t>
        <w:br/>
        <w:t>Arcaplanet MaxiZoo</w:t>
        <w:br/>
        <w:t>Parties</w:t>
        <w:br/>
        <w:t>1 [omitted] (CN) [25-30%] [15-20%] [45-50%]</w:t>
        <w:br/>
        <w:t>2 [omitted] (VB) [45-50%] [5-10%] [55-60%]</w:t>
        <w:br/>
        <w:t>3 [omitted] (TO) [25-30%] [1-5%] [25-30%]</w:t>
        <w:br/>
        <w:t>4 [omitted] (TO) [45-50%] [20-25%] [65-70%]</w:t>
        <w:br/>
        <w:t>5 [omitted] (MI) [50-55%] [1-5%] [50-55%]</w:t>
        <w:br/>
        <w:t>6 [omitted] (MI) [55-60%] [25-30%] [80-85%]</w:t>
        <w:br/>
        <w:t>7 [omitted] (PR) [20-25%] [10-15%] [30-35%]</w:t>
        <w:br/>
        <w:t>8 [omitted] (MI) [25-30%] [20-25%] [45-50%]</w:t>
        <w:br/>
        <w:t>9 [omitted] (SV) [25-30%] [15-20%] [40-45%]</w:t>
        <w:br/>
        <w:t>10 [omitted] (PV) [15-20%] [30-35%] [45-50%]</w:t>
        <w:br/>
        <w:t>11 [omitted] (CO) [30-35%] [25-30%] [60-65%]</w:t>
        <w:br/>
        <w:t>12 [omitted] (CO) [25-30%] [25-30%] [55-60%]</w:t>
        <w:br/>
        <w:t>13 [omitted] (TO) [40-45%] [15-20%] [60-65%]</w:t>
        <w:br/>
        <w:t>14 [omitted] (VC) [40-45%] [55-60%] [95-100%]</w:t>
        <w:br/>
        <w:t>15 [omitted] (SO) [15-20%] [30-35%] [45-50%]</w:t>
        <w:br/>
        <w:t>16 [omitted] (MC) [30-35%] [10-15%] [45-50%]</w:t>
        <w:br/>
        <w:t>17 [omitted] (BS) [15-20%] [55-60%] [75-80%]</w:t>
        <w:br/>
        <w:t>18 [omitted] (MI) [5-10%] [30-35%] [40-45%]</w:t>
        <w:br/>
        <w:t>19 [omitted] (RM) [55-60%] [5-10%] [60-65%]</w:t>
        <w:br/>
        <w:t>20 [omitted] (FC) [15-20%] [20-25%] [40-45%]</w:t>
        <w:br/>
        <w:t>21 [omitted] (VA) [45-50%] [20-25%] [65-70%]</w:t>
        <w:br/>
        <w:t>22 [omitted] (LO) [30-35%] [30-35%] [60-65%]</w:t>
      </w:r>
    </w:p>
    <w:p>
      <w:r>
        <w:t>BULLETIN NO. 46 OF NOVEMBER 22, 2021 23</w:t>
        <w:br/>
        <w:t>Share of</w:t>
        <w:br/>
        <w:t>Share of Share of</w:t>
        <w:br/>
        <w:t>Isochrones built around the Maxi Zoo retail outlets</w:t>
        <w:br/>
        <w:t>No. Market Market Market</w:t>
        <w:br/>
        <w:t>(Address) Aggregate</w:t>
        <w:br/>
        <w:t>Arcaplanet MaxiZoo</w:t>
        <w:br/>
        <w:t>Parties</w:t>
        <w:br/>
        <w:t>23 [omitted] (MI) [30-35%] [30-35%] [65-70%]</w:t>
        <w:br/>
        <w:t>24 [omitted] (BS) [15-20%] [25-30%] [40-45%]</w:t>
        <w:br/>
        <w:t>25 [omitted] (VI) [1-5%] [50-55%] [55-60%]</w:t>
        <w:br/>
        <w:t>26 [omitted] (BG) [15-20%] [45-50%] [60-65%]</w:t>
        <w:br/>
        <w:t>27 [omitted] (VE) [25-30%] [35-40%] [60-65%]</w:t>
        <w:br/>
        <w:t>28 [omitted] (AL) [35-40%] [20-25%] [60-65%]</w:t>
        <w:br/>
        <w:t>29 [omitted] (MB) [50-55%] [25-30%] [80-85%]</w:t>
        <w:br/>
        <w:t>30 [omitted] (VA) [35-40%] [45-50%] [80-85%]</w:t>
        <w:br/>
        <w:t>31 [omitted] (VE) [10-15%] [20-25%] [35-40%]</w:t>
        <w:br/>
        <w:t>32 [omitted] (MI) [50-55%] [30-35%] [80-85%]</w:t>
        <w:br/>
        <w:t>33 [omitted] (MI) [35-40%] [5-10%] [45-50%]</w:t>
        <w:br/>
        <w:t>34 [omitted] (CR) [45-50%] [10-15%] [55-60%]</w:t>
        <w:br/>
        <w:t>35 [omitted] (FC) [10-15%] [25-30%] [35-40%]</w:t>
        <w:br/>
        <w:t>36 [omitted] (VE) [25-30%] [40-45%] [65-70%]</w:t>
        <w:br/>
        <w:t>37 [omitted] (MI) [35-40%] [25-30%] [60-65%]</w:t>
        <w:br/>
        <w:t>38 [omitted] (VE) [25-30%] [35-40%] [60-65%]</w:t>
        <w:br/>
        <w:t>39 [omitted] (BG) [20-25%] [40-45%] [60-65%]</w:t>
        <w:br/>
        <w:t>40 [omitted] (VE) [25-30%] [50-55%] [75-80%]</w:t>
        <w:br/>
        <w:t>41 [omitted] (BS) [40-45%] [20-25%] [60-65%]</w:t>
        <w:br/>
        <w:t>42 [omitted] (PD) [30-35%] [20-25%] [50-55%]</w:t>
        <w:br/>
        <w:t>43 [omitted] (LI) [35-40%] [10-15%] [50-55%]</w:t>
        <w:br/>
        <w:t>44 [omitted] (RE) [10-15%] [10-15%] [25-30%]</w:t>
        <w:br/>
        <w:t>45 [omitted] (VA) [60-65%] [5-10%] [65-70%]</w:t>
        <w:br/>
        <w:t>46 [omitted] (BZ) [15-20%] [25-30%] [45-50%]</w:t>
      </w:r>
    </w:p>
    <w:p>
      <w:r>
        <w:rPr>
          <w:b/>
        </w:rPr>
        <w:t>[Pages 22–24]</w:t>
      </w:r>
    </w:p>
    <w:p>
      <w:r>
        <w:t>24 BULLETIN NO. 46 OF NOVEMBER 22, 2021</w:t>
        <w:br/>
        <w:t>Share of</w:t>
        <w:br/>
        <w:t>Share of Share of</w:t>
        <w:br/>
        <w:t>Isochrones built around the pv Maxi Zoo market</w:t>
        <w:br/>
        <w:t>No. market market</w:t>
        <w:br/>
        <w:t>(address) aggregated</w:t>
        <w:br/>
        <w:t>Arcaplanet MaxiZoo</w:t>
        <w:br/>
        <w:t>Parts</w:t>
        <w:br/>
        <w:t>47 [omissis] (VR) [25-30%] [15-20%] [40-45%]</w:t>
        <w:br/>
        <w:t>48 [omissis] (BS) [40-45%] [20-25%] [60-65%]</w:t>
        <w:br/>
        <w:t>49 [omissis] (BG) [15-20%] [50-55%] [65-70%]</w:t>
        <w:br/>
        <w:t>50 [omissis] (MI) [40-45%] [25-30%] [70-75%]</w:t>
        <w:br/>
        <w:t>51 [omissis] (CO) [15-20%] [25-30%] [45-50%]</w:t>
        <w:br/>
        <w:t>52 [omissis] (BO) [20-25%] [5-10%] [30-35%]</w:t>
        <w:br/>
        <w:t>53 [omissis] (VI) [15-20%] [40-45%] [55-60%]</w:t>
        <w:br/>
        <w:t>54 [omissis] (MI) [30-35%] [25-30%] [55-60%]</w:t>
        <w:br/>
        <w:t>55 [omissis] (RM) [70-75%] [1-5%] [75-80%]</w:t>
        <w:br/>
        <w:t>56 [omissis] (AT) [40-45%] [5-10%] [50-55%]</w:t>
        <w:br/>
        <w:t>57 [omissis] (FE) [20-25%] [10-15%] [35-40%]</w:t>
        <w:br/>
        <w:t>58 [omissis] (MI) [55-60%] [15-20%] [70-75%]</w:t>
        <w:br/>
        <w:t>59 [omissis] (CO) [35-40%] [35-40%] [70-75%]</w:t>
        <w:br/>
        <w:t>60 [omissis] (BS) [15-20%] [45-50%] [65-70%]</w:t>
        <w:br/>
        <w:t>61 [omissis] (PE) [15-20%] [5-10%] [25-30%]</w:t>
        <w:br/>
        <w:t>62 [omissis] (UD) [35-40%] [10-15%] [50-55%]</w:t>
        <w:br/>
        <w:t>63 [omissis] (VE) [45-50%] [15-20%] [65-70%]</w:t>
        <w:br/>
        <w:t>64 [omissis] (VI) [1-5%] [45-50%] [45-50%]</w:t>
        <w:br/>
        <w:t>65 [omissis] (MI) [35-40%] [30-35%] [65-70%]</w:t>
        <w:br/>
        <w:t>66 [omissis] (GE) [35-40%] [1-5%] [40-45%]</w:t>
        <w:br/>
        <w:t>67 [omissis] (PD) [30-35%] [15-20%] [45-50%]</w:t>
        <w:br/>
        <w:t>68 [omissis] (BS) [25-30%] [30-35%] [60-65%]</w:t>
        <w:br/>
        <w:t>69 [omissis] (VR) [35-40%] [40-45%] [80-85%]</w:t>
        <w:br/>
        <w:t>70 [omissis] (AP) [35-40%] [10-15%] [45-50%]</w:t>
      </w:r>
    </w:p>
    <w:p>
      <w:r>
        <w:t>BULLETIN NO. 46 OF NOVEMBER 22, 2021 25</w:t>
        <w:br/>
        <w:t>Share of</w:t>
        <w:br/>
        <w:t>Share of Share of</w:t>
        <w:br/>
        <w:t>Isochrones built around the pv Maxi Zoo market</w:t>
        <w:br/>
        <w:t>No. market market</w:t>
        <w:br/>
        <w:t>(address) aggregated</w:t>
        <w:br/>
        <w:t>Arcaplanet MaxiZoo</w:t>
        <w:br/>
        <w:t>Parts</w:t>
        <w:br/>
        <w:t>71 [omissis] (MI) [25-30%] [25-30%] [55-60%]</w:t>
        <w:br/>
        <w:t>72 [omissis] (MN) [25-30%] [20-25%] [50-55%]</w:t>
        <w:br/>
        <w:t>73 [omissis] (PN) [20-25%] [30-35%] [55-60%]</w:t>
        <w:br/>
        <w:t>74 [omissis] (RM) [40-45%] [10-15%] [55-60%]</w:t>
        <w:br/>
        <w:t>75 [omissis] (BG) [25-30%] [35-40%] [65-70%]</w:t>
        <w:br/>
        <w:t>76 [omissis] (TS) [15-20%] [20-25%] [35-40%]</w:t>
        <w:br/>
        <w:t>77 [omissis] (BG) [25-30%] [40-45%] [65-70%]</w:t>
        <w:br/>
        <w:t>78 [omissis] (BS) [35-40%] [20-25%] [60-65%]</w:t>
        <w:br/>
        <w:t>79 [omissis] (CO) [45-50%] [25-30%] [75-80%]</w:t>
        <w:br/>
        <w:t>80 [omissis] (BG) [10-15%] [25-30%] [40-45%]</w:t>
        <w:br/>
        <w:t>81 [omissis] (AL) [35-40%] [20-25%] [55-60%]</w:t>
        <w:br/>
        <w:t>82 [omissis] (PR) [15-20%] [20-25%] [35-40%]</w:t>
        <w:br/>
        <w:t>83 [omissis] (VA) [45-50%] [10-15%] [55-60%]</w:t>
        <w:br/>
        <w:t>84 [omissis] (NO) [25-30%] [20-25%] [45-50%]</w:t>
        <w:br/>
        <w:t>85 [omissis] (NO) [35-40%] [20-25%] [60-65%]</w:t>
        <w:br/>
        <w:t>86 [omissis] (PR) [25-30%] [10-15%] [40-45%]</w:t>
        <w:br/>
        <w:t>87 [omissis] (GO) [20-25%] [30-35%] [50-55%]</w:t>
        <w:br/>
        <w:t>88 [omissis] (VR) [20-25%] [25-30%] [50-55%]</w:t>
        <w:br/>
        <w:t>89 [omissis] (MI) [45-50%] [35-40%] [80-85%]</w:t>
        <w:br/>
        <w:t>90 [omissis] (MI) [40-45%] [20-25%] [65-70%]</w:t>
        <w:br/>
        <w:t>91 [omissis] (BG) [25-30%] [20-25%] [50-55%]</w:t>
        <w:br/>
        <w:t>92 [omissis] (BG) [35-40%] [10-15%] [50-55%]</w:t>
        <w:br/>
        <w:t>93 [omissis] (TV) [30-35%] [35-40%] [70-75%]</w:t>
        <w:br/>
        <w:t>94 [omissis] (PV) [25-30%] [20-25%] [45-50%]</w:t>
      </w:r>
    </w:p>
    <w:p>
      <w:r>
        <w:t>26 BULLETIN NO. 46 OF NOVEMBER 22, 2021</w:t>
        <w:br/>
        <w:t>Share of</w:t>
        <w:br/>
        <w:t>Share of Share of</w:t>
        <w:br/>
        <w:t>Isochrones built around the pv Maxi Zoo market</w:t>
        <w:br/>
        <w:t>No. market market</w:t>
        <w:br/>
        <w:t>(address) aggregated</w:t>
        <w:br/>
        <w:t>Arcaplanet MaxiZoo</w:t>
        <w:br/>
        <w:t>Parts</w:t>
        <w:br/>
        <w:t>95 [omissis] (TO) [45-50%] [10-15%] [60-65%]</w:t>
        <w:br/>
        <w:t>96 [omissis] (MB) [45-50%] [30-35%] [80-85%]</w:t>
        <w:br/>
        <w:t>97 [omissis] (PN) [10-15%] [60-65%] [70-75%]</w:t>
        <w:br/>
        <w:t>98 [omissis] (TV) [25-30%] [30-35%] [55-60%]</w:t>
        <w:br/>
        <w:t>99 [omissis] (MI) [40-45%] [25-30%] [65-70%]</w:t>
        <w:br/>
        <w:t>100 [omissis] (TO) [50-55%] [10-15%] [65-70%]</w:t>
        <w:br/>
        <w:t>101 [omissis] (FI) [35-40%] [5-10%] [40-45%]</w:t>
        <w:br/>
        <w:t>102 [omissis] (VR) [40-45%] [15-20%] [55-60%]</w:t>
        <w:br/>
        <w:t>103 [omissis] (MB) [35-40%] [45-50%] [80-85%]</w:t>
        <w:br/>
        <w:t>104 [omissis] (LC) [45-50%] [25-30%] [70-75%]</w:t>
        <w:br/>
        <w:t>105 [omissis] (BS) [40-45%] [40-45%] [80-85%]</w:t>
        <w:br/>
        <w:t>106 [omissis] (MI) [35-40%] [15-20%] [55-60%]</w:t>
        <w:br/>
        <w:t>107 [omissis] (PV) [10-15%] [55-60%] [70-75%]</w:t>
        <w:br/>
        <w:t>108 [omissis] (MB) [35-40%] [50-55%] [85-90%]</w:t>
        <w:br/>
        <w:t>109 [omissis] (BZ) [10-15%] [20-25%] [35-40%]</w:t>
        <w:br/>
        <w:t>110 [omissis] (VI) [25-30%] [65-70%] [90-95%]</w:t>
        <w:br/>
        <w:t>111 [omissis] (TV) [30-35%] [35-40%] [65-70%]</w:t>
        <w:br/>
        <w:t>112 [omissis] (MI) [35-40%] [35-40%] [70-75%]</w:t>
        <w:br/>
        <w:t>113 [omissis] (TO) [55-60%] [30-35%] [90-95%]</w:t>
        <w:br/>
        <w:t>114 [omissis] (MB) [40-45%] [20-25%] [60-65%]</w:t>
        <w:br/>
        <w:t>115 [omissis] (VA) [50-55%] [25-30%] [75-80%]</w:t>
        <w:br/>
        <w:t>116 [omissis] (MI) [45-50%] [25-30%] [75-80%]</w:t>
        <w:br/>
        <w:t>117 [omissis] (BG) [10-15%] [45-50%] [60-65%]</w:t>
        <w:br/>
        <w:t>118 [omissis] (VA) [35-40%] [25-30%] [60-65%]</w:t>
      </w:r>
    </w:p>
    <w:p>
      <w:r>
        <w:rPr>
          <w:b/>
        </w:rPr>
        <w:t>[Pages 25–27]</w:t>
      </w:r>
    </w:p>
    <w:p>
      <w:r>
        <w:t>BULLETIN NO. 46 OF NOVEMBER 22, 2021 27</w:t>
        <w:br/>
        <w:t>Quota of</w:t>
        <w:br/>
        <w:t>Quota of Quota of</w:t>
        <w:br/>
        <w:t>Isochrones built around the pv Maxi Zoo market</w:t>
        <w:br/>
        <w:t>No. market market</w:t>
        <w:br/>
        <w:t>(address) aggregated</w:t>
        <w:br/>
        <w:t>Arcaplanet MaxiZoo</w:t>
        <w:br/>
        <w:t>Parts</w:t>
        <w:br/>
        <w:t>119 [omissis] (TO) [40-45%] [10-15%] [50-55%]</w:t>
        <w:br/>
        <w:t>120 [omissis] (TV) [40-45%] [20-25%] [60-65%]</w:t>
        <w:br/>
        <w:t>121 [omissis] (VI) [1-5%] [50-55%] [55-60%]</w:t>
        <w:br/>
        <w:t>122 [omissis] (MI) [45-50%] [30-35%] [75-80%]</w:t>
        <w:br/>
        <w:t>123 [omissis] (TV) [25-30%] [45-50%] [70-75%]</w:t>
        <w:br/>
        <w:t>124 [omissis] (VR) [15-20%] [25-30%] [40-45%]</w:t>
        <w:br/>
        <w:t>Source: AGCM processing on data from the Parties.</w:t>
      </w:r>
    </w:p>
    <w:p>
      <w:r>
        <w:t>28 BULLETIN NO. 46 OF NOVEMBER 22, 2021</w:t>
        <w:br/>
        <w:t>REPORTING AND CONSULTATIVE ACTIVITIES</w:t>
        <w:br/>
        <w:t>AS1801 - CALABRIA REGION - EXTENSION OF MARITIME STATE CONCESSIONS FOR TOURIST-RECREATIONAL PURPOSES</w:t>
        <w:br/>
        <w:t>Rome, November 16, 2021</w:t>
        <w:br/>
        <w:t>Calabria Region</w:t>
        <w:br/>
        <w:t>The Competition and Market Authority has identified some competitive criticalities, not justified by general interest needs, arising from the administrative act of this Region (Directorate Circular No. 370854 of October 25, 2019, concerning "Law December 30, 2018, No. 145. Compliance regarding maritime state concessions - Clarifications Circular prot. 365002 of 22.10.2019") related to the extension of the temporal validity of maritime state concessions for tourist-recreational purposes in the regional context. Therefore, the Authority, in its meeting of November 4, 2021, decided, in the exercise of its powers under Article 21 of Law October 10, 1990, No. 287, to send this report to this Region.</w:t>
        <w:br/>
        <w:t>In particular, through the aforementioned administrative act, the Calabria Region indicated to the coastal municipalities of Calabria the administrative procedure to be followed in order to extend the duration of concessions of maritime state assets for tourist-recreational use in favor of existing concessionaires, based on what is provided for in Article 1, paragraphs 682, 683, and 684, of Law No. 145/2018 (which established a new expiration date for maritime state concessions for tourist-recreational purposes on December 31, 2033).</w:t>
        <w:br/>
        <w:t>In this regard, in general terms, the Authority reminds that, in matters concerning the assignment of public assets (falling within the state or local authorities' unavailable assets), the identification of the private concessionaire must occur through the conduct, by the Public Administration, of public evidence procedures1.</w:t>
        <w:b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of the European Union, a national regulation that allows for the automatic extension of existing public state concessions for tourist-recreational activities must be considered in violation of these provisions2.</w:t>
        <w:br/>
        <w:t>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known, Member States are required to comply with the aforementioned EU principles and, where domestic legislation does not respect the provisions of the aforementioned Directive, conflicting with the principles of free movement and freedom of establishment, its relative disapplication is imposed3.</w:t>
        <w:br/>
        <w:t>In this sense, the Authority, in previous advocacy interventions, has repeatedly expressed the need to proceed with the assignment of concessions – including those concerning maritime state assets for tourist/recreational purposes4 – through the conduct of public evidence procedures.</w:t>
        <w:b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related to the privileged position attributed to the concessionaire5.</w:t>
        <w:br/>
        <w:t>2 See judgment of the Court of Justice of July 14, 2016, joined cases C-458/14 and C-67/15, Promoimpresa srl and others against the Consortium of the municipalities of the Brescia Shore of Lake Garda and Lake Idro and others.</w:t>
        <w:br/>
        <w:t>3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Court of Justice of the European Union in case 103/88, Fratelli Costanzo v. Comune di Milano, as well as in case C-224/97, Ciola and in case C-198/01, Consorzio Industrie Fiammiferi (CIF) v. Competition and Market Authority.</w:t>
        <w:br/>
        <w:t>In this sense, the Court of Justice of the European Union reiterated, most recently in the judgment of December 4, 2018, case C-378/17, that "the principle of the primacy of Union law imposes not only on judicial bodies but also on all institutions of the Member State to give full effect to the norms of the Union" (par. 39), and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Court of Justice of the European Union in case 106/77, Administration of State Finances v. Simmenthal SpA, in case C-119/05, Lucchini, in case C-614/14, Ognyanov and in joined cases C-52/16 and C-113/16, "SEGRO" Kft.</w:t>
        <w:br/>
        <w:t>4 See the report made by the Authority on December 12, 2018, pursuant to Articles 21 and 22 of Law No. 287/1990 (AS1550 – Concessions and competitive criticalities, in Bulletin No. 48/2018).</w:t>
        <w:br/>
        <w:t>5 Administrative jurisprudence has also noted a misalignment between national legislation providing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br/>
        <w:t>In this regard, see, among others, TAR Veneto, judgment No. 218/2020, TAR Puglia, judgment No. 36/2020, and Council of State, Section VI, judgment No. 7874/2019, cited; as well as, most recently, precisely on the issue of the automatic extension of existing maritime state concessions, TAR Toscana, judgment No. 363/2021, Council of State, Section IV, judgment February 16, 2021, No. 1416, cited, and Council of State, Section VI, judgment March 9, 2021, No. 2002, cited. In particular, in the last two cited judgments, the Council of State ruled, in the first case, that "any national or regional legislation must in this matter be inspired</w:t>
      </w:r>
    </w:p>
    <w:p>
      <w:r>
        <w:rPr>
          <w:b/>
        </w:rPr>
        <w:t>[Pages 28–30]</w:t>
      </w:r>
    </w:p>
    <w:p>
      <w:r>
        <w:t>30 BULLETIN NO. 46 OF NOVEMBER 22, 2021</w:t>
        <w:br/>
        <w:t>With specific reference to the procedures and measures for the extension of existing concessions6, the Authority has repeatedly emphasized7 that it is in the interest of the market to carefully balance the short-term benefits and the possible costs that may manifest over a longer time horizon.</w:t>
      </w:r>
    </w:p>
    <w:p>
      <w:r>
        <w:t>The granting of extensions in favor of existing concessionaires, in fact, further postpones competitive comparison for the market, thus preventing the benefits that would arise from periodic competition for the award through public procurement procedures. Therefore, any extensions of the awards should not exceed the actual needs of the Administrations, to allow for the efficient allocation of public resources as soon as possible through competitive procedures.</w:t>
      </w:r>
    </w:p>
    <w:p>
      <w:r>
        <w:t>Lastly, in the recent report pursuant to Articles 21 and 22 of Law No. 287/90 regarding "Proposals for competitive reform for the Annual Law for the Market and Competition for the year 2021" dated March 22, 2021, sent to the President of the Council of Ministers, the Authority observed that the awarding of concessions through competitive procedures allows for the full enhancement of the public asset of the Italian coasts which, as recognized in Article 1, paragraph 675, of the same Law No. 145/2018, represents a strategic element for the country's economic system.</w:t>
      </w:r>
    </w:p>
    <w:p>
      <w:r>
        <w:t>to the rules of the European Union on the calling of tenders (see Cons. State, Section VI, April 13, 2017, No. 1763), given the direct effect in the internal legal order of the Member States of the rulings of the Court” and, in the second case, that “the new context is characterized by the consideration of the effectiveness of the Union legal framework, which can be inferred, in support of the Municipality's thesis, from the noted ruling of the EU Court in Promoimpresa of July 14, 2016, as a legal framework that imposes the selective procedure, where the Municipality decides to outsource the management of beaches for tourism and recreational purposes due to the scarcity of the aforementioned resource.”</w:t>
      </w:r>
    </w:p>
    <w:p>
      <w:r>
        <w:t>In particular, regarding the disapplication of national legislation conflicting with Union law, the following are also recalled: TAR Sicily, ruling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still be added that the observations of the Court of Justice regarding the obligation to disapply national legislation in conflict with Community law do not constitute an &lt;&lt;obiter dictum&gt;&gt;, but consist of statements made in the context of a preliminary ruling and related to the correct interpretation of the Treaties in relation to the decided case, that is, on the occasion of the precise fulfillment of the institutional tasks of that body, with the consequence that the related ruling is binding”); TAR Campania, ruling No. 265 of January 29, 2021 (where the Judge noted that “The plaintiff's assumption of the automatic fifteen-year extension of the relationship established with the previous maritime public concessions collides, therefore, with the disapplicative jurisprudential direction of the dilatory legislative norms issued in this subject matter, advocated also by this Section in rulings No. 1697 of October 2, 2019, and No. 221 of February 10, 2020, and inspired by the ruling established in this matter by the EU Court of Justice, Section V, in the cited ruling of July 14, 2016, C-458/14 and C-67/15”); TAR Abruzzo, ruling No. 40 of February 3, 2021 (where the Judge ruled that “the operation of the extensions provided by national legislation must be disapplied in compliance with the ruling of the Court of Justice of 2016, with the consequent illegitimacy of the acts of extension of public concessions in the absence of a tender (see Consiglio di Stato ruling 1368 of 2019; TAR Salerno ruling 265 of 2021)”).</w:t>
      </w:r>
    </w:p>
    <w:p>
      <w:r>
        <w:t>6 It is also recalled that the Court of Justice of the European Union, in establishing that the awarding of maritime public concessions for tourism and recreational use, which concern scarce natural resources, must necessarily take place through a selection procedure among potential candidates in compliance with all guarantees of impartiality and transparency, as well as adequate publicity, emphasized that national legislation providing for an ex lege extension of the expiration date of such concessions amounts to an automatic renewal in contrast to the provisions of Article 12, paragraph 2, of Directive 2006/123/EC (see CJEU, Section V, ruling of July 14, 2016, joined cases C-458/14 and C-67/15, cited).</w:t>
      </w:r>
    </w:p>
    <w:p>
      <w:r>
        <w:t>7 See the report made by the Authority on July 1, 2020, pursuant to Article 21 of Law No. 287/1990, AS 1684 – Observations regarding the provisions contained in the Relaunch Decree, in Bulletin No. 28/2020. See also reports AS 135 – Extensions of motorway concessions, in Bulletin No. 19/98; AS491 – Provisions on the granting of public domain concessions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for the year 2014, in Bulletin No. 27/2014.</w:t>
      </w:r>
    </w:p>
    <w:p>
      <w:r>
        <w:t>BULLETIN NO. 46 OF NOVEMBER 22, 2021 31</w:t>
        <w:br/>
        <w:t>These principles have recently been confirmed by TAR Tuscany8, which fully accepted the appeal under Article 21-bis of Law No. 287/90 with which the undersigned Authority challenged a measure (issued by a municipal Administration) similar to the one under examination, thus recognizing the full legitimacy of the Authority's intervention, in the exercise of the powers conferred upon it by the aforementioned provision, regarding automatic extensions, without a tender, of maritime public concessions for tourism and recreational purposes9.</w:t>
      </w:r>
    </w:p>
    <w:p>
      <w:r>
        <w:t>In light of all that precedes, the Authority believes that, for the reasons stated above, this Region should have disapplied the national legislation underlying the aforementioned administrative act due to its contradiction with the discipline and the Euro-unitary principles mentioned above.</w:t>
      </w:r>
    </w:p>
    <w:p>
      <w:r>
        <w:t>The provisions regarding the extension of maritime public concessions for tourism and recreational purposes contained in the administrative measure in question indeed constitute specific violations of competitive principles, insofar as they prevent the competitive comparison that should be guaranteed in the awarding of services affecting scarce public resources, in a market context where competitive dynamics are already particularly weakened due to the long duration of the currently existing concessions.</w:t>
      </w:r>
    </w:p>
    <w:p>
      <w:r>
        <w:t>In conclusion, therefore, the regional administrative act in question is in contrast with Articles 49 and 56 of the TFEU, as it is likely to unjustifiably limit the freedom of establishment and the free movement of services in the internal market, as well as with the Euro-unitary regulatory provisions regarding public procurement, with particular reference to Article 12 of the so-called Services Directive.</w:t>
      </w:r>
    </w:p>
    <w:p>
      <w:r>
        <w:t>The Authority therefore hopes that this Region will amend the indicated provisions by eliminating the highlighted competitive distortions, as specified above.</w:t>
      </w:r>
    </w:p>
    <w:p>
      <w:r>
        <w:t>The Authority also invites this Region to communicate, within thirty days from the receipt of this report, the determinations made regarding the competitive issues highlighted above.</w:t>
      </w:r>
    </w:p>
    <w:p>
      <w:r>
        <w:t>This report will be published in the Bulletin referred to in Article 26 of Law No. 287/90.</w:t>
      </w:r>
    </w:p>
    <w:p>
      <w:r>
        <w:t xml:space="preserve">THE PRESIDENT </w:t>
        <w:br/>
        <w:t>Roberto Rustichelli</w:t>
      </w:r>
    </w:p>
    <w:p>
      <w:r>
        <w:t xml:space="preserve">8 See ruling No. 363 of March 8, 2021, cited. </w:t>
        <w:br/>
        <w:t>9 In particular, TAR Tuscany annulled the Director's Determination No. 408 of May 21, 2020 of the Municipality of Piombino, subject to a reasoned opinion of the Authority pursuant to Article 21-bis of Law No. 287/90 (see AS1701 – Municipality of Piombino (LI): maritime public concessions for tourism and recreational purposes, in Bulletin No. 41/2020), with which the local authority in question had initiated the procedure for the extension of the temporal validity of the maritime public concessions located in the municipal territory without proceeding with the comparative procedure provided for by Article 12 of Directive 2006/123/EC. In this ruling, the administrative Judge expressly stated that the Municipality should have disapplied the national legislative provisions that provide for automatic extensions without a tender, due to their conflict with the Euro-unitary legislation referred to in Article 12 of Directive 2006/123/EC, and carry out public procurement procedures for the identification of new concessionaires, once the existing concessions expire.</w:t>
      </w:r>
    </w:p>
    <w:p>
      <w:r>
        <w:t>32 BULLETIN NO. 46 OF NOVEMBER 22, 2021</w:t>
        <w:br/>
        <w:t>UNFAIR COMMERCIAL PRACTICES</w:t>
        <w:br/>
        <w:t>PS11919 - COMUNICA ITALIA-APP IT ALERT</w:t>
        <w:br/>
        <w:t>Measure No. 29879</w:t>
        <w:br/>
        <w:t>THE COMPETITION AND MARKET AUTHORITY</w:t>
        <w:br/>
        <w:t>IN ITS MEETING of November 4, 2021;</w:t>
        <w:br/>
        <w:t>HEARD the Rapporteur, Professor Michele Ainis;</w:t>
        <w:br/>
        <w:t>HAVING REGARD TO Part II, Title III of Legislative Decree No. 206 of September 6, 2005,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br/>
        <w:t>HAVING REGARD TO its resolution of August 4, 2021, with which, pursuant to Article 7, paragraph 3, of the Regulation, the extension of the conclusion term of the procedure was ordered for particular investigative needs;</w:t>
        <w:br/>
        <w:t>HAVING REGARD TO the acts of the procedure;</w:t>
        <w:br/>
        <w:t>I. THE PARTY</w:t>
        <w:br/>
        <w:t xml:space="preserve">1. ComunicaItalia S.r.l. (hereinafter CI or also ComunicaItalia), a company active in the design and management of telephone platforms, including via the internet, radio, and satellite. In the financial year ending December 31, 2020, the company recorded sales and service revenues of approximately one million five hundred fifty thousand euros1. </w:t>
        <w:br/>
        <w:t>II. THE COMMERCIAL PRACTICE</w:t>
        <w:br/>
        <w:t xml:space="preserve">2. The procedure concerns the behavior carried out by the professional, consisting of the dissemination on its website (web address: www.italert.it) and through the It-Alert app of names and distinctive graphic signs of its social alert and natural disaster service, as well as information about the same service, such as to generate confusion with the services of the Civil Protection. </w:t>
        <w:br/>
        <w:t>III. THE RESULTS OF THE PROCEDURE</w:t>
        <w:br/>
        <w:t>1) The course of the procedure</w:t>
        <w:br/>
        <w:t xml:space="preserve">3. In relation to the commercial practice described above, on April 12, 20212, the professional was notified of the initiation of the investigative procedure PS11919, for possible violation </w:t>
        <w:br/>
        <w:t xml:space="preserve">1 Data from Infocamere for the financial year ending December 31, 2020. </w:t>
        <w:br/>
        <w:t>2 Doc. 6: communication of initiation sent to CI.</w:t>
      </w:r>
    </w:p>
    <w:p>
      <w:r>
        <w:rPr>
          <w:b/>
        </w:rPr>
        <w:t>[Pages 31–33]</w:t>
      </w:r>
    </w:p>
    <w:p>
      <w:r>
        <w:t>BULLETIN NO. 46 OF NOVEMBER 22, 2021 33</w:t>
        <w:br/>
        <w:t>of Articles 20, 21, paragraph 1, letter b), and paragraph 2, letter a), and 23, letter o), of the Consumer Code, as ComunicaItalia S.r.l. would mislead consumers regarding the nature and actual characteristics of the services advertised on the website www.italert.com, leading them to make a decision they would not have otherwise made (downloading the app and registering for the service).</w:t>
      </w:r>
    </w:p>
    <w:p>
      <w:r>
        <w:t>4. In this context, the misleading nature was particularly hypothesized regarding:</w:t>
        <w:br/>
        <w:t>− the presence of distinctive signs and the use of names aimed at confusing consumers about the actual nature and characteristics of the services offered, making them appear as those of the Civil Protection;</w:t>
        <w:br/>
        <w:t>− the use on the website of expressions that describe the social alert service provided by CI as if it were connected to that of the Civil Protection, while in reality it would be a service offered by a private company.</w:t>
      </w:r>
    </w:p>
    <w:p>
      <w:r>
        <w:t>5. On April 14, 2021, the Party submitted a request for access to the documents in the file, which was granted with communication on April 16, 2021.</w:t>
      </w:r>
    </w:p>
    <w:p>
      <w:r>
        <w:t>6. With communication on April 15, 2021, the reporters were informed of the initiation of the investigation against CI.</w:t>
      </w:r>
    </w:p>
    <w:p>
      <w:r>
        <w:t>7. On May 3, 2021, CI provided defensive memoranda and a response to the request for information contained in the initiation communication, as well as requested a hearing.</w:t>
      </w:r>
    </w:p>
    <w:p>
      <w:r>
        <w:t>8. On May 27, 2021, the hearing with the company took place.</w:t>
      </w:r>
    </w:p>
    <w:p>
      <w:r>
        <w:t>9. On June 12, 2021, the company CI transmitted the requested information during the hearing.</w:t>
      </w:r>
    </w:p>
    <w:p>
      <w:r>
        <w:t>10. On July 8, 2021, the Party was informed of the conclusion date of the investigative phase, pursuant to Article 16, paragraph 1, of the Regulation.</w:t>
      </w:r>
    </w:p>
    <w:p>
      <w:r>
        <w:t>11. On July 28, 2021, CI transmitted the concluding memoranda.</w:t>
      </w:r>
    </w:p>
    <w:p>
      <w:r>
        <w:t>12. With a letter dated August 4, 2021, CI was informed of the extension of the deadline for concluding the procedure.</w:t>
      </w:r>
    </w:p>
    <w:p>
      <w:r>
        <w:t>13. On August 31, 2021, the opinion was requested from the Authority for Communications Guarantees.</w:t>
      </w:r>
    </w:p>
    <w:p>
      <w:r>
        <w:t>14. On September 30, 2021, the opinion from the Authority for Communications Guarantees was received.</w:t>
      </w:r>
    </w:p>
    <w:p>
      <w:r>
        <w:t>2) The evidence acquired</w:t>
      </w:r>
    </w:p>
    <w:p>
      <w:r>
        <w:t>15. CI offers public administrations social alarm communication services, through which they can convey mass messages to citizens in case of emergency situations such as earthquakes, floods, etc. The professional markets a system called Alert System, distributed since 2005 to hundreds of administrations and local authorities.</w:t>
      </w:r>
    </w:p>
    <w:p>
      <w:r>
        <w:t>16. IT Alert is a social alarm communication system based on mobile equipment, which CI makes available to public administrations that have suffered damage to fixed communication equipment following a catastrophic event.</w:t>
      </w:r>
    </w:p>
    <w:p>
      <w:r>
        <w:t>17. The professional's website (address www.italert.it), according to the official acquisitions made on February 16, 2021, displays the name “ITALERT,” characterized by a single word, without space between the prefix ‘IT’ and the word ‘alert,’ positioned at the top left and just below the center, with the distinctive sign of the green, white, and red tricolor in the vowel ‘A,’ evocative of the Italian flag. Within the presentation text, the service is sometimes identified separately, that is, with the wording ‘IT Alert’ without the hyphen, and other times with the hyphen, thus using the name that distinguishes the public alert service of the Civil Protection (‘IT-Alert’).</w:t>
      </w:r>
    </w:p>
    <w:p>
      <w:r>
        <w:t>18. Furthermore, the descriptive text of the alarm service proposed by the company CI contains certain information from which it is possible to trace the target of potential users of the service, such as: “IT-Alert connects the administration to citizens. IT-alert was designed to manage the constant relationship between the Public Administration and the community, in order to make the latter an active part within an urban context. It is an effective, reliable, easy-to-use tool, active 24 hours a day.” With reference to the recipients to whom the service is addressed, it is also indicated: “For the citizen. Through targeted campaigns, it is possible to reach the citizen with voice calls, SMS, faxes, smartphone apps and protect them in case of emergencies (heavy rains, landslides, fires) or promptly inform them about daily situations (non-potable water, unexpected power outages, road closures, school closures).”</w:t>
      </w:r>
    </w:p>
    <w:p>
      <w:r>
        <w:t>19. Regarding the characteristics and the “Functionality of IT Alert,” the service consists of “sending alerts regarding imminent events using the networks of mobile operators; Fast sending of messages to all users in the risk area; Cyclical repetition of alerts within certain time margins; Maximum accuracy of alerts, based solely on information provided by authoritative sources.”</w:t>
      </w:r>
    </w:p>
    <w:p>
      <w:r>
        <w:t>20. Under the aforementioned descriptions, on the right side of the image of a mobile phone, there is the invitation “Install the IT Alert App,” “It is possible to download and install the application directly from the official stores of the major smartphone brands,” followed by the indications of the stores available for downloading the Application: “Download on App Store” and “Android App on Google Play.” Currently, however, it appears that the app cannot be downloaded on the mobile device due to technical issues.</w:t>
      </w:r>
    </w:p>
    <w:p>
      <w:r>
        <w:t>21. Nevertheless, the Party has produced some examples of screenshots of the app downloadable on mobile devices from which functionalities accessory to messaging are evident, such as: the geolocation of the citizen, the provision of a map of the area in which they are located, the quickest route indicated on it to reach a meeting point, relative to the exact location of the user, voice messaging, etc. In one screenshot, below the ITALERT brand, depicted as described earlier, the “voice message from the Civil Protection” appears.</w:t>
      </w:r>
    </w:p>
    <w:p>
      <w:r>
        <w:t>22. Where the consumer has downloaded the app and is under the coverage of the service, from the provided screenshots it appears that, when geolocated and provided with the map of the area, in addition to receiving operational information to reach the nearest meeting point, they are informed through commercial indications on the same map, with functions such as, for example, “What is here?” or “search nearby,” and with icons of commercial activities located in the area where they are.</w:t>
      </w:r>
    </w:p>
    <w:p>
      <w:r>
        <w:rPr>
          <w:b/>
        </w:rPr>
        <w:t>[Pages 34–36]</w:t>
      </w:r>
    </w:p>
    <w:p>
      <w:r>
        <w:t>36 BULLETIN NO. 46 OF NOVEMBER 22, 2021</w:t>
        <w:br/>
        <w:t>23. It also appears that, at present, the company has not entered into any contract with any Public Administration, as IT Alert requires a geographical coverage project from the individual Territorial Authority that has not yet been realized. In fact, the app developed by the company operates in individual areas only if the concerned Municipality has activated the service, which presupposes the signing of a contract and the installation of mobile equipment21.</w:t>
        <w:br/>
        <w:t>24. The Civil Protection service, called 'it-alert' (with the hyphen), instead follows the European standard called 'EU-Alert' as defined by ETSI – European Telecommunications Standard Institute22. In fact, "The operating systems of mobile phones, such as Android and iOS, have supported EU-Alert since 2012 via Cell Broadcast for public warning messages. EU-Alert provides various types of public utility messages related to ongoing emergencies or imminent dangers, thus representing, as described in Article 1, paragraph 1, letter ee-quinquies of Legislative Decree No. 259/2003 'Electronic Communications Code', the system for disseminating public alarms to end users affected by serious emergencies and imminent or ongoing disasters, which can use mobile interpersonal communication services"23.</w:t>
        <w:br/>
        <w:t>25. From a communication transmitted by the entity that manages the registry of Italian internet domains, namely the company Register.it24, it appears that the domain name “italert.it” was assigned to CI on December 19, 2018, while the name “IT-Alert”, registered to the “Department of Civil Protection” was assigned on June 30, 2020. Before this domain name management body, two opposition proceedings were initiated by the Department of Civil Protection and ComunicaItalia against each other's domain name25. In this regard, Register.it also stated that only in certain strictly defined cases is it possible to reassign a domain name26 and that, “outside of such cases, Register.it is not authorized to proceed with the reassignment of an assigned domain name […]”. Register.it explained that “this activity, in fact, except for recourse to the competent Authorities, is entrusted by the aforementioned Regulatory system to extrajudicial dispute resolution tools such as the Reassignment procedure and Arbitration as expressly provided for by the Regulation for the resolution of disputes in the ccTLD.it”27.</w:t>
        <w:br/>
        <w:t>3) The Professional's Defensive Arguments</w:t>
        <w:br/>
        <w:t>26. In communications transmitted on May 3, 2021, June 14, 2021, and July 28, 202128, the professional presented their defensive arguments as follows:</w:t>
        <w:br/>
        <w:t>− two types of services dedicated to social alert have been created: (i) the service called “Alert System”, provided since 2005 to hundreds of Public Administrations, with devices allocated in protected structures, and (ii) the more recent ‘ITAlert’. The former is provided at the national level, but also subdivides the territory into limited geographical areas (regions, cities, neighborhoods, streets, etc.), so that the platform operates and classifies and communicates danger messages to recipients at a granular level. Over 1,000 Italian municipalities, including Bergamo, the city most affected by the first wave of Covid, have joined the “Alert System” free of charge;</w:t>
        <w:br/>
        <w:t>− “IT Alert” is, on the other hand, a product developed recently and involves the use of different and more advanced technologies compared to “Alert System”, with a hardware system of mobile structures, dedicated exclusively to public administrations, the only potential clients, with whom there are currently no contracts. Therefore, any consumer relationship regarding the service should be excluded, and the economic behavior of consumers would not be distorted, as the service is not intended for them29:</w:t>
        <w:br/>
        <w:t>− the cost of the IT Alert service varies according to the operational needs of the individual administration and based on the territorial configuration of the intervention area. Since no contract has been signed, no revenue has been generated for the service;</w:t>
        <w:br/>
        <w:t>− regarding the patent, the sign “ITAlert” is used by the company based on a regularly registered trademark30, any dispute regarding industrial property rights would fall under the jurisdiction of the Courts expressly indicated for this purpose by Legislative Decree No. 168 of June 27, 2003, and therefore, the case in question would not fall within the scope of the Consumer Code;</w:t>
        <w:br/>
        <w:t>− the domain name “italert.it” was assigned to CI on December 9, 2018, while the domain name “it-alert.it” was assigned to the Department of Civil Protection on June 30, 2020, and therefore, based on the principle of “first come first served”, the company has the right to use the assigned domain name;</w:t>
        <w:br/>
        <w:t>− the signs appearing on the website www.italert.it are different in color, size, and graphics from the signs appearing on the Civil Protection website www.it-alert.it, and the colors (including red, white, and green) used by the company are not only not used by the Department of Civil Protection, but are also not subject to any exclusivity.</w:t>
        <w:br/>
        <w:t>IV. OPINION OF THE AUTHORITY FOR COMMUNICATIONS GUARANTEES</w:t>
        <w:br/>
        <w:t>27. Since the commercial practice subject to this measure was disseminated via the internet, on August 31, 2021, an opinion was requested from the Authority for Communications Guarantees, pursuant to Article 27, paragraph 6, of the Consumer Code.</w:t>
        <w:br/>
        <w:t>28. In an opinion received on September 30, 2021, the aforementioned Authority stated that the means of communication used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 Therefore, in this case, the internet is to be considered a suitable tool to significantly influence the realization of the commercial practice in question.</w:t>
        <w:br/>
        <w:t>29. Doc. 19, Annex 2: statement of the auditor of the company ComunicaItalia dated July 23, 2021, from which it appears that “there are no clients who are natural persons appearing in the company's invoices or in other accounting documents, in relation to the alerting and informing services for the population.”</w:t>
        <w:br/>
        <w:t>30. Doc. 11, Annex 2, cited.</w:t>
      </w:r>
    </w:p>
    <w:p>
      <w:r>
        <w:rPr>
          <w:b/>
        </w:rPr>
        <w:t>[Pages 37–39]</w:t>
      </w:r>
    </w:p>
    <w:p>
      <w:r>
        <w:t>BULLETIN NO. 46 OF NOVEMBER 22, 2021 39</w:t>
        <w:br/>
        <w:t>V. CONCLUDING EVALUATIONS</w:t>
        <w:br/>
        <w:t>29. As a preliminary matter, it is highlighted that the professional's assertion regarding the inapplicability of the Consumer Code to the case at hand, as the Legislative Decree of June 27, 2003, No. 168, on trademarks and patents would be applicable, with jurisdiction belonging to the expressly indicated Courts, is unfounded. In this regard, it is noted that the Consumer Code aims to protect the interests of consumers and micro-enterprises against misleading or omissive information that may cause, among other things, confusion regarding the nature and actual conditions of use of the goods and/or services marketed, and the identity of those who offer them.</w:t>
        <w:br/>
        <w:t>30. The subject of evaluation in the case at hand is therefore not issues related to the ownership of trademarks or domain names of individual subjects, but the informative methods with which ComunicaItalia promotes its social and environmental alarm service on its website (address www.italert.it) and also through the ItAlert app.</w:t>
        <w:br/>
        <w:t>31. For the performance of this activity, the company CI has disseminated and continues to disseminate information about its environmental alarm system using the name "ItAlert," characterized by a single word, without a space between the prefix 'IT' and the word 'Alert,' accompanied by the tricolor sign green, white, and red in the vowel 'A,' evocative of the Italian flag and, therefore, of the public nature of the service. Within the presentation text of the social alarm system, the name of the service is sometimes reported separately, i.e., 'IT Alert,' without the hyphen, and other times with the hyphen, just as the public alert service of the Civil Protection is distinguished ('IT-Alert').</w:t>
        <w:br/>
        <w:t>32. The heterogeneous use on the site of the name of the system, sometimes reported correctly without the hyphen, while other times with the hyphen—replicating in this case the name of the social alert service provided by the Civil Protection, which has created a portal called IT-Alert (web address: www.it-alert.it)—and the Italian tricolor associated with the "ItAlert" brand, represent elements that confuse the recipients of the commercial communications in question, leading them to believe that the service offered is that of a public nature from the Civil Protection.</w:t>
        <w:br/>
        <w:t>33. On the site, the above is reinforced by the description of the characteristics and nature of the advertised system, which consists of "sending alerts regarding imminent events using mobile operators' networks; Fast sending of messages to all users in the risk area; Cyclical repetition of alerts within certain time margins; Maximum accuracy of alerts, based solely on information provided by authoritative sources," that is to say, one of the services typically performed by the Civil Protection. It is also noted that, in the presence of claims of total functionality and efficiency of the service called "ITAlert," it has emerged that the system is not yet operational, as the company has not yet entered into any contract with any Public Entity. Under these circumstances, the functioning of the app that consumers can download on their mobile devices is impeded, and moreover, the same download of the application, although solicited by the professional on its site, is impossible for technical reasons. The indications reported on the professional's website are therefore not consistent with the reality of the facts and are likely to create confusion for the recipients regarding the actual functionality and existence of the advertised service.</w:t>
      </w:r>
    </w:p>
    <w:p>
      <w:r>
        <w:t>40 BULLETIN NO. 46 OF NOVEMBER 22, 2021</w:t>
        <w:br/>
        <w:t>34. With reference to the target of the commercial communications disseminated on the operator's site, during the investigation carried out, the company claimed that ItAlert is a system aimed only at Public Administrations, which would exclude the existence of any consumer relationship. However, the statements reported on the website contradict what the company claimed in its defense, as they imply that it is a service dedicated also to citizens.</w:t>
        <w:br/>
        <w:t>35. In fact, among the users of the 'ITAlert' service produced by CI, consumers are also included, as inferred from the information such as: "it connects the administration to citizens," "IT-alert was designed to manage the constant relationship between the Public Administration and the community," as well as especially from the invitation "Install the IT Alert App" "from the official stores of the major smartphone brands: APP Store and APP Android" (tools normally used by individual citizens and/or service users). All the aforementioned information suggests that the IT system concerns a service dedicated to individual citizens.</w:t>
        <w:br/>
        <w:t>36. Furthermore, it is noted that the app has accessory functions, in addition to the basic functions, as claimed by the professional in its defense documents, including user geolocation, the provision of a map of the area in which the user is located, the fastest route indicated on it to reach a meeting point, relative to the user's exact location. The presence on the maps of commercial indications, with search functions, makes the geolocated user an unwitting recipient of third-party commercial information, irrelevant to the basic function performed by the app. This aspect is likely to configure an economic relationship between the service provided by the professional through the app and the same tracked user, who, in order to use the service, provides the data of their position, which acquires economic value as it is used for sending advertising messages.</w:t>
        <w:br/>
        <w:t>37. The overall indications described above are therefore likely to cause confusion among consumers regarding not only the identity of the entity providing the service and the public or private nature of the system promoted by ComunicaItalia on the site and through the app, but also regarding the actual possibility of using a tool presented as useful for citizens in receiving meteorological and environmental alert messages. In this respect, the indications and descriptions of the service reported on the website are likely to cause potential harm to consumers.</w:t>
        <w:br/>
        <w:t>38. The behaviors described above constitute an unfair commercial practice, in violation of Articles 20, 21, paragraph 1, letter b), and paragraph 2, letter a), and 23, letter o), of the Consumer Code, as ComunicaItalia S.r.l., in reporting its name on the site in ways that evoke the service of the Civil Protection and the information about the nature of the service, misleads consumers regarding the identity of the entity providing the advertised services, and their nature and actual characteristics, leading them to make a decision they would not have otherwise made. Furthermore, the site presents an additional element of misleadingness consisting of the invitation to citizens to download the app, which, however, is currently nonexistent.</w:t>
        <w:br/>
        <w:t>39.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40.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41. Regarding the severity of the violation, in the case at hand, account is taken of the economic size of the professional, who achieved, in the financial year ending December 31, 2020, sales and service revenues of approximately one million five hundred fifty thousand euros, the nature of the infringement, consisting of the implementation of a misleading commercial practice, the potential harm to consumers arising from the discrepancy between what was advertised on the site and the actual availability of a service of great importance such as the social alarm proposed by the company, as well as the widespread dissemination, via the internet, of the messages in question.</w:t>
        <w:br/>
        <w:t>42. As for the duration of the violation, from the elements acquired in the records, it appears that the commercial practice has been in place at least since October 2020 and is currently ongoing.</w:t>
        <w:br/>
        <w:t>43. Based on these elements, it is deemed appropriate to determine the amount of the administrative pecuniary sanction applicable to ComunicaItalia S.r.l. at the amount of €30,000 (thirty thousand euros). IT IS THEREFORE CONSIDERED, in accordance with the opinion of the Authority for Communications Guarantees, based on the aforementioned considerations, that the commercial practice in question is unfair pursuant to Articles 20, 21, paragraph 1, letter b), and paragraph 2, letter a), and 23, letter o), of the Consumer Code, as ComunicaItalia S.r.l., in reporting its name on the site, in ways that evoke the service of the Civil Protection, and the information about the nature of the service, misleadingly leads to believe that it is a public service, whereas in reality it is a system produced by a private company, which is not even currently available, thus appreciably distorting the choices of the average consumer;</w:t>
        <w:br/>
        <w:t>DECIDES</w:t>
        <w:br/>
        <w:t>a) that the commercial practice described in point II of this measure, carried out by the company ComunicaItalia S.r.l., constitutes, for the reasons and within the limits set forth in the motivation, an unfair commercial practice pursuant to Articles 20, 21, paragraph 1, letter b), and paragraph 2, letter a), and 23, letter o), of the Consumer Code, and prohibits its dissemination or continuation;</w:t>
        <w:br/>
        <w:t>b) to impose on ComunicaItalia S.r.l. an administrative pecuniary sanction of €30,000 (thirty thousand euros);</w:t>
      </w:r>
    </w:p>
    <w:p>
      <w:r>
        <w:rPr>
          <w:b/>
        </w:rPr>
        <w:t>[Pages 40–42]</w:t>
      </w:r>
    </w:p>
    <w:p>
      <w:r>
        <w:t>42 BULLETIN NO. 46 OF NOVEMBER 22, 2021</w:t>
        <w:br/>
        <w:t>c) that the professional shall communicate to the Authority, within sixty days from the notification of this measure, the initiatives taken in compliance with the warning referred to in point a). The administrative penalty imposed must be paid within thirty days from the notification of this measure, using the tax codes indicated in the attached F24 model with identifying elements, pursuant to Legislative Decree No. 241/1997. Payment must be made electronically by debiting one's bank or postal account, through the home banking and CBI services provided by banks or Poste Italiane S.p.A., or by using the online services of the Revenue Agency, available on the website www.agenziaentrate.gov.it.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date on which the role is transmitted to the collection agent; in this case, the increase absorbs the late payment interest accrued during the same period. Immediate communication of the payment must be given to the Authority by sending the documentation certifying the payment made. This measure will be notified to the interested parties and published in the Bulletin of the Competition and Market Authority.</w:t>
        <w:br/>
        <w:t>THE SECRETARY GENERAL THE PRESIDENT</w:t>
        <w:br/>
        <w:t>Filippo Arena Roberto Rustichelli</w:t>
      </w:r>
    </w:p>
    <w:p>
      <w:r>
        <w:t>BULLETIN NO. 46 OF NOVEMBER 22, 2021 43</w:t>
        <w:br/>
        <w:t>PS11930 - GRIMALDI LINES-CANCELLATION INSURANCE</w:t>
        <w:br/>
        <w:t>Measure No. 29880</w:t>
        <w:br/>
        <w:t>THE COMPETITION AND MARKET AUTHORITY</w:t>
        <w:br/>
        <w:t>IN ITS MEETING of 4 November 2021;</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w:t>
        <w:br/>
        <w:t>HAVING REGARD TO the communication received on 25 June 2021 and supplemented on 15 July 2021, whereby Grimaldi Group S.p.A. submitted commitments pursuant to Article 27, paragraph 7, of the Consumer Code and Article 9 of the Regulation;</w:t>
        <w:br/>
        <w:t>HAVING REGARD TO the documents of the proceeding;</w:t>
        <w:br/>
        <w:t>I. THE PARTY</w:t>
        <w:br/>
        <w:t>1. Grimaldi Group S.p.A. (hereinafter also "Grimaldi"), as a professional, pursuant to Article 18, letter b), of the Consumer Code, is active in the maritime transport sector for passengers, vehicles, and goods on the main national routes, either directly or through its subsidiaries. The company's financial statements for the fiscal year ending 31 December 2020 show revenues of over 59 million euros1.</w:t>
        <w:br/>
        <w:t>II. THE COMMERCIAL PRACTICE</w:t>
        <w:br/>
        <w:t>2. The proceeding concerns the behavior of the Professional, consisting of repeatedly urging consumers to purchase, on its website https://www.grimaldi-lines.com/it/, tickets for passenger transport services in conjunction with Europ Assistance insurance, suggesting that, in the event of subscribing to this additional service, coverage of various costs/risks including penalties charged by the Company, according to the policy in force, to the customer who voluntarily cancels the already purchased trip (so-called cancellation insurance)2.</w:t>
        <w:br/>
        <w:t>1 For the fiscal year 2020, the Company's revenues amount specifically to €59,751,899.00, down from the previous year (Source: Telemaco Infocamere).</w:t>
        <w:br/>
        <w:t>2 The General Conditions of Transport applied by the Carrier provided (in the paragraph "conditions for cancellation by the passenger") that in the case of voluntary cancellation of the standard ticket reservation by the customer, certain penalties of varying amounts would be charged, depending on the time distance of the cancellation from the already scheduled departure date. In particular:</w:t>
        <w:br/>
        <w:t>− "10%, plus fixed fees, up to 30 calendar days before departure;</w:t>
        <w:br/>
        <w:t>− 30%, plus fixed fees, from 29 to 7 calendar days before departure;</w:t>
        <w:br/>
        <w:t>− 50%, plus fixed fees from 6 to 2 calendar days before departure;</w:t>
        <w:br/>
        <w:t>− 100%, plus fixed fees, from the day before and/or for failure to show up for boarding."</w:t>
      </w:r>
    </w:p>
    <w:p>
      <w:r>
        <w:t>44 BULLETIN NO. 46 OF NOVEMBER 22, 2021</w:t>
        <w:br/>
        <w:t>3. The invitation to subscribe to this optional service would have been insistently conveyed to customers before and during the online purchase phase of travel tickets - particularly in the General Conditions of Transport3, in the informational section of the company website and in the online booking form4 - even during 2020, in the midst of the Covid-19 health emergency, despite the fact that the policy in question excluded from insurance coverage precisely the occurrence of "epidemics with pandemic characteristics, of severity and virulence such as to cause high mortality or requiring restrictive measures to reduce the risk of transmission to the civilian population, quarantines."</w:t>
        <w:br/>
        <w:t>III. THE OUTCOMES OF THE PROCEEDING: THE PRESENTATION OF COMMITMENTS</w:t>
        <w:br/>
        <w:t>1) The course of the proceeding</w:t>
        <w:br/>
        <w:t>4. In relation to the above-described commercial practice, based on a complaint from a consumer5 and various information acquired pursuant to the Consumer Code6, on 27 May 2021, the initiation of investigative proceeding No. PS11930 was communicated to the professional.</w:t>
        <w:br/>
        <w:t>5.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certain information and related documentation.</w:t>
        <w:br/>
        <w:t>6. By note received on 25 June 20217, the Professional submitted a proposal for commitments, pursuant to Article 27, paragraph 7, of the Consumer Code and Article 9 of the Regulation, which was later modified and supplemented on 15 July 20218.</w:t>
        <w:br/>
        <w:t>7. Grimaldi Group S.p.A. participated in the proceeding by providing responses to the information request contained in the initiation communication9 and accessing the documents of the PS11930 file10. The Company was heard in a hearing on 5 July 202111.</w:t>
        <w:br/>
        <w:t>8. On 31 August 2021, the date of conclusion of the investigative phase was communicated to Grimaldi pursuant to Article 16, paragraph 1, of the Regulation12.</w:t>
        <w:br/>
        <w:t>9. On 6 October 2021, the opinion of the Authority for Communications Guarantees was received.</w:t>
        <w:br/>
        <w:t>3 Both in Article 17 (Insurance) (where it was stated "Passengers are strongly advised to take out external insurance against cancellation costs, baggage, medical expenses, and repatriation assistance") and in Article 23 (Conditions for cancellation by the Passenger) where, after enumerating the various penalties chargeable to the customer intending to cancel the already paid trip, it was reiterated "Passengers are advised to take out insurance to cover the aforementioned penalties for cancellations."</w:t>
        <w:br/>
        <w:t>4 See document of 16 March 2021, prot. No. 29398, attachments nn. 5 and 7.</w:t>
        <w:br/>
        <w:t>5 Documents of 14 and 15 December 2020, prot. nn. 92746 and 92783.</w:t>
        <w:br/>
        <w:t>6 See minutes of acquisition on record of 17 and 23 February, 8 April, and 14 May 2021; document of 16 March 2021, prot. No. 29398.</w:t>
        <w:br/>
        <w:t>7 Document prot. No. 55149.</w:t>
        <w:br/>
        <w:t>8 Document prot. No. 59439.</w:t>
        <w:br/>
        <w:t>9 Documents of 17 June 2021, prot. No. 52919 and 24 June 2021, prot. No. 54579.</w:t>
        <w:br/>
        <w:t>10 Document of 4 June 2021, prot. No. 50064.</w:t>
        <w:br/>
        <w:t>11 Document of 9 July 2021, prot. No. 58001.</w:t>
        <w:br/>
        <w:t>12 Document prot. No. 67858.</w:t>
      </w:r>
    </w:p>
    <w:p>
      <w:r>
        <w:rPr>
          <w:b/>
        </w:rPr>
        <w:t>[Pages 43–45]</w:t>
      </w:r>
    </w:p>
    <w:p>
      <w:r>
        <w:t>BULLETIN NO. 46 OF NOVEMBER 22, 2021 45</w:t>
        <w:br/>
        <w:t>10. On October 21, the opinion of the Transport Regulatory Authority13 was received.</w:t>
        <w:br/>
        <w:t>2) The elements acquired and the commitments of the professional</w:t>
        <w:br/>
        <w:t>The elements acquired14</w:t>
        <w:br/>
        <w:t>11. During 2020, the Professional offered customers, in various sections of its corporate website and by selecting the optional service during online booking, the purchase, in conjunction with the chosen travel ticket, of a Europ Assistance policy capable of covering, among other things, the cost of penalties charged by the Carrier in the event of voluntary cancellation of the trip.</w:t>
        <w:br/>
        <w:t>12. The documentation related to the aforementioned policy (dated January 1, 2018) consisted of the DIP15 and the full text of the Insurance Conditions, both containing among the express "exclusions" of the insurance coverage, the cases of "epidemics with characteristics of a pandemic"16; the insurance premium required from the customer at the time of signing the multi-risk policy in question was €3.80 for each person and for each leg included in the insurance.</w:t>
        <w:br/>
        <w:t>13. In 2020, Grimaldi received [10,000-50,000]* ticket bookings with an associated policy17 for a total value of over [5-15 million] euros; [1,000-2,000] passengers voluntarily canceled their trip already booked with Grimaldi and therefore requested a refund of the related penalties provided by the Company: the refund request was rejected for [100-1,000] of such passengers based on various reasons, and over half of these rejections were found, in various ways, to be connected to the coronavirus18.</w:t>
        <w:br/>
        <w:t>14. Following the expiration (dating back to December 31, 2020) of the previous agreement, the Professional signed a new agreement – effective from January 2021 – with a different insurance company (Nobis) to offer the Carrier's customers a new "multi-risk" policy, made accessible on Grimaldi's website starting from February 19, 202119. From that date, the</w:t>
        <w:br/>
        <w:t>13 Doc. of October 21, 2021, prot. n. 80508.</w:t>
        <w:br/>
        <w:t>14 On February 22, 2021 (prot. n. 23087), a request for information was sent to the Professional who provided documented responses with a note dated March 16, 2021 (prot. n. 29398) and related attachments. Furthermore, on June 17 and 26, 2021 (prot. nn. 52919 and 54579), Grimaldi responded to further requests for information contained in the communication initiating the procedure. Additionally, it provided further elements and informative integrations with communication dated July 15, 2021, prot. n. 59439.</w:t>
        <w:br/>
        <w:t>15 "Information Document relating to the insurance product," i.e., a summary and synthesis sheet prepared in accordance with IVASS directives.</w:t>
        <w:br/>
        <w:t>16 "Insurance Conditions mod. TAD232/2, ED. 01.01.2018" – "SECTION I – trip cancellation insurance," Art. 14 ("EXCLUSIONS") "Cases of withdrawal caused by (...) J) epidemics with characteristics of a pandemic, of severity and virulence such as to involve a high mortality rate or to require restrictive measures to reduce the risk of transmission to the civilian population, quarantines" are excluded from the guarantee.</w:t>
        <w:br/>
        <w:t>* In this version, some data are omitted, as elements of confidentiality or secrecy of the information were deemed to exist.</w:t>
        <w:br/>
        <w:t>17 For a total of [100,000-200,000] insured passengers.</w:t>
        <w:br/>
        <w:t>18 Specifically: [100-500] rejections were motivated by "CORONAVIRUS: claims with the cause of cancellation due to Coronavirus (fear of contagion, emergency situation) rejected due to the exclusion of the policy related to epidemics"; [100-500] rejections were motivated by "CORONAVIRUS DECREE: claims rejected by virtue of the decrees issued that established the prohibition of travel for tourism purposes and the possibility of obtaining a refund/voucher from the Organizer"; [10-50] rejections were motivated by "CORONAVIRUS PROHIBITION: claims rejected because the trip was canceled following the cancellation of a non-permitted event" (see Annex 10 to the doc. of March 16, 2021, prot. n. 29398).</w:t>
        <w:br/>
        <w:t>19 Due to the time required for updating documentation and technical-informatic systems, from January 1 until February 18 of this year, a provisional notice (also detected ex officio) was present on the Professional's website informing customers of the temporary unavailability of the insurance documentation online and preserving, in the meantime, the possibility of acquiring it directly and signing the new multi-risk policy by contacting the Carrier directly.</w:t>
        <w:br/>
        <w:t>20 From the homepage, within the "to depart" section, at the link https://www.grimaldi-lines.com/it/assicurazione-nobis/.</w:t>
        <w:br/>
        <w:t>21 See office findings dated April 7, 2021. The Professional specifies that "Regarding passengers who make a booking request with an associated insurance policy through the call center or via email, in both cases, a specific email message is sent to the customer containing the hyperlink (link) to the page of the Company's website where it is possible to download the informative documentation relating to the multi-risk policy (https://www.grimaldi-lines.com/it/assicurazione-nobis/). With the same message, the customer is also invited to read the information set and to proceed with the purchase if the related conditions have been understood and accepted."</w:t>
        <w:br/>
        <w:t>22 The asterisk referred to the clarification – written in smaller characters and placed at the bottom of the same web page – stating that "*In the context of the Covid-19 epidemic, passengers who are forced to cancel the trip due to Covid-19 infection or travel restrictions imposed by current regulations at the time of departure are entitled, regardless of the purchase of the insurance policy, to the issuance of a voucher by the carrier equal to the value of the ticket. The insurance coverage applies to cases of cancellation different from this, expanding the protection of the passenger."</w:t>
        <w:br/>
        <w:t>23 Doc. of September 2, 2021, prot. n. 68830.</w:t>
        <w:br/>
        <w:t>24 The professional specifies that the measures in question expressly aim to compensate all rejections ([100-500]) connected to the current pandemic and included in the reasons mentioned above, of "CORONAVIRUS," "CORONAVIRUS DECREE," "CORONAVIRUS PROHIBITION."</w:t>
        <w:br/>
        <w:t>25 For example, vehicle accompanying, accommodation, animals, meals, taxes, and fees.</w:t>
      </w:r>
    </w:p>
    <w:p>
      <w:r>
        <w:t>BULLETIN NO. 46 OF NOVEMBER 22, 2021 47</w:t>
        <w:br/>
        <w:t>ticket26, the value of said penalty and the insurance premium will be reimbursed, thus integrating the amount previously refunded by the Company and ensuring, even in these cases, the full return of what was paid by the customer. The monetary refund will be made by electronic bank transfer within 7 days from the date on which the customer communicated to the Company the details for the credit;</w:t>
        <w:br/>
        <w:t>b) issuance of a voucher worth 120% of the ticket price paid by the customer, for the parts of the journey not made, including all applied items (see above) and the amount of the insurance premium. If a penalty for voluntary cancellation was charged (and not refunded by the insurance company) that is less than 100% of the ticket price, the value of the voucher will be equal to 120% of the penalty amount plus the insurance premium.</w:t>
        <w:br/>
        <w:t>The voucher will be issued within 7 days from the date on which the Customer communicated their option to the Company and will have broad and flexible usage modalities for the benefit of the recipients27.</w:t>
        <w:br/>
        <w:t>Commitment No. 2 – (active "voucher")28</w:t>
        <w:br/>
        <w:t>18. This measure is specifically aimed at purchasers, during 2020, of a travel ticket associated with the Europ Assistance cancellation policy who did not benefit from the insurance coverage – due to the exclusion clause related to epidemics or other circumstances connected to the health emergency29 – and to whom the Company has paid a voucher, still "active," equal to the ticket price plus the insurance premium30.</w:t>
        <w:br/>
        <w:t>Grimaldi commits to ensuring these customers the alternative choice between:</w:t>
        <w:br/>
        <w:t>a) monetary refund of the value of the voucher, including the amount of the insurance premium, even in advance of the 12-month expiration, by electronic bank transfer within 7 days from the communication to the Company of the customer's details for the credit;</w:t>
        <w:br/>
        <w:t>26 It is recalled what has already been specified above, regarding the fact that Grimaldi, in the case of voluntary withdrawal from the trip by the passenger, applies penalties of varying amounts – based on the time distance of the withdrawal manifestation from the departure date – up to retaining 100% of the price already paid by the passenger if the withdrawal occurs only the day before boarding or in the case of no-show on the same day.</w:t>
        <w:br/>
        <w:t>27 In particular, the characteristics of such vouchers will be as follows:</w:t>
        <w:br/>
        <w:t>- usable for making bookings within 24 months from its issuance (and trips even on a later date provided they are booked within 24 months);</w:t>
        <w:br/>
        <w:t>- usable for purchasing transport services on all Grimaldi Lines passenger routes;</w:t>
        <w:br/>
        <w:t>- cumulative with any vouchers already issued in favor of the customer;</w:t>
        <w:br/>
        <w:t>- usable even in a fractional manner, to book tickets of lower price (thus preserving the availability for the customer of the remaining value) or higher (subject to payment of the due difference) than the amount of the originally purchased ticket;</w:t>
        <w:br/>
        <w:t>- transferable to third parties and usable by them under the same conditions provided for the holder;</w:t>
        <w:br/>
        <w:t>- refundable:</w:t>
        <w:br/>
        <w:t>i) after 12 months from issuance: the Customer may request a monetary refund of the ticket price (or the penalty amount), reduced by the value of any voucher already used and in any case within the limit of 100% (instead of 120%) of the amount initially paid by the customer or retained by the Carrier as a penalty;</w:t>
        <w:br/>
        <w:t>ii) after 24 months from issuance: in case of non-full use of the voucher within this period, the related value will in any case be refunded, reduced by the value already used, and in any case within the limit of 100% (instead of 120%) of the amount initially paid by the Customer or retained by the Company as a penalty.</w:t>
        <w:br/>
        <w:t>28 An "active voucher" is one that has not yet been used by the customer.</w:t>
        <w:br/>
        <w:t>29 Again, the reference is to the [100-500] cases mentioned above, in which the insurance company opposed the denial of the refund of penalties charged for withdrawal from the trip due to Covid.</w:t>
        <w:br/>
        <w:t>30 The Professional clarified that all vouchers (active or already used or refunded) issued by the Company in favor of customers who purchased a ticket associated with the Europ Assistance cancellation policy in 2020 include the amount of the insurance premium.</w:t>
      </w:r>
    </w:p>
    <w:p>
      <w:r>
        <w:rPr>
          <w:b/>
        </w:rPr>
        <w:t>[Pages 46–48]</w:t>
      </w:r>
    </w:p>
    <w:p>
      <w:r>
        <w:t xml:space="preserve">48 BULLETIN NO. 46 OF NOVEMBER 22, 2021  </w:t>
        <w:br/>
        <w:t xml:space="preserve">b) increase in the value of the voucher equal to 20% of the amount of its issuance: this voucher - having the same characteristics illustrated under commitment no. 1) - will be usable for bookings within 24 months from its issuance (and for trips to be made at a later date as long as they are booked within the 24 months).  </w:t>
        <w:br/>
        <w:t xml:space="preserve">19. In reference to both commitments 1) and 2), the Professional undertakes to provide - within 3 weeks from the date of notification of the acceptance measure - specific information to the interested parties regarding the possibility of requesting the described alternative benefits through a general announcement (via a link on the homepage of the company website that redirects to specific content on a separate web page31) as well as through individual messages sent via email/sms. Such messages will be sent directly to the agencies/intermediaries of sale where the ticket purchase was made through them.  </w:t>
        <w:br/>
        <w:t xml:space="preserve">20. As for the duration of the measures in question, it is provided that customers may choose between the alternative measures (monetary refund and voucher under commitment 1); early refund of the voucher or retention of the same with a 20% increase in value under commitment 2)) within 12 months from the expiration of the 3 weeks set for providing individual communications and publishing the information on the company website, following the acceptance of these commitments.  </w:t>
        <w:br/>
        <w:t xml:space="preserve">21. The Company also undertakes to progressively report on the implementation of commitments 1) and 2), through periodic informative reports: the first within 2 months from the date of notification of the acceptance measure and subsequent reports every six months until the complete implementation of the measures.  </w:t>
        <w:br/>
        <w:t xml:space="preserve">Transparency Information Measures  </w:t>
        <w:br/>
        <w:t xml:space="preserve">22. These are aimed at clarifying and completing the communication present in various sections of the Grimaldi website, in which reference is made in various ways to the multi-risk insurance policy (Nobis) - including the possibility of penalties applicable in case of voluntary cancellation of the trip - as currently proposed to customers, in order to alert about the existence of possible coverage limitations with an invitation to consult the relevant information set.  </w:t>
        <w:br/>
        <w:t xml:space="preserve">23. Furthermore, in consideration of the ongoing uncertainty regarding the pandemic situation (and in view of any related traffic restrictions), the Professional has intended to definitively clarify to customers that the insurance coverage currently offered has "complementary nature (...) with respect to the other protections provided by law" and that, for the cases of renunciation of the trip provided for by Article 88-bis of Decree Law 18/202032, "the issuance of a voucher equal to the price of the ticket constitutes a right of the passenger regardless of the purchase of the insurance policy." In particular, in the related communication addressed to consumers, it is specified that: "Passengers who cannot travel due to Covid-19 infection or existing travel restrictions at the time of departure have the right to request the carrier to issue a voucher under the conditions provided for in Article 88-bis DL 18/2020. In cases of cancellation by the passenger for reasons related to Covid-19, the insurance policy covers cases different from those provided for by Article 88-bis, operating in the event of infection of a family member of the insured or cancellation of the trip by an insured travel companion due to infection"33. Furthermore, the simultaneous applicability - in the presence of the relevant cases - of the current EU regulations on passenger rights in maritime transport is explicitly recalled ("In case of cancellation of the service by the carrier, the passenger is protected under Article 18 Reg. EU No. 1177/2010 (see passenger rights)").  </w:t>
        <w:br/>
        <w:t xml:space="preserve">Commitment No. 3  </w:t>
        <w:br/>
        <w:t xml:space="preserve">24. The Professional has therefore committed to making modifications/corrections/additions - fully reported in the attached Form and highlighted in bold/italic/strikethrough - within the following distinct sections of the company website:  </w:t>
        <w:br/>
        <w:t xml:space="preserve">a) in the General Conditions of Transport (https://www.grimaldi-lines.com/it/assistenza/condizioni-generali/) Articles 17 and 23;  </w:t>
        <w:br/>
        <w:t xml:space="preserve">b) in the FAQ (https://www.grimaldi-lines.com/it/faq-domande-frequenti/);  </w:t>
        <w:br/>
        <w:t xml:space="preserve">c) in the web section dedicated to the Multi-Risk Insurance Nobis (https://www.grimaldi-lines.com/it/assicurazione-nobis/);  </w:t>
        <w:br/>
        <w:t xml:space="preserve">d) web section dedicated to ticket cancellation and changes (https://www.grimaldi-lines.com/it/assistenza/modifica-annullamento-biglietti/);  </w:t>
        <w:br/>
        <w:t xml:space="preserve">e) online booking mask.  </w:t>
        <w:br/>
        <w:t xml:space="preserve">With these textual interventions, the Professional intends to provide transparency and completeness of information regarding the characteristics, conditions, and operation of the multi-risk policy offered as well as its correlation with the current national and EU regulations protecting passenger rights.  </w:t>
        <w:br/>
        <w:t xml:space="preserve">25. All measures under commitment 3 have already been implemented as of July 15, 2021, without time limits, "provided that if in the future the informative sections in question are modified, the Company will maintain equivalent standards of informational transparency."  </w:t>
        <w:br/>
        <w:t xml:space="preserve">IV. OPINION OF THE AUTHORITY FOR COMMUNICATIONS GUARANTEES  </w:t>
        <w:br/>
        <w:t xml:space="preserve">26. Since the commercial practice subject to this measure has also been disseminated via the internet and through telecommunications means, on September 9, 2021, the opinion was requested from the Authority for Communications Guarantees, pursuant to Article 27, paragraph 6, of the Consumer Code34.  </w:t>
        <w:br/>
        <w:t xml:space="preserve">27. With communication received on October 6, 202135, the aforementioned Authority expressed the requested opinion limiting its assessments to the suitability of the specific means of communication used to disseminate the commercial practices to impact and amplify any misleading and/or unfairness of the same practice. After noting, in general, the progressive increase in the daily use of the internet among the Italian population also for the purchase of goods and services - especially during the COVID-19 emergency period - the Authority for Communications Guarantees considered that this means of communication, used in the case at hand, "is suitable for developing a significant impact on consumers who, based on the information contained on the Professional's website, could be induced to make a commercial decision that they otherwise would not have made, thus fully developing the promotional potential of online communication in practice." Therefore, said Authority deemed that, "based on the documentation on record (...) the Internet is a suitable tool to significantly influence the realization" of the commercial practice subject to opinion.  </w:t>
        <w:br/>
        <w:t xml:space="preserve">V. OPINION OF THE TRANSPORT REGULATORY AUTHORITY  </w:t>
        <w:br/>
        <w:t xml:space="preserve">28. Since the commercial practice subject to this measure concerns the passenger transport sector, on September 9, 2021, the opinion was requested from the Transport Regulatory Authority (hereinafter also "ART"), pursuant to and for the effects of Article 27, paragraph 1-bis, of the Consumer Code, introduced by Article 1, paragraph 6, letter a), of Legislative Decree No. 21/201436.  </w:t>
        <w:br/>
        <w:t xml:space="preserve">29. With the opinion received on October 21, 202137, ART specifies that the practice in question, while referable to a generic right of passenger-consumers to informational transparency from the carrier-professional, does not pertain to specific cases governed by Regulation (EU) No. 1177/2010, relating to the rights of passengers traveling by sea and inland waterways - for which the Authority has specific supervisory functions - nor to cases contemplated by the regulatory acts adopted in this regard by the same Authority. Therefore, with the issuance of the requested opinion, ART "intends to provide contextual elements aimed at identifying the provisions pertaining to its area of competence that may serve as normative reference parameters for the evaluation of professional diligence standards and the adequacy of the commitments presented by the professional"38.  </w:t>
        <w:br/>
        <w:t xml:space="preserve">30. Coming to the merits of the commitments presented by Grimaldi - in particular the compensatory measures referred to in nos. 1) and 2) - ART:  </w:t>
        <w:br/>
        <w:t xml:space="preserve">- notes, "first of all, how it is an improvement, compared to what is provided by national emergency legislation, that the choice between voucher and refund is left to the passenger"39;  </w:t>
        <w:br/>
        <w:t xml:space="preserve">36 Docs. on the same date September 9, 2021, prot. nos. 70158 and 70159.  </w:t>
        <w:br/>
        <w:t xml:space="preserve">37 Doc. of October 21, 2021, prot. no. 80508.  </w:t>
        <w:br/>
        <w:t xml:space="preserve">38 ART recalls, first of all, the norms underlying its competencies and the power of intervention in the sector, among others, of maritime transport and in particular, Regulation (EU) No. 1177/2010 of the European Parliament and of the Council, of November 24, 2010, relating to the rights of passengers traveling by sea and inland waterways and which amends Regulation (EC) No. 2006/2004. According to Recital 1) "the Union's action in the field of maritime transport and inland waterways should be aimed, among other things, at ensuring a high level of passenger protection, similar to that offered by other modes of transport. Furthermore, the needs for consumer protection in general should be duly taken into account"; according to Recital 2) "Since the passenger traveling by sea and inland waterways is the weaker party in the transport contract, it is appropriate to ensure all such passengers a minimum level of protection. Nothing should prevent carriers from offering passengers more favorable contractual conditions than those set out in this regulation."  </w:t>
        <w:br/>
        <w:t>39 "And indeed, pursuant to the combined provisions of paragraphs 11 and 12 of Article 88-bis of Decree Law 18/2020, albeit limited to relationships concerning contracts established with effect from March 11, 2020, to September 30, 2020, in the event of withdrawal exercised by July 31, 2020, when the services are not rendered due to the effects resulting from the state of epidemiological emergency from COVID-19, the consideration already received may be refunded by means of a voucher of equal amount without the acceptance of the recipient being required for the issuance of such voucher."</w:t>
      </w:r>
    </w:p>
    <w:p>
      <w:r>
        <w:rPr>
          <w:b/>
        </w:rPr>
        <w:t>[Pages 49–51]</w:t>
      </w:r>
    </w:p>
    <w:p>
      <w:r>
        <w:t>BULLETIN NO. 46 OF NOVEMBER 22, 2021 51</w:t>
        <w:br/>
        <w:t>- welcomes the "7-day deadline within which the Company must provide the refund or voucher" as it is deemed consistent with what "is provided for by Article 18 of the European Regulation in the case of cancellation of the trip by the carrier"40;</w:t>
        <w:br/>
        <w:t>- notes that "the characteristics of the vouchers proposed to passengers appear to be improvements compared to the provisions of the aforementioned Article 88-bis of Decree-Law 18/2020, where a voucher of a value greater than the ticket price (120%) is offered, subject to particularly flexible usage conditions (usable on all Grimaldi Lines passenger routes, cumulative with other vouchers, divisible and transferable to third parties). The validity period of the voucher (24 months from issuance) is also in line with what is provided by the aforementioned provision (cf. Article 88-bis, paragraphs 4 and 12)";</w:t>
        <w:br/>
        <w:t>- also observes that "the channels and methods indicated by Grimaldi to reach" the beneficiaries of such measures "(namely through the publication of information on the homepage of the website with a direct link to the refund form; the personal sending of emails or, alternatively, SMS, addressed to all involved customers and discussions with sales intermediaries)" are "in line with the best industry practices, with a view to reaching all interested passengers."</w:t>
        <w:br/>
        <w:t>31. Regarding the transparency measures described in commitment 3, the Regulatory Authority finally considers that such interventions are suitable, in light of recitals (1) and (2) of the EU Regulation – "to mitigate the information asymmetries to the detriment of users regarding the (current) optional insurance policy proposed together with the sale of travel tickets," contributing, in particular, "to ensuring the passenger-consumer greater awareness, at the time of choosing the optional insurance policy associated with the purchase of the ticket, regarding the scope of the insurance coverage, the existence of possible limitations thereof, and the complementary relationship of the coverage offered by the insurance compared to the protections already provided by the Regulation and emergency legislation."</w:t>
        <w:br/>
        <w:t>VI. EVALUATION OF THE COMMITMENTS</w:t>
        <w:br/>
        <w:t>32. The Authority believes that the commitments presented by the Professional are suitable to remedy the possible illegitimacy profiles of the conduct contested in the initiation communication of May 27, 2021, as they contain adequate measures for economic compensation of passengers already affected by the aforementioned conduct as well as the revision of the information - according to reasonable standards of clarity and completeness - intended not only for the customers benefiting from the commitments but for the generality of consumers regarding the offer of the current "multi-risk" insurance policy in conjunction with the purchase of the travel title.</w:t>
        <w:br/>
        <w:t>33. As for the compensatory measures (commitments 1 and 2) – intended for the direct and very prompt compensation of individual consumers involved in the conduct subject to the procedure – they are adequately differentiated, suitable to cover the different situations of passengers and substantially suitable to eliminate the hypothesized economically prejudicial effects of the scrutinized conduct.</w:t>
        <w:br/>
        <w:t>34. It should be emphasized, first of all, that the beneficiaries of such interventions are all those passengers – already purchasers, in 2020, of a ticket combined with the Europ Assistance policy – whose request for opening a claim regarding any cause related to Covid was rejected, not only "by virtue of the exclusion of the policy relating to epidemics."</w:t>
        <w:br/>
        <w:t>Furthermore, those who had already received, based on the current national emergency regulation41, a separate voucher - provided it was not fully used - for cancellation of the trip due to the health emergency have also been expressly included.</w:t>
        <w:br/>
        <w:t>35. It should also be noted that the "compensation" (in cash/voucher) guaranteed by such commitments includes not only the full price of the ticket but also the insurance premium already paid (per passenger and per route), thus reimbursing the total expenditure already incurred by the consumer in the case at hand.</w:t>
        <w:br/>
        <w:t>36. Regarding specific commitment 1), the customer is given the option, for the full reimbursement of ticket+premium, between cash refund and substitute voucher, the latter having characteristics (of value, duration, flexibility of use, transferability, and convertibility into cash) consistent with the updated guidelines of the European Commission to make this option substantially equivalent to the monetary one; as highlighted by the Regulatory Authority in its opinion, this commitment guarantees a refund regime that is substantially more favorable to the passenger compared to that provided by the current discipline of Article 88-bis of Decree-Law No. 18/202042.</w:t>
        <w:br/>
        <w:t>37. For the recipients of commitment 2) already in possession of a "live" voucher, Grimaldi offers the choice between the advance cash refund of the value of the voucher, including the amount of the insurance premium, without the need to wait for the expected expiration of 12 months from its issuance, or alternatively, the retention of the same voucher benefiting, in this case, from an increase of the related amount (equal to 20%) and favorable usage conditions.</w:t>
        <w:br/>
        <w:t>38. The appreciation of the Regulatory Authority, as expressed in the opinion, towards the methods – general and individual as well as direct or through the involvement of sales agencies/intermediaries – that the Company has committed to adopt in order to inform all possible recipients about the possibility of requesting, within a year, the compensations in question is also shared.</w:t>
        <w:br/>
        <w:t>39. It then appears to benefit consumers the rapid timing proposed for the provision of compensatory measures.</w:t>
        <w:br/>
        <w:t>40. Regarding the further informational and communicative interventions – under commitment 3) - which have already been definitively implemented since July 15, 2021 - it is noted that they benefit the indiscriminate plurality of consumers accessing the Professional's corporate website,41 The aforementioned Article 88-bis of Decree-Law March 17, 2020, No. 18, converted, with amendments, by Law April 24, 2020, No. 27. 42 This with regard to the following aspects: the choice regarding the method of compensation in the Commitment is left to the Customer, while the national regulation provides that the offer of the voucher by the professional does not require acceptance by the recipient; the economic value of the voucher in the Commitment is set at a level higher than the total price of the ticket (being equal to 120% of the related amount); the conditions for the use of the voucher and the provision of the refund, in the commitments, are flexible and more favorable than the national discipline, with regard to the timing of issuance of the voucher or payment of the refund (7 days from the communication with which the Customer opted for one or the other form of compensation) remaining the possibility of obtaining a cash refund after 12 months from the issuance of the voucher and in any case at the expiration of 24 months, if not used. Furthermore, the transferability to third parties of the voucher is provided.</w:t>
      </w:r>
    </w:p>
    <w:p>
      <w:r>
        <w:t>BULLETIN NO. 46 OF NOVEMBER 22, 2021 53</w:t>
        <w:br/>
        <w:t>finding in several sections (General Conditions of Transport, FAQs, dedicated web pages, and also the online booking procedure) complete and clear information on the actual operation – in terms of conditions and limits, costs, etc. – of the new multi-risk policy Nobis.</w:t>
        <w:br/>
        <w:t>41. First of all, instead of the previous and reiterated solicitation to purchase the policy, the contents of the new information dedicated to it refer to the mere "possibility" of including the additional service in the transaction and constantly refer to the full texts of the insurance documents, for adequate and complete information before payment and completion of the transaction.</w:t>
        <w:br/>
        <w:t>42. As noted by ART, it is finally definitively clarified, within the current communication, that the relationship between the operation of the Nobis insurance policy and the legal protections provided for passengers is one of complementarity, in the sense that – with reference to cases of cancellation of the trip by the passenger for reasons related to Covid-19 – the policy covers different and additional cases compared to those in which Article 88-bis of Decree-Law 18/2020 grants consumers, under current conditions, the right to receive a substitute voucher of the value of the unused ticket. Furthermore, the new information set dedicated to the multi-risk policy expressly alerts consumers that, in cases of cancellation of the trip by the carrier, the rights to protect passengers under the relevant community legislation (Article 18 of Regulation (EU) No. 1177/2010) are preserved.</w:t>
        <w:br/>
        <w:t>43. In light of the above considerations, it is believed that the commitments presented meet the requirements set forth in Article 27, paragraph 7, of the Consumer Code.</w:t>
        <w:br/>
        <w:t>THEREFORE, it is deemed that the commitments presented by Grimaldi Group S.p.A., in the terms outlined above, are suitable to eliminate the possible profiles of unfairness of the commercial practice subject to investigation;</w:t>
        <w:br/>
        <w:t>IT IS DEEMED appropriate to impose the obligation of the aforementioned commitments on Grimaldi Group S.p.A.;</w:t>
        <w:br/>
        <w:t>IT IS DEEMED, therefore, to be able to close the procedure without ascertaining the infringement;</w:t>
        <w:br/>
        <w:t>RESOLVES</w:t>
        <w:br/>
        <w:t>a) to make mandatory, towards Grimaldi Group S.p.A, pursuant to Article 27, paragraph 7, of the Consumer Code and Article 9, paragraph 2, letter a), of the Regulation, the commitments proposed by the same company, as described in the attached declaration, which forms an integral part of this measure;</w:t>
        <w:br/>
        <w:t>b) to close the procedure without ascertaining the infringement, pursuant to Article 27, paragraph 7, of the Consumer Code and Article 9, paragraph 2, letter a), of the Regulation;</w:t>
        <w:br/>
        <w:t>c) that Grimaldi Group S.p.A., within sixty days from the date of notification of this resolution, and subsequently until the full implementation of the same, also according to the procedure provided by the same, inform the Authority of the implementation of commitments no. 1 and 2.</w:t>
      </w:r>
    </w:p>
    <w:p>
      <w:r>
        <w:rPr>
          <w:b/>
        </w:rPr>
        <w:t>[Pages 52–54]</w:t>
      </w:r>
    </w:p>
    <w:p>
      <w:r>
        <w:t>54 BULLETIN NO. 46 OF NOVEMBER 22, 2021</w:t>
        <w:b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monetary penalty from €10,000 to €5,000,000. In cases of repeated non-compliance, the Authority may order the suspension of business activities for a period not exceeding thirty days.</w:t>
        <w:br/>
        <w:t>This measure will be notified to the interested parties and published in the Bulletin of the Competition and Market Authority.</w:t>
        <w:br/>
        <w:t>THE SECRETARY GENERAL THE PRESIDENT</w:t>
        <w:br/>
        <w:t>Filippo Arena Roberto Rustichelli</w:t>
      </w:r>
    </w:p>
    <w:p>
      <w:r>
        <w:t>BULLETIN NO. 46 OF NOVEMBER 22, 2021 55</w:t>
        <w:br/>
        <w:t>PS11996 - BRAVONEXT - LASTIMINUTE.COM - VOLAGRATIS.COM/REFUND MANAGEMENT COVID-19 EMERGENCY</w:t>
        <w:br/>
        <w:t>Measure No. 29882</w:t>
        <w:br/>
        <w:t>THE COMPETITION AND MARKET AUTHORITY</w:t>
        <w:br/>
        <w:t>IN ITS MEETING of 4 November 2021;</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w:t>
        <w:br/>
        <w:t>HAVING REGARD TO the communication received on 7 June 2021 and supplemented on 20 July 2021, whereby the company Bravonext S.A. submitted commitments pursuant to Article 27, paragraph 7, of the Consumer Code and Article 9 of the Regulation;</w:t>
        <w:br/>
        <w:t>HAVING REGARD TO the documents of the procedure;</w:t>
        <w:br/>
        <w:t>I. THE PARTY</w:t>
        <w:br/>
        <w:t>1. The company Bravonext S.A. (hereinafter also "Bravonext") as a professional, pursuant to Article 18, letter b), of the Consumer Code. Bravonext manages the websites https://www.volagratis.com and https://www.it.lastminute.com where flights, hotels, and travel packages are sold, acting as an online travel agency (OTA) and Tour Operator (TO).</w:t>
        <w:br/>
        <w:t>II. THE COMMERCIAL PRACTICE</w:t>
        <w:br/>
        <w:t>2. The investigative procedure in question originates from numerous reports received since March 2020, in which the failure to refund or the non-receipt of a voucher for amounts due as a result of the cancellation of flights and travel packages for reasons related to the COVID-19 health emergency, as well as unsatisfactory assistance, are complained about.</w:t>
        <w:br/>
        <w:t>III. THE OUTCOMES OF THE PROCEDURE: THE SUBMISSION OF COMMITMENTS</w:t>
        <w:br/>
        <w:t>III.1 The procedure process</w:t>
        <w:br/>
        <w:t>Pre-investigative activity</w:t>
        <w:br/>
        <w:t>3. In order to have the necessary knowledge elements to carry out the tasks assigned to the Competition and Market Authority by the Consumer Code, on 22 October 2020, a request for information was sent to the professional regarding the reports received since March 2020, to which Bravonext responded on 1 December 2020.1</w:t>
        <w:br/>
        <w:t>1 See request for information of 20 October 2020 prot. 78243 and response prot. 89157 of 1 December 2020.</w:t>
      </w:r>
    </w:p>
    <w:p>
      <w:r>
        <w:t>56 BULLETIN NO. 46 OF NOVEMBER 22, 2021</w:t>
        <w:br/>
        <w:t>Investigative activity</w:t>
        <w:br/>
        <w:t>4. In relation to the conduct described above, on 8 April 2021, the professional was notified of the initiation of the investigative procedure PS/11996. In this context, it was hypothesized that the conduct of Bravonext S.A. could constitute a violation of Articles 20, 24, and 25, letter d) of the Consumer Code, as the Party would have obstructed the exercise of the rights of consumers who purchased flights and travel packages subject to cancellation, by the professional or the consumer, for reasons related to the pandemic. In particular, it was hypothesized that the right to obtain a refund of the payments made, also through a voucher with the characteristics provided by the emergency regulations2 or otherwise not worse than these, would have been obstructed. It was then stated that, although some delays in refunds could be an inevitable result of the exceptional circumstances that occurred in the initial phase of the pandemic, as well as the liquidity crisis that affected the tourism and transport sector, the persistence of consumer complaints, even for trips dating back in time, the failure to issue vouchers by the professional, as well as the absence of comprehensive responses to requests for clarification seemed to highlight a modus operandi of the professional that obstructed the consumers' right to the recognition of the due refund measures3.</w:t>
        <w:br/>
        <w:t>5. Bravonext submitted statements and provided the requested information on 1 June and 10 June 20214; on 7 July 2021, a hearing was held with the representatives of the company5.</w:t>
        <w:br/>
        <w:t>6. The Party had access to the documents of the procedure on 18 May 2021, 6 July 2021, and 10 September 2021.</w:t>
        <w:br/>
        <w:t>7. Bravonext submitted a proposal for commitments pursuant to Article 27, paragraph 7 of the Consumer Code, in compliance with the deadlines set out in Article 9 of the Regulation on investigative procedures6.</w:t>
        <w:br/>
        <w:t>8. On 8 September 2021, the Party was notified of the conclusion date of the investigative phase pursuant to Article 16, paragraph 1, of the Regulation7 and on 20 September 2021, Bravonext submitted a final statement8.</w:t>
        <w:br/>
        <w:t>III.2 The acquired elements</w:t>
        <w:br/>
        <w:t>9. From the documentation on record, it emerges that in the period March 2020-March 2021, Bravonext received thousands of requests for the cancellation of flights, mainly related to the period covered by the emergency regulations, as well as numerous requests for the cancellation of travel packages9.</w:t>
        <w:br/>
        <w:t>During the emergency period, the professional was unable to use the ordinary methods for managing the refund procedures of companies adhering to IATA, which normally</w:t>
        <w:br/>
        <w:t>2 See Article 88-bis of Decree-Law 17 March 2020, No. 18 (Cura Italia Decree) and subsequent amendments.</w:t>
        <w:br/>
        <w:t>3 See prot. 35554 of 8 April 2021 and prot. 37737 of 16 April 2021.</w:t>
        <w:br/>
        <w:t>4 See prot. 0049414 of 1 June 2021 and prot. 0051238 of 10 June 2021.</w:t>
        <w:br/>
        <w:t>5 See prot. 0057465 of 7 July 2021.</w:t>
        <w:br/>
        <w:t>6 See prot. 50252 of 7 June 2021 and prot. 60230 of 20 July 2021.</w:t>
        <w:br/>
        <w:t>7 See prot. 69995 of 8 September 2021.</w:t>
        <w:br/>
        <w:t>8 See prot. 72208 of 20 September 2021.</w:t>
        <w:br/>
        <w:t>9 See prot. 0051238 of 10 June 2021.</w:t>
      </w:r>
    </w:p>
    <w:p>
      <w:r>
        <w:rPr>
          <w:b/>
        </w:rPr>
        <w:t>[Pages 55–57]</w:t>
      </w:r>
    </w:p>
    <w:p>
      <w:r>
        <w:t>BULLETIN NO. 46 OF NOVEMBER 22, 2021 57</w:t>
        <w:br/>
        <w:t>allow for immediate authorization and automatic reimbursement. In addition, some low-cost airlines have denied refunds to OTA customers.</w:t>
      </w:r>
    </w:p>
    <w:p>
      <w:r>
        <w:t>10. In its operational practice, the professional encounters refund requests by sending a communication asking the consumer to choose between three alternative forms of reimbursement: voucher, "premium voucher," or cash refund, which in the case of air travel depends on terms and conditions defined by the airline.</w:t>
      </w:r>
    </w:p>
    <w:p>
      <w:r>
        <w:t>11. Bravonext has issued cash refunds for air travel only after receiving the amounts from the airlines. Until June 2020, vouchers were issued when the consumer communicated the chosen refund method, without waiting for the airline's reimbursement. However, starting from July 2020, the Party changed its policy, sending the consumer the described communication proposing the three possible forms of reimbursement only after having received the amounts from the airline, due to the financial difficulties resulting from the ongoing travel restrictions due to the pandemic emergency. In fact, when consumers began to use vouchers to book new trips, Bravonext had to purchase the tourist services to offer to customers, prepaying for them.</w:t>
      </w:r>
    </w:p>
    <w:p>
      <w:r>
        <w:t>12. As of May 2021, refund requests related to travel packages had been almost completely fulfilled. During the same period, however, numerous requests for refunds for air travel remained unfulfilled, for the reasons represented in the five categories listed in Table 1. The main reason for the lack of cash refunds to consumers is the non-payment to the professional of the amounts due from the airline (category 3 in Tab.1); this circumstance has led, starting from July 2020, to a slowdown in sending communications to consumers in which Bravonext requested them to choose their preferred form of reimbursement (category 4 in Tab.1). In many other cases (category 2 Tab.1), the promised vouchers were not issued because the airline did not reimburse the professional, and thus Bravonext was financially exposed for having to purchase the tourist services for customers who had previously issued vouchers. Further requests for refunds for air travel remained unfulfilled due to consumer inertia in not providing banking details (category 1 in Tab.1) or not indicating their preferred reimbursement method (category 5 in Tab.1).</w:t>
      </w:r>
    </w:p>
    <w:p>
      <w:r>
        <w:t>10 The "premium voucher" represents a voucher with special benefits, which may have a higher value than the standard voucher because it includes services or ancillary services that are otherwise non-refundable (e.g., cancellation insurance or web check-in) and offers a small additional amount to spend on further bookings.</w:t>
      </w:r>
    </w:p>
    <w:p>
      <w:r>
        <w:t>11 See prot. 0057465 of 7/7/2021.</w:t>
      </w:r>
    </w:p>
    <w:p>
      <w:r>
        <w:t>58 BULLETIN NO. 46 OF NOVEMBER 22, 2021</w:t>
        <w:br/>
        <w:t>Table 1: Case study of the reasons underlying the lack of refunds for air travel as of May 27, 2021</w:t>
        <w:br/>
        <w:t>Cat. Reason</w:t>
        <w:br/>
        <w:t>1 failure to provide banking details</w:t>
        <w:br/>
        <w:t>failure to issue the voucher as the airline did not reimburse</w:t>
        <w:br/>
        <w:t>2 Bravonext</w:t>
        <w:br/>
        <w:t>3 failure to issue a cash refund as the airline did not reimburse Bravonext</w:t>
        <w:br/>
        <w:t>failure to request from the consumer the reimbursement method, as Bravonext is</w:t>
        <w:br/>
        <w:t>4 waiting to obtain the amounts from the airline</w:t>
        <w:br/>
        <w:t>5 failure by the consumer to indicate the reimbursement method</w:t>
      </w:r>
    </w:p>
    <w:p>
      <w:r>
        <w:t>III.3 The commitments of the professional</w:t>
      </w:r>
    </w:p>
    <w:p>
      <w:r>
        <w:t>13. With a note received on June 7, 2021, and supplemented on July 20, 2021, the professional submitted a proposal for commitments, pursuant to Article 27, paragraph 7, of the Consumer Code and Article 9 of the Regulation. These commitments – which in their final version are attached to this measure and constitute an integral part thereof – provide as follows:</w:t>
      </w:r>
    </w:p>
    <w:p>
      <w:r>
        <w:t>Commitment No. 1: implementation of a specific campaign of phone contacts and SMS to recover the banking details necessary to process refunds for customers who purchased a flight that was then canceled and who requested a cash refund. In particular, Bravonext commits to send three consecutive reminder SMS and three phone contact campaigns within 30 days following the acceptance date of the Commitments.</w:t>
      </w:r>
    </w:p>
    <w:p>
      <w:r>
        <w:t>Commitment No. 1-bis: new phone contact to request customers who purchased a canceled travel package to provide the banking details necessary to complete the cash refund. For both commitments 1 and 1-bis, after the 30 days dedicated to the above campaign, in case of failure to provide banking details, Bravonext commits to send the aforementioned customers a voucher, with a value equivalent to the cash refund, via email, simultaneously indicating the possibility for the customer, at any time before its use, to request its conversion into cash within the following 24 months by providing their banking details.</w:t>
      </w:r>
    </w:p>
    <w:p>
      <w:r>
        <w:t>Commitment No. 2: reimbursement of customers who requested to receive a voucher for the cancellation of the purchased flight and who are waiting to receive it because Bravonext has not yet obtained the reimbursement of the amount paid to the airline for the purchase of the ticket, according to the following modalities:</w:t>
      </w:r>
    </w:p>
    <w:p>
      <w:r>
        <w:t>12 Data provided on July 20, 2021 prot. 60230.</w:t>
      </w:r>
    </w:p>
    <w:p>
      <w:r>
        <w:t>13 See prot. 50252 of June 7, 2021 and prot. 60230 of July 20, 2021.</w:t>
      </w:r>
    </w:p>
    <w:p>
      <w:r>
        <w:t>BULLETIN NO. 46 OF NOVEMBER 22, 2021 59</w:t>
        <w:br/>
        <w:t>a. for customers who had purchased a flight operated by a "solvent" airline and for those who had purchased a flight from an airline subject to bankruptcy proceedings: advance cash reimbursement, thus assuming the financial risk arising from the lack of reimbursement by the aforementioned airlines, and a gift of a voucher equal to 15% of the cost of the airline ticket;</w:t>
        <w:br/>
        <w:t>b. for customers who had purchased the flight from Ryanair (an airline that has stated it will not reimburse flights purchased through OTAs): reimbursement by issuing its own voucher, thus assuming the loss arising from Ryanair's non-payment and a gift of a voucher equal to 15% of the cost of the airline ticket.</w:t>
      </w:r>
    </w:p>
    <w:p>
      <w:r>
        <w:t>Commitment No. 3: for customers who have requested to receive a cash refund following the cancellation of their airline tickets, payment within 6 days from the receipt of the relevant amounts from the airline or, if applicable, from the moment the customer provides their banking details. Furthermore, after 14 days from the first email requesting banking details, the Company commits, as with commitments No. 1 and 1-bis, to send a refundable voucher.</w:t>
      </w:r>
    </w:p>
    <w:p>
      <w:r>
        <w:t>Commitment No. 4: for customers to whom, pending reimbursement from the airline, the request to indicate the reimbursement method has not been sent, sending a specific communication within 5 days from the receipt of the airline's reimbursement. In case of failure to choose by the customer within 7 days, Bravonext commits to interpret the silence as a request for a cash refund and to proceed with the crediting of the amounts immediately or, if applicable, within 6 days from the receipt of the necessary banking details for this purpose. Furthermore, where necessary, after 14 days from the first email requesting banking details, the Company commits, as for commitments No. 1, 1-bis, and 3, to send a refundable voucher.</w:t>
      </w:r>
    </w:p>
    <w:p>
      <w:r>
        <w:t>Commitment No. 5: with reference to customers awaiting reimbursement because they have not yet made any choice:</w:t>
        <w:br/>
        <w:t>(i) reminder to the customer to indicate their preferred reimbursement method, sending a reminder SMS and, simultaneously, also an email regarding this;</w:t>
        <w:br/>
        <w:t>(ii) in the absence of feedback within 7 days from the aforementioned reminder, commitment to interpret the silence as a request for a cash refund and to proceed with the crediting of the amounts immediately or, if applicable, within 6 days from the receipt of the necessary banking details for this purpose;</w:t>
        <w:br/>
        <w:t>(iii) where necessary, after 14 days from the first email requesting banking details, as for commitments No. 1, 1-bis, 3, and 4, Bravonext will send a refundable voucher.</w:t>
      </w:r>
    </w:p>
    <w:p>
      <w:r>
        <w:t>Commitment No. 6: immediate reimbursement – on its own and in a timely manner – of airline tickets purchased by customers who have submitted reports included in the case file of the proceeding, even if they have not yet received reimbursement from the airline. If the airline subsequently reimburses the amounts to the Company, this will occur within 7 days of receipt; for the remaining cases, reimbursement would occur within 15 days from the acceptance of the Commitments.</w:t>
      </w:r>
    </w:p>
    <w:p>
      <w:r>
        <w:rPr>
          <w:b/>
        </w:rPr>
        <w:t>[Pages 58–60]</w:t>
      </w:r>
    </w:p>
    <w:p>
      <w:r>
        <w:t>60 BULLETIN NO. 46 OF NOVEMBER 22, 2021</w:t>
        <w:br/>
        <w:t>Commitment No. 7: management of any requests for assistance or complaints related to cancellations of tourist services and related refund requests, including those not falling within the scope of the emergency regulations, within 16 days from receipt of the request by the customer.</w:t>
        <w:br/>
        <w:t>Commitment No. 8: implementation of a "progress bar" that identifies the status of the refund procedure and that is always available within the My Area of each customer of the Company (measure already implemented).</w:t>
        <w:br/>
        <w:t>Commitment No. 9: acceleration of the IT upgrading for the management of refund requests from the Italian market, currently scheduled for the end of the year, in order to complete it by October 31, 2021.</w:t>
        <w:br/>
        <w:t>Commitment No. 10: inclusion on both Websites – within the My Area and in the section dedicated to information on the emergency situation due to Covid-19 – of a dedicated form to submit requests for assistance regarding refunds, requests for clarification on the use of vouchers, as well as any complaints related to the management of requests linked to cancellations that fall within the scope of the emergency and post-emergency regulations.</w:t>
        <w:br/>
        <w:t>Commitment No. 11: for all new refund requests:</w:t>
        <w:br/>
        <w:t>(i) once refunds are received from the airlines related to cancellations of flights both falling within the scope of the emergency regulations and the post-emergency regulations, and</w:t>
        <w:br/>
        <w:t>(ii) subsequently sending the email requesting the preferred form of refund (according to the methods and timelines set out in Commitments Nos. 3, 4, and 5), the Company commits to making the refund in cash if the customer does not express their preference for the voucher or premium voucher within 7 days from sending the aforementioned email.</w:t>
        <w:br/>
        <w:t>Furthermore, if necessary, after 14 days from the first email requesting bank details, as per commitments No. 1, 1-bis, 3, 4, and 5, Bravonext will send a refundable voucher.</w:t>
        <w:br/>
        <w:t>Commitment No. 12: Bravonext commits to providing detailed communications to guide consumers who, having chosen the refund according to the conditions of the airlines, have not yet received it due to the subjection of such airlines to bankruptcy procedures, and to allow them to submit an independent request for inclusion in the liabilities.</w:t>
        <w:br/>
        <w:t>14. Regarding the timelines, Bravonext commits to implementing the measures outlined above within a maximum period of 15 days from the date of acceptance of the Commitments, and these will be maintained in force on a stable basis, while Commitment No. 11 will be valid for 24 months from the date of implementation.</w:t>
        <w:br/>
        <w:t>IV. OPINION OF THE AUTHORITY FOR COMMUNICATIONS GUARANTEES</w:t>
        <w:br/>
        <w:t>15. Since the commercial practice subject to this measure has been disseminated through print/television/telecommunication means, on September 24, 2021, the opinion was requested from the Authority for Communications Guarantees, pursuant to Article 27, paragraph 6, of the Consumer Code.</w:t>
        <w:br/>
        <w:t>16. In an opinion received on October 25, 2021, the aforementioned Authority deemed that, in this case, the means of communication used is suitable for developing a significant impact on consumers who could be induced to make a commercial decision that they otherwise would not have made, thus concretely developing the full promotional potential of online communication14.</w:t>
        <w:br/>
        <w:t>V. EVALUATION OF THE COMMITMENTS</w:t>
        <w:br/>
        <w:t>17. The procedure in question concerns the ways in which Bravonext has managed refund requests received from consumers for flights and trips canceled due to the pandemic emergency, acting as an intermediary for air travel and as a tour operator for travel packages. The documents reveal that the professional has had to face an absolutely considerable and exceptional number of refund requests. The delays related to refunds for travel packages, which fall fully under the responsibility of the professional, are negligible and involve a limited number of cases. The vast majority of pending cases concern requests for refunds for flights, for which the professional acts as an intermediary between the carriers and the consumers. In this context, Bravonext has set up a refund management process that allows the consumer to choose between three forms of refund, namely vouchers, vouchers with some additional benefits, or cash refunds according to the conditions established by the airline. This management choice, while expanding the range of options available to the consumer under the relevant emergency regulations, has generated multiple interactions and possible delays in the resolution of the refund process.</w:t>
        <w:br/>
        <w:t>18. In this context, which presents exceptional characteristics, the Authority believes that the commitments proposed by the professional are suitable to remedy the possible illegitimacy profiles of the contested commercial practice in the initiation communication of the procedure.</w:t>
        <w:br/>
        <w:t>19. In particular, the commitments appear to address all the cases that currently create a stalemate for pending requests, introducing measures that allow for their resolution or expedite their processing, within the limits of what is the responsibility of the professional. In this perspective, in the outlined context, which sees the refund capacity of the professional closely linked to the conduct of the airlines, the commitments presented appear to constitute a reasonable balance between the need to preserve the liquidity of the intermediary and the need to remedy delays attributable to the refund procedures processed by the same.</w:t>
        <w:br/>
        <w:t>20. In this sense, the willingness of Bravonext to refund those consumers to whom it has already guaranteed a voucher, which has not yet been issued because the professional has not received the corresponding sums from the airline, is significant. These are the consumers referred to in category No. 2 of Table 1 (commitment No. 2). Of these, the majority will receive a cash refund instead of the promised voucher, while consumers who purchased a ticket from the airline Ryanair, which refuses to refund OTA customers, will be guaranteed the issuance of a voucher.</w:t>
        <w:br/>
        <w:t>14 See prot. 0081043 of October 25, 2021.</w:t>
      </w:r>
    </w:p>
    <w:p>
      <w:r>
        <w:t>62 BULLETIN NO. 46 OF NOVEMBER 22, 2021</w:t>
        <w:br/>
        <w:t>Both types of customers will be given an additional voucher equal to 15% of the ticket cost. This compensatory component is appreciable considering that the professional faces in many cases the non-payment of sums by the airlines.</w:t>
        <w:br/>
        <w:t>21. The professional in its commitments also outlines an organizational and economic effort to collect the missing bank information to refund customers who have purchased an airline ticket, referred to in category No. 1 of Table 1 (commitment No. 1) and to finalize the remaining refund requests related to travel packages (commitment No. 1-bis). Additional resources (commitment No. 5) will be dedicated to prompting responses from those who have not yet expressed their preference regarding the preferred refund method (category No. 5 of Table 1).</w:t>
        <w:br/>
        <w:t>22. For consumers in categories 3 and 4 of Table 1, the professional commits to a rapid management of their cases as soon as it receives refunds from the airlines (commitment No. 3 and commitment No. 4).</w:t>
        <w:br/>
        <w:t>23. In addition to this, for all categories of unresolved requests mentioned so far, the commitments provide for a significant novelty, namely the introduction of automations in the procedures that combine the objective of accelerating the finalization of refunds with the possibility for the consumer to choose the preferred refund option. It is indeed provided that in all cases where the consumer's bank details are requested and they delay in providing them, Bravonext will send an email voucher of equivalent value to the cash refund, which will be convertible into cash within 24 months (commitments 1, 1-bis, 3, 4, and 5). With this mechanism, Bravonext thus guarantees that, even in cases where the customer has not provided their bank details, the refund procedure will still reach a conclusion within defined times, while fully allowing the consumer to subsequently request and obtain the cash refund.</w:t>
        <w:br/>
        <w:t>Furthermore, for all cases where the customer, when asked to choose the preferred form of refund, does not express their preference, Bravonext will interpret the silence as a request for a cash refund (commitments 4 and 5), proceeding then with the subsequent steps of the refund process.</w:t>
        <w:br/>
        <w:t>24. The scope of the commitments in question is appreciated not only for the measures concerning unresolved cases, including those subject to specific reports in the documents (commitment No. 6), but also for the introduction of measures related to the handling of future refund requests. The commitments that introduce automations that radically affect the refund procedures for future requests (commitment No. 11) are particularly significant, in a manner similar to what has been described for currently pending cases, so that the customer will remain free to choose the preferred restitution form and, in the event that they do not express a preference within the times indicated in the commitments, will be guaranteed a cash refund; moreover, in the event that they do not provide bank details, they will receive a refundable voucher.</w:t>
        <w:br/>
        <w:t>25. The further provisions contained in the commitments represent measures to strengthen customer assistance services, allowing for a quicker management of future refund requests (commitments No. 7 and No. 9) and greater transparency of the various stages of the refund process (commitments No. 8 and No. 10) by providing consumers with information and tools to interact with companies subjected to bankruptcy procedures (commitment 12).</w:t>
      </w:r>
    </w:p>
    <w:p>
      <w:r>
        <w:rPr>
          <w:b/>
        </w:rPr>
        <w:t>[Pages 61–63]</w:t>
      </w:r>
    </w:p>
    <w:p>
      <w:r>
        <w:t>BULLETIN NO. 46 OF NOVEMBER 22, 2021 63</w:t>
        <w:br/>
        <w:t>VI. CONCLUSIONS</w:t>
        <w:br/>
        <w:t>26. In light of the above, it is assessed that the measures proposed by the professional – including a significant financial commitment – are suitable to remedy the possible illegitimacy profiles of the commercial practice contested in the initiation communication of the procedure, as they identify specific management procedures for both the currently unresolved refund requests and future ones, allowing for their resolution or a quicker handling.</w:t>
        <w:br/>
        <w:t>27. In light of the aforementioned considerations, it is believed that the commitments presented meet the requirements set forth in Article 27, paragraph 7, of the Consumer Code.</w:t>
        <w:br/>
        <w:t>CONSIDERING, therefore, that the commitments presented by Bravonext S.A. in the terms outlined above are suitable to eliminate the possible unfairness profiles of the commercial practice subject to investigation;</w:t>
        <w:br/>
        <w:t>CONSIDERING to impose the obligation of the aforementioned commitments on Bravonext S.A.;</w:t>
        <w:br/>
        <w:t>CONSIDERING, therefore, that the procedure can be closed without establishing the infringement;</w:t>
        <w:br/>
        <w:t>RESOLVES</w:t>
        <w:br/>
        <w:t>a) to make mandatory, with respect to Bravonext S.A., pursuant to Article 27, paragraph 7, of the Consumer Code and Article 9, paragraph 2, letter a), of the Regulation, the commitments proposed by the company on June 7, 2021, and supplemented on July 20, 2021, as described in the statement attached to this measure;</w:t>
        <w:br/>
        <w:t>b) to close the procedure without establishing the infringement, pursuant to Article 27, paragraph 7, of the Consumer Code and Article 9, paragraph 2, letter a), of the Regulation;</w:t>
        <w:br/>
        <w:t>c) that Bravonext S.A.,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64 BULLETIN NO. 46 OF NOVEMBER 22, 2021</w:t>
        <w:br/>
        <w:t>This measure will be notified to the interested parties and published in the Bulletin of the Competition and Market Authority.</w:t>
        <w:br/>
        <w:t>THE SECRETARY GENERAL THE PRESIDENT</w:t>
        <w:br/>
        <w:t>Filippo Arena Roberto Rustichelli</w:t>
      </w:r>
    </w:p>
    <w:p>
      <w:r>
        <w:t>BULLETIN NO. 46 OF NOVEMBER 22, 2021 65</w:t>
        <w:br/>
        <w:t>PS12018 - FINECO-BALANCES OVER 100,000 EUROS</w:t>
        <w:br/>
        <w:t>Measure No. 29885</w:t>
        <w:br/>
        <w:t>THE COMPETITION AND MARKET AUTHORITY</w:t>
        <w:br/>
        <w:t>IN ITS MEETING of 9 November 2021;</w:t>
        <w:br/>
        <w:t>HEARD the Rapporteur, Professor Michele Ainis;</w:t>
        <w:br/>
        <w:t>HAVING REGARD TO Part II, Title III, of Legislative Decree 6 September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w:t>
        <w:br/>
        <w:t>HAVING REGARD TO its resolution of 3 August 2021, which extended the final deadline of the procedure, considering the needs related to the evaluation of the commitments presented by Finecobank S.p.A.;</w:t>
        <w:br/>
        <w:t>HAVING REGARD TO the acts of the procedure;</w:t>
        <w:br/>
        <w:t>I. THE PARTIES</w:t>
        <w:br/>
        <w:t>1. FinecoBank S.p.A. (also "Fineco" or the "Professional"), with its registered office in Milan, is a company active in the banking and credit sectors, particularly in the markets of deposits and loans.</w:t>
        <w:br/>
        <w:t>2. Consumers' Lawyers Association, a consumer association.</w:t>
        <w:br/>
        <w:t>3. Codacons, a consumer association.</w:t>
        <w:br/>
        <w:t>II. THE COMMERCIAL PRACTICE</w:t>
        <w:br/>
        <w:t>4. The procedure concerns a commercial practice related to the new economic conditions of the current account offered by the Professional, adopted through the sending to all account holders, on March 18, 2021, of a letter signed by the CEO regarding "Proposal for unilateral modification of contract pursuant to Article 118 of Legislative Decree No. 385/93 (TUB)." With this, the Bank communicated the amendment to Article 26 of the contract, concerning the introduction of its right to withdraw from the current account relationship, in the presence of a balance in the current account of liquidity greater than €100,000 and in the absence of related investments or financing.</w:t>
        <w:br/>
        <w:t>III. THE OUTCOMES OF THE PROCEDURE</w:t>
        <w:br/>
        <w:t>1) The procedure process</w:t>
        <w:br/>
        <w:t>5. Following some reports from consumers, received on March 19 and 22, 2021, and from two consumer associations, received on March 25, April 8, and May 31, 2021, on April 1, 2021, the initiation of the investigative procedure PS12018 was communicated to the</w:t>
      </w:r>
    </w:p>
    <w:p>
      <w:r>
        <w:rPr>
          <w:b/>
        </w:rPr>
        <w:t>[Pages 64–66]</w:t>
      </w:r>
    </w:p>
    <w:p>
      <w:r>
        <w:t>66 BULLETIN NO. 46 OF NOVEMBER 22, 2021</w:t>
        <w:br/>
        <w:t>company FinecoBank S.p.A., for possible violation of Articles 20, paragraph 2, 24, and 25 of the Consumer Code1.</w:t>
      </w:r>
    </w:p>
    <w:p>
      <w:r>
        <w:t>6. In the communication initiating the investigation, it was hypothesized that the Bank had, with the communicated contractual amendment, exerted pressure on account holders to induce them to subscribe to financial services and/or savings management with the Bank, moreover under onerous economic conditions, thereby pursuing the objective of redirecting liquidity exceeding the amount of 100,000 euros towards financing or investment forms offered by the Bank itself, which were more profitable for the Bank, leaving as the only alternative the closure of the account, should customers not wish to make any investment or subscribe to any financing. Such an alternative would be penalizing for account holders, given the existence of switching costs borne by them in transferring the current account to a different credit institution.</w:t>
      </w:r>
    </w:p>
    <w:p>
      <w:r>
        <w:t>7. On April 22, 2021, the Professional provided the requested information and documentation with the communication initiating the procedure2.</w:t>
      </w:r>
    </w:p>
    <w:p>
      <w:r>
        <w:t>8. Further requests for information to the Professional were made on May 14, 2021, as well as during the hearing held on May 27, 20213.</w:t>
      </w:r>
    </w:p>
    <w:p>
      <w:r>
        <w:t>9. The responses from Fineco were received on May 31, 2021, June 3, 2021, and July 2, 20214.</w:t>
      </w:r>
    </w:p>
    <w:p>
      <w:r>
        <w:t>10. On May 16, 2021, the Professional submitted commitments, pursuant to Article 27, paragraph 7, of the Consumer Code and Article 9 of the Regulation, aimed at removing the unfairness profiles of the contested commercial practice5. These were supplemented on June 11, 20216, and the consolidated final version was received on January 18, 20217.</w:t>
      </w:r>
    </w:p>
    <w:p>
      <w:r>
        <w:t>11. The Professional was heard on May 27, 2021, in a hearing requested by the same8.</w:t>
      </w:r>
    </w:p>
    <w:p>
      <w:r>
        <w:t>12. On July 26, 2021, the date of conclusion of the investigative phase was communicated to the Professional and the two consumer associations, parties to the procedure, pursuant to Article 16, paragraph 1, of the Regulation9.</w:t>
      </w:r>
    </w:p>
    <w:p>
      <w:r>
        <w:t>13. On September 2, 2021, the opinion was requested from the Bank of Italy, pursuant to Article 27, paragraph 1-bis, of the Consumer Code10.</w:t>
      </w:r>
    </w:p>
    <w:p>
      <w:r>
        <w:t>14. On October 7, 2021, the opinion from the Bank of Italy was received11.</w:t>
      </w:r>
    </w:p>
    <w:p>
      <w:r>
        <w:t>1 Doc. 4.</w:t>
        <w:br/>
        <w:t>2 Doc. 19.</w:t>
        <w:br/>
        <w:t>3 Docc. 21 and 29.</w:t>
        <w:br/>
        <w:t>4 Docc. 26, 28 and 40.</w:t>
        <w:br/>
        <w:t>5 Doc. 22.</w:t>
        <w:br/>
        <w:t>6 Doc. 32.</w:t>
        <w:br/>
        <w:t>7 Doc. 38.</w:t>
        <w:br/>
        <w:t>8 Doc. 29.</w:t>
        <w:br/>
        <w:t>9 Docc. 46, 47 and 48.</w:t>
        <w:br/>
        <w:t>10 Doc. 59.</w:t>
        <w:br/>
        <w:t>11 Doc. 63.</w:t>
      </w:r>
    </w:p>
    <w:p>
      <w:r>
        <w:t>BULLETIN NO. 46 OF NOVEMBER 22, 2021 67</w:t>
        <w:br/>
        <w:t>2) The acquired elements</w:t>
        <w:br/>
        <w:t>15. In the letter sent by Fineco, account holders were informed that from May 18, 2021, the integration to the aforementioned contractual clause would come into effect, according to which the Bank "has the right to withdraw at any time from each individual relationship [...] with at least two months' notice, if at the time of withdrawal and in the 3 months preceding all three of the following conditions are met: 1) presence in the account of an average balance equal to or greater than 100,000 euros; 2) absence of any form of financing (by way of example and not limited to: mortgage, personal loan, Credit Lombard), even if already granted but not used, except for credit cards; 3) absence of any form of investment in managed or administered savings products."</w:t>
      </w:r>
    </w:p>
    <w:p>
      <w:r>
        <w:t>16. In the letter, it was also specified that the proposed amendment would not actually be necessary, as, in the General Conditions of the Fineco Contract, Article 26 already provides for the "unconditional right of withdrawal" of the Bank and customers from all indefinite relationships, with one day or seven days' notice for contracts with consumers. The letter stated that, however, the Bank preferred to integrate the aforementioned clause and explained the reasons behind the initiative in question, stemming from the monetary policies of the European Central Bank characterized by low, if not negative, interest rates. Such policies, according to the letter, have produced "an unfavorable impact on liquidity management activities, particularly with regard to that deposited by customers in the current account (especially if for long periods), making it even more burdensome for the Bank."</w:t>
      </w:r>
    </w:p>
    <w:p>
      <w:r>
        <w:t>17. The letter concluded that the customer, "if they do not agree with what is contained [in the same letter], may withdraw, at no cost, from the relevant contract by the effective date of the proposed changes (May 18, 2021)."</w:t>
      </w:r>
    </w:p>
    <w:p>
      <w:r>
        <w:t>18. The elements provided by Fineco highlighted, in summary, the following12:</w:t>
        <w:br/>
        <w:t>- the letter of March 18, 2021, in which the initiative in question is illustrated, was sent to all current account holders, totaling, as of March 17, 2021, [1,000,000-1,500,000]*;</w:t>
        <w:br/>
        <w:t>- as of March 17, 2021, for [15,000-20,000] account holders, the three conditions (indicated in the letter) were met, being holders of current accounts with balances equal to or greater than 100,000 euros and without connections to financing or investments in managed or administered savings products;</w:t>
        <w:br/>
        <w:t>- from March 19, 2021, to May 14, 2021, [500-5,000] customers for whom the three conditions were met reduced their balance below 100,000 euros by transferring amounts to other current accounts in different institutions;</w:t>
        <w:br/>
        <w:t>- from March 19, 2021, to May 14, 2021, [50-100] accounts for which the three conditions were met were closed at the request of customers;</w:t>
        <w:br/>
        <w:t>- from March 19, 2021, to May 14, 2021, [2,500-3,000] customers, for whom the three conditions were met, made a total of [7,500-8,000] investment transactions, for a total value of approximately [150-200] million euros, and [1-50] customers, for whom the three conditions were met, accessed a total of [1-50] financings for a total value of [300,000-350,000] euros;</w:t>
        <w:br/>
        <w:t>- the contractual relationship between account holders and the Bank is based on a unique multi-service Contract including the opening of the current account, custody deposits, and administration of financial instruments and the provision of investment services; therefore, customers, following the opening of the current account, do not need to activate further contractual relationships for the provision, among other things, of investment services;</w:t>
        <w:br/>
        <w:t>- regarding withdrawal, the original provision, subject to the amendment communicated in the aforementioned letter, was contained in Article 26, paragraph 1, of the aforementioned unique multi-service Contract and stated: "the services governed by these General Conditions are all indefinite. The Customer and the Bank have the right to withdraw, at any time, from each individual relationship, as well as from all relationships, by giving written notice by registered letter with return receipt and with at least 1 day's notice. The notice period begins from the moment the Bank or the Customer receives the withdrawal notice."</w:t>
      </w:r>
    </w:p>
    <w:p>
      <w:r>
        <w:t>3) The commitments of the Professional</w:t>
        <w:br/>
        <w:t>19. The commitments presented by Fineco on May 16, 2021, pursuant to Article 27, paragraph 7, of the Consumer Code and Article 9 of the Regulation, subsequently supplemented on June 11, 2021, with the consolidated and definitive version presented on June 18, 202113, provide for the adoption of the following measures:</w:t>
        <w:br/>
        <w:t>1) online financial education courses - within 30 days from the communication of the closure of the procedure with acceptance of the commitments, Fineco commits to create and make available to customers on its website specific interactive online courses to enhance customers' knowledge regarding the management and planning of their financial resources, illustrating the advantages and disadvantages of the choice to maintain balances in the account, based on objective factors including counterparty risk, the guarantee ceiling provided by the Interbank Deposit Protection Fund, as well as the effect of inflation on the value of balances;</w:t>
        <w:br/>
        <w:t>2) process for signaling the presence of the three relevant conditions pursuant to the initiative in question - within thirty days from the communication of the closure of the procedure with acceptance of the commitments, Fineco commits to implement a computer system that signals to the customer (via email or through the Fineco app) the existence of the three relevant conditions for exercising the withdrawal introduced with the letter of March 18, 2021. The computer system will daily identify customers for whom, in the three months preceding, the three conditions indicated in the letter of March 18, 2021, are met. Each of these customers will receive (via email or through the Fineco app) an informative communication the following day, announcing that Fineco will contact the customer within ten days, in order to explain the reasons that make it uneconomical for the Bank to maintain a certain amount of unused balance in the account and to illustrate, without promotional purposes for products and services offered by the Bank, possible solutions that would allow reducing the amount of idle liquidity. In the same communication, the Bank will specify that the customer has no obligation to purchase Fineco products and services or to carry out investment transactions;</w:t>
        <w:br/>
        <w:t xml:space="preserve">3) description of options considering the different needs of customers - within 10 days from the notification referred to in commitment no. 2, Fineco commits to contact the interested customers in order to illustrate the following options to reduce the amount of unused balances, </w:t>
        <w:br/>
        <w:t>13 Docc. 22, 32 and 38.</w:t>
      </w:r>
    </w:p>
    <w:p>
      <w:r>
        <w:rPr>
          <w:b/>
        </w:rPr>
        <w:t>[Pages 67–69]</w:t>
      </w:r>
    </w:p>
    <w:p>
      <w:r>
        <w:t>BULLETIN NO. 46 OF NOVEMBER 22, 2021 69</w:t>
        <w:br/>
        <w:t>which will be presented as alternatives (and without providing any indication of preference by Fineco):</w:t>
        <w:br/>
        <w:t>a) individual negotiation of custody costs according to the price list and without discrimination - individually renegotiate with the Bank the custody costs for an amount necessary to rebalance the Bank's incremental charges related to liquidity management, based on a predefined price list applicable to all customers in the relevant case. The price list, the same for everyone, will provide for increasing fees for liquidity thresholds;</w:t>
        <w:br/>
        <w:t>b) transfer of excess balances to another bank where the customer already holds another account - transfer, without any charges levied by Fineco, the excess balance above the threshold of 100,000 euros to the account that the customer may already hold at a different credit institution;</w:t>
        <w:br/>
        <w:t>c) purchase of Italian government bonds - purchase free of charge of Italian government bonds, regarding which the Bank will clarify that such instruments may also be sold later, at no cost;</w:t>
        <w:br/>
        <w:t>d) buying and selling of financial instruments - carry out buying and selling operations of financial instruments, such as shares, bonds, shares in Exchange Traded Funds and/or other UCITS, through Fineco's online platform, independently or with the support of a financial advisor from the Bank, at the customer's choice.</w:t>
        <w:br/>
        <w:t>In the description of the various options, the Bank commits to clarify to customers that, given the characteristics of the current account as the only multi-service account held by customers, they already have the right to use all services included in the multi-contract on which the Fineco model is based, without having to sign additional contracts, nor invest in funds or other products and services offered by Fineco or other Group companies.</w:t>
        <w:br/>
        <w:t>The Bank commits to clarify to customers that it will not exercise its right of withdrawal for a period of ninety days (starting from the day the customer was contacted by Fineco), which will therefore be available to the customer to make their choices;</w:t>
        <w:br/>
        <w:t>4) limitation of Fineco's right of withdrawal for non-multi-banked customers - from the communication of the closure of the procedure with acceptance of the commitments, Fineco commits not to exercise the right of withdrawal, in relation to customers who, at the time of the notification provided for in commitment No. 2, do not have another current account opened at a different credit institution. In this regard, the Bank, if it has not received any feedback from the customer regarding the options referred to in commitment No. 3, before exercising its right of withdrawal, will ascertain the existence of another current account at another credit institution through a specific declaration from the customer made on a dedicated online form. In the event of exercising the right of withdrawal, Fineco commits not to apply any penalties or charges against the consumer;</w:t>
        <w:br/>
        <w:t>5) information on the website regarding the commitments - within thirty days from the communication of the closure of the procedure with acceptance of the commitments, Fineco commits to highlight, within its website, all the commitments made in clear and intuitive graphic modes. In particular, on the page dedicated to "Account Conditions" of the website, the following will be illustrated: (i) the functioning of the IT system that alerts the customer to the existence of relevant operations for the initiative; (ii) the activation of direct contact from the Bank with the customer in case of relevant operations for the possible right of withdrawal; (iii) the options available to the customer to reduce the amount of unused balances; (iv) Fineco's commitment not to exercise the right of withdrawal against customers who do not have another current account opened at a different credit institution; (v) Fineco's commitment, in the event of exercising the right of withdrawal, not to apply any penalties or charges against the consumer.</w:t>
        <w:br/>
        <w:t>Furthermore, in the first account statement following the communication of the closure of the procedure with acceptance of the commitments, customers will be invited to consult the page of Fineco's website dedicated to "Account Conditions";</w:t>
        <w:br/>
        <w:t>6) refund to non-multi-banked customers of execution fees for investment orders and termination of financing contracts without penalties or charges - within thirty days from the communication of the closure of the procedure with acceptance of the commitments, Fineco commits to contact customers for whom the three conditions apply who, following the receipt of the letter of March 18, 2021, (i) have not exercised the right of withdrawal and (ii) have requested financing or made investments.</w:t>
        <w:br/>
        <w:t>The Bank will ask these customers to declare, using a specific online form, whether as of March 18, 2021, they had other current accounts opened at a different credit institution. To customers who declare that they do not hold other current accounts, Fineco will refund the execution fees for orders on securities and fund subscriptions, charged in relation to the investment operations in question carried out by such customers from March 18, 2021, to the date of publication of the commitments. This refund will occur within sixty days from the receipt of the aforementioned customer declaration.</w:t>
        <w:br/>
        <w:t>For financing operations, Fineco commits to allow the aforementioned customers, who request it within thirty days from the date of publication of the commitments, the immediate return of the granted financing without any charges (including application fees, costs for any appraisals, etc.) and without any penalties.</w:t>
        <w:br/>
        <w:t>IV. OBSERVATIONS OF THE CONSUMER LAWYERS' ASSOCIATION ON THE COMMITMENTS</w:t>
        <w:br/>
        <w:t>20. In a communication received on July 30, 2021, the Consumer Lawyers' Association made the following observations regarding the commitments presented by Fineco:</w:t>
        <w:br/>
        <w:t>- with reference to commitment No. 2, it notes that the proposal to contact the customer in case of exceeding the custody limit set by Fineco is "excessively invasive and repetitive," and could instead include a warning in the quarterly statement about the lack of convenience of depositing liquidity in the current account, "the costs referred to in point [rectius commitment] 3" and other alternative operations to depositing in the account, especially in government bonds;</w:t>
        <w:br/>
        <w:t>- regarding commitment No. 3, the Association considers point a), related to individual negotiation on custody costs based on a predefined price list applicable to all customers, "excessively generic," as it should indicate the percentage of reduction offered compared to the maximum cost represented by the charges of the European Central Bank (also for different thresholds of amounts). Furthermore, the clarification that the customer has the right to use all services included in the multi-contract, without having to sign additional contracts or invest in funds or other products and services, and that the Bank will not exercise the right of withdrawal for an additional period of ninety days (starting from the day the customer was contacted by Fineco), would reintroduce "undue pressure on the customer";</w:t>
        <w:br/>
        <w:t>- due to Fineco's ability to charge "any additional costs" referred to "in point No. 3," the right of withdrawal would be unjustified;</w:t>
        <w:br/>
        <w:t>- in case of disputes from the customer, it proposes to introduce an alternative dispute resolution procedure, for which it would be necessary to indicate the consumer associations involved.</w:t>
        <w:br/>
        <w:t>V. OPINION OF BANK OF ITALY</w:t>
        <w:br/>
        <w:t>21. Since the practice subject to this measure was carried out by an operator active in the banking and credit sectors, on September 2, 2021, the opinion was requested from Bank of Italy, pursuant to Article 27, paragraph 1-bis, of the Consumer Code.</w:t>
        <w:br/>
        <w:t>22. In an opinion received on October 7, 2021, the aforementioned Authority communicated that the commitments proposed by Fineco "do not present profiles of inconsistency with the regulations on transparency and fairness of relations between intermediaries and customers and, therefore, there are no elements preventing evaluations based on the provisions of the Consumer Code."</w:t>
        <w:br/>
        <w:t>VI. EVALUATIONS OF THE COMMITMENTS</w:t>
        <w:br/>
        <w:t>23. The Authority believes that the commitments proposed by the Professional are suitable to remedy the possible profiles of unfairness of the contested commercial practice, pursuant to the provisions of the Consumer Code, in the communication initiating the procedure of April 1, 2021. In particular, the Authority notes that the proposed measures are characterized by features that give them concreteness and effectiveness and ensure an adequate level of protection for consumers and micro-enterprises.</w:t>
        <w:br/>
        <w:t>24. The described measures are indeed suitable to permanently and structurally eliminate potential conditioning for the Bank's customers, for whom the three conditions that legitimize the Bank to exercise withdrawal apply, to subscribe to financial services and/or savings management with the Bank, moreover under onerous economic conditions.</w:t>
        <w:br/>
        <w:t>25. Firstly, particularly important are the various alternatives made available to customers for managing balances and the ninety-day period that the Bank will leave available to the account holder to exercise them without implementing withdrawal (commitment No. 3), as well as the commitment that the Bank will not use the right of withdrawal in the case of customers without a current account at another credit institution (commitment No. 4).</w:t>
        <w:br/>
        <w:t>26. The aforementioned commitments are specifically aimed at resolving the critical issue related to the possible undue conditioning of Fineco on the economic choices of customers for whom the three conditions apply. In fact, these measures, on one hand, offer customers concrete alternatives, even at zero cost, to maintaining liquidity in order to avoid the Bank's withdrawal and, on the other hand, restrict the scope of action in the application of withdrawal.</w:t>
        <w:br/>
        <w:t>27. In detail, with reference to the various alternative options to closing the current account, provided for in commitment No. 3 – such as i. individual negotiation of account costs based on a predefined price list, in order to rebalance the burdens borne by the Bank; ii. the transfer, without charges, of the excess balance above the threshold of 100,000 euros to any accounts of the</w:t>
      </w:r>
    </w:p>
    <w:p>
      <w:r>
        <w:rPr>
          <w:b/>
        </w:rPr>
        <w:t>[Pages 70–72]</w:t>
      </w:r>
    </w:p>
    <w:p>
      <w:r>
        <w:t>72 BULLETIN NO. 46 OF NOVEMBER 22, 2021</w:t>
        <w:br/>
        <w:t>customer at other credit institutions; iii. the purchase, without charges, of Italian government bonds that can be sold without expenses and iv. the acquisition of financial instruments with or without the support of a financial advisor from the Bank – it is particularly highlighted that customers can continue to use the current account without making investments or purchasing financing from Fineco if they are willing to negotiate with the Bank on balance costs (based on a price list and thus without discrimination among customers), or, if they meet a low-risk profile, to purchase Italian government bonds without any commission. Instead, customers with a higher risk profile can independently use Fineco's trading platform to make investments by purchasing shares, bonds, interests in Exchange Traded Funds or other UCITS, as the use of the platform is already included in the multi-service contract offered by Fineco, unlike the purchase of mortgages or personal loans, which do not fall among the options proposed by the Bank. In any case, the customer has ninety days to choose among the proposed options.</w:t>
      </w:r>
    </w:p>
    <w:p>
      <w:r>
        <w:t>28. Equally significant is the measure aimed at making the proposed commitments known and, therefore, ensuring their effectiveness, according to which Fineco will publish, in compliance with the principles of clarity, on the Bank's website the measures adopted. All customers will be informed of this notice through its mention in the first bank statement sent after the closure of the procedure. The inclusion of the reference to the notice in the bank statement is effective in drawing the attention of all customers of the Bank, including those who do not currently meet the conditions that allow the bank to withdraw but who could meet them in the future (commitment no. 5).</w:t>
      </w:r>
    </w:p>
    <w:p>
      <w:r>
        <w:t>29. Other specific informational obligations provided, such as the organization of interactive online courses made available to customers to improve their knowledge of the advantages and disadvantages related to maintaining balances in current accounts (commitment no. 1) and the establishment of a system for notifying the customer of the existence of conditions relevant for the Bank's withdrawal (commitment no. 2), also contribute to improving the informational framework.</w:t>
      </w:r>
    </w:p>
    <w:p>
      <w:r>
        <w:t>30. To complete the proposed commitments, particularly commendable is the measure of a restitutive nature, applicable to customers who, as of March 18, 2021 (the date of communication of the initiative in question), did not have a current account with another credit institution (and therefore could not have the option to transfer unused balances elsewhere), and who have taken out financing or made investments. To these customers, the Bank has committed to refund the fees paid for the execution of investment orders and to allow the repayment of the granted financing without the application of expenses or penalties (commitment no. 6).</w:t>
      </w:r>
    </w:p>
    <w:p>
      <w:r>
        <w:t>31. In conclusion, therefore, the commitments appear suitable to overcome the critical issues identified concerning the commercial practice subject to the procedure, relating to the inducement of holders of Fineco current accounts with a balance equal to or greater than 100,000 euros to make investments or purchase financing from the same Bank.</w:t>
      </w:r>
    </w:p>
    <w:p>
      <w:r>
        <w:t>32. In light of the above considerations, it is believed that the commitments presented by the Professional meet the requirements set forth in Article 27, paragraph 7, of the Consumer Code.</w:t>
      </w:r>
    </w:p>
    <w:p>
      <w:r>
        <w:t>IT IS THEREFORE CONSIDERED that the commitments presented by FinecoBank S.p.A., in the terms outlined above, are suitable to eliminate the possible profiles of unfairness of the commercial practice subject to investigation;</w:t>
      </w:r>
    </w:p>
    <w:p>
      <w:r>
        <w:t>IT IS CONSIDERED to impose the obligation of the aforementioned commitments on FinecoBank S.p.A.;</w:t>
      </w:r>
    </w:p>
    <w:p>
      <w:r>
        <w:t>BULLETIN NO. 46 OF NOVEMBER 22, 2021 73</w:t>
        <w:br/>
        <w:t>IT IS THEREFORE CONSIDERED to be able to close the procedure without ascertaining the infringement;</w:t>
      </w:r>
    </w:p>
    <w:p>
      <w:r>
        <w:t xml:space="preserve">RESOLVES </w:t>
        <w:br/>
        <w:t xml:space="preserve">a) to make mandatory, towards the company FinecoBank S.p.A., pursuant to Article 27, paragraph 7, of the Consumer Code and Article 9, paragraph 2, letter a), of the Regulation, the commitments proposed by the same Company on May 16, 2021, and definitively on June 18, 2021, as described in the attached form, which is an integral part of this measure; </w:t>
        <w:br/>
        <w:t xml:space="preserve">b) to close the procedure without ascertaining the infringement, pursuant to Article 27, paragraph 7, of the Consumer Code and Article 9, paragraph 2, letter a), of the Regulation; </w:t>
        <w:br/>
        <w:t>c) that the company FinecoBank S.p.A., within one hundred and twenty days from the date of notification of this resolution, informs the Authority of the implementation of the commitments.</w:t>
      </w:r>
    </w:p>
    <w:p>
      <w: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 xml:space="preserve">THE SECRETARY GENERAL THE PRESIDENT </w:t>
        <w:br/>
        <w:t>Filippo Arena Roberto Rustichelli</w:t>
      </w:r>
    </w:p>
    <w:p>
      <w:r>
        <w:t xml:space="preserve">74 BULLETIN NO. 46 OF NOVEMBER 22, 2021 </w:t>
        <w:br/>
        <w:t xml:space="preserve">PS12185 – NUTRISCORE - DUKAN </w:t>
        <w:br/>
        <w:t xml:space="preserve">Notice of initiation of investigative procedure </w:t>
        <w:br/>
        <w:t xml:space="preserve">COMPETITION AND MARKET AUTHORITY </w:t>
        <w:br/>
        <w:t>Notice of initiation of the investigation, pursuant to Article 6, paragraph 2, and Article 19, paragraph 2,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in relation to procedure PS12185.</w:t>
      </w:r>
    </w:p>
    <w:p>
      <w:r>
        <w:t>The publication of this notice, followed by the communication of the initiation of the procedure, in the weekly Bulletin of the Competition and Market Authority, is made pursuant to and for the effects of Article 6, paragraph 2, and Article 19, paragraph 2, of the Regulation, given the impossibility of notifying the same communication of initiation, dated November 5, prot. no. 83407/2021, to Regime Dukan Société par actions simplifiée and Diet Lab SAS, due to the lack of receipt of responses to the attempts to transmit, to both professionals, the aforementioned communication of initiation, carried out on November 12, 2021.</w:t>
      </w:r>
    </w:p>
    <w:p>
      <w:r>
        <w:t xml:space="preserve">For any communication addressed to the Authority, relating to the case in question, please refer to Direction C of the General Directorate for Consumer Protection and reference PS12185. </w:t>
        <w:br/>
        <w:t xml:space="preserve">_______________________________________________________________________ </w:t>
        <w:br/>
        <w:t xml:space="preserve">PS12185 – NUTRISCORE - DUKAN </w:t>
        <w:br/>
        <w:t xml:space="preserve">Communication of initiation of investigative procedure </w:t>
        <w:br/>
        <w:t>Subject: Communication of initiation of the procedure pursuant to Article 27, paragraph 3, of Legislative Decree September 6, 2005, No. 206 and subsequent amendments (hereinafter, Consumer Code), as well as pursuant to Article 6 of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and simultaneous request for information pursuant to Article 12, paragraph 1, of the Regulation.</w:t>
      </w:r>
    </w:p>
    <w:p>
      <w:r>
        <w:t xml:space="preserve">I. The Parties </w:t>
        <w:br/>
        <w:t xml:space="preserve">1. Diet Lab SAS as the professional, pursuant to Article 18, paragraph 1, letter b), of the Consumer Code. The company conveys information on the dietary regime, designed by the French doctor Pierre Dukan, to be followed also through the intake of products branded "Dukan"1. </w:t>
        <w:br/>
        <w:t>1 Diet Lab operates through the website https://www.dietadukan.it</w:t>
      </w:r>
    </w:p>
    <w:p>
      <w:r>
        <w:rPr>
          <w:b/>
        </w:rPr>
        <w:t>[Pages 73–75]</w:t>
      </w:r>
    </w:p>
    <w:p>
      <w:r>
        <w:t>BULLETIN NO. 46 OF NOVEMBER 22, 2021 75</w:t>
        <w:br/>
        <w:t>2. Dukan Regime Société par actions simplifiée as a professional, pursuant to Article 18, paragraph 1, letter b), of the Consumer Code. The company is active in the trade of food products including those branded Dukan2.</w:t>
        <w:br/>
        <w:t>3. Association Article 32-97 - Italian Association for the Rights of Patients and Citizens, as a reporting consumer association.</w:t>
        <w:br/>
        <w:t>4. General Confederation of Italian Agriculture (ConfAgricoltura), as a reporting professional association.</w:t>
        <w:br/>
        <w:t>II. The commercial practice</w:t>
        <w:br/>
        <w:t>5. Based on the reports received on June 8, 20213 and July 27, 20214 and the information acquired for the application of the Consumer Code, it emerged that on the packaging of various food products branded "Dukan" the indication of the name (or company name) and address of the food sector operator marketing them is omitted, with only the image of the French flag and the indication "Made in France (Alsace)" appearing on the packaging.</w:t>
        <w:br/>
        <w:t>It also emerged that on the packaging of the same products, a front pack labeling system called NutriScore is affixed.</w:t>
        <w:br/>
        <w:t>The NutriScore expresses the nutritional quality of the food through two correlated scales: a chromatic scale divided into five gradations from green to red and an alphabetical scale with letters ranging from A (highest quality) to E. Food products are divided into five categories based on a score calculated using a complex algorithm that subtracts the total value of "unfavorable" elements (energy-kj, saturated fatty acids, simple sugars, sodium) from that of "favorable" elements (percentage of fruits, vegetables, legumes, and oilseeds, fibers, proteins). Foods with very low scores are assigned to category A (green), while those with the highest scores are assigned to category E (red).</w:t>
        <w:br/>
        <w:t>The score always refers to a quantity of product equal to 100 g or 100 ml.</w:t>
        <w:br/>
        <w:t>III. Possible profiles of unfairness of the commercial practice</w:t>
        <w:br/>
        <w:t>6. The behavior described in point II of this communication could constitute a violation of Articles 20, 21, letter b) and 22 of the Consumer Code, as it is contrary to professional diligence and capable of misleading the average consumer regarding the identity of the food sector operator under whose name or company name the products branded "Dukan" are marketed, the nature and functioning of the parameters on which the evaluation expressed by the NutriScore label is based, the benefits derived from the consumption of the products on which it is present, as well as the health results associated with this type of labeling.</w:t>
        <w:br/>
        <w:t>2 Dukan Regime operates through the website www.dukansupermarche.com referenced on the product packaging.</w:t>
        <w:br/>
        <w:t>3 See doc. no. 1 of the index of the investigation file: report from Association Article 32-97 - Italian Association for the Rights of Patients and Citizens (prot. no. 50742 of June 8, 2021).</w:t>
        <w:br/>
        <w:t>4 See doc. no. 4 of the index of the investigation file: report from Confagricoltura (prot. no. 61874 of July 27, 2021).</w:t>
      </w:r>
    </w:p>
    <w:p>
      <w:r>
        <w:t>76 BULLETIN NO. 46 OF NOVEMBER 22, 2021</w:t>
        <w:br/>
        <w:t>7. The manner in which NutriScore provides nutritional information to consumers expresses an absolute judgment on the healthiness of a particular product without contextualizing it with respect to the overall needs of an individual (diet and lifestyle) and, therefore, without conveying the principal information on the correct consumption of that food in terms of quantity and frequency of intake within a varied and balanced diet that takes into account the physiological and metabolic needs of the individual.</w:t>
        <w:br/>
        <w:t>8. It should indeed be highlighted that the NutriScore judgment is expressed per 100 grams/100 ml of product, without considering that there are foods that are not habitually consumed in quantities of the same order of magnitude. The score constructed on 100 grams or 100 ml distorts the information as it is not accompanied by any warning or clarification that contextualizes this quantity, and the related nutritional contribution, with respect to the type of food analyzed and the daily nutritional requirements of an individual.</w:t>
        <w:br/>
        <w:t>9. The color/letter scale, moreover, suggests and implies the existence of a direct relationship between the food and health, potentially leading the average consumer to believe that the product - solely because marked with green colors or the first letters of the alphabet - is the best for their health and, in any case, to be preferred over other foods lacking the same indicator. This could favor the purchase of products classified as "green" and disadvantage those classified as "yellow/orange/red," regardless of the actual nutritional contribution in a balanced diet. Finally, the construction of the alphabetical and chromatic evaluation scale is carried out through an algorithm that does not allow consumers to understand the extent of the nutritional indication conveyed, as the criteria (the correspondence between quantities, nutrient categories, and the related score) are not known, as well as the objectivity of the evaluations underlying the issuance of the NutriScore label.</w:t>
        <w:br/>
        <w:t>10. Therefore, the communication disseminated by the professional through the affixing of the NutriScore label, in the absence of further annotations and clarifications, could convey misleading and omissive information, capable of significantly altering the consumer's ability to make an informed choice. In these terms, the misleading inducement could lead to attributing health properties to products with a positive judgment according to the NutriScore label and, therefore, to unjustifiably enhancing the health results derived from their choice.</w:t>
        <w:br/>
        <w:t>IV. Procedural methods and terms</w:t>
        <w:br/>
        <w:t>11. Based on the above, it is hereby communicated:</w:t>
        <w:br/>
        <w:t>a) the initiation of the procedure, pursuant to Article 6 of the Regulation, in order to verify the hypotheses of violation mentioned in points II and III;</w:t>
        <w:br/>
        <w:t>b) that the person responsible for the procedure is Dr. Marina Catallozzi;</w:t>
        <w:br/>
        <w:t>c) that the person responsible for the procedure will communicate, pursuant to Article 16, paragraph 1, of the Regulation, the date of conclusion of the investigative phase;</w:t>
        <w:br/>
        <w:t>d) that the procedure will conclude within 180 days from the date of protocol of this communication, pursuant to Article 7 of the Regulation;</w:t>
      </w:r>
    </w:p>
    <w:p>
      <w:r>
        <w:t>BULLETIN NO. 46 OF NOVEMBER 22, 2021 77</w:t>
        <w:br/>
        <w:t>e) that the Office where the Parties can access the documents of the procedure, upon written request and telephone contact to establish the modalities of access, is Directorate C of the Directorate General for Consumer Protection (tel. 06/85821452; fax 06/85821359; p.e.c. protocollo.agcm@pec.agcm.it). Access may be made directly by the Parties or by a person delegated in writing;</w:t>
        <w:br/>
        <w:t>f) that the Parties may submit written statements and documents within 30 days of receiving this communication.</w:t>
        <w:br/>
        <w:t>V. Request for information</w:t>
        <w:br/>
        <w:t>12. In order to acquire useful knowledge elements for the evaluation of the above-mentioned commercial practice, Diet Lab SAS and Regime Dukan Société par actions simplifiée are requested to provide, within 30 days of receiving this communication, the following information (accompanied by the relevant documentation, including internal relevance):</w:t>
        <w:br/>
        <w:t>1. the food sector operator under whose name or company name the products branded "Dukan" are marketed;</w:t>
        <w:br/>
        <w:t>2. the operating methods and identification of the parameters underlying the algorithm used to express the judgment on the food product according to the NutriScore scale;</w:t>
        <w:br/>
        <w:t>3. indications regarding the food references branded "Dukan" to which the NutriScore label has been affixed, specifying the date of the start of the labeling system in question and indicating the reasons, for each product, that led to the selection of the foods to be marked with the label;</w:t>
        <w:br/>
        <w:t>4. information regarding the sales by volume and value of products with the NutriScore label in relation to those of the same category without the label;</w:t>
        <w:br/>
        <w:t>5. any other element deemed useful for the evaluation of the case in question.</w:t>
        <w:br/>
        <w:t>13. The requested information and documents, as well as any statements, may also be transmitted on suitable electronic support.</w:t>
        <w:br/>
        <w:t>14. 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br/>
        <w:t>15. Pending the requested information elements, it is reminded that, pursuant to Article 27, paragraph 4, of the Consumer Code, the subjects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w:t>
        <w:br/>
        <w:t>16. For the purposes of quantifying any pecuniary sanctions referred to in Article 27, paragraph 9, of the Consumer Code, Diet Lab SAS and Regime Dukan Société par actions simplifiée are requested to</w:t>
      </w:r>
    </w:p>
    <w:p>
      <w:r>
        <w:rPr>
          <w:b/>
        </w:rPr>
        <w:t>[Pages 76–78]</w:t>
      </w:r>
    </w:p>
    <w:p>
      <w:r>
        <w:t>78 BULLETIN NO. 46 OF NOVEMBER 22, 2021</w:t>
        <w:br/>
        <w:t>to provide a copy of the last approved financial statement or suitable tax documentation from which the economic results related to the considered financial year can be derived.</w:t>
      </w:r>
    </w:p>
    <w:p>
      <w:r>
        <w:t>17. For any communication addressed to the Authority regarding the case in question, please cite Directorate C of the Directorate General for Consumer Protection and reference PS/12185. For any clarifications and information, you may contact Dr. Marina Catallozzi at the number 06/85821452, fax 06/85821539; p.e.c.: protocollo.agcm@pec.agcm.it, email: marina.catallozzi@agcm.it.</w:t>
      </w:r>
    </w:p>
    <w:p>
      <w:r>
        <w:t>Attached is the information pursuant to Article 13 of Regulation (EU) 2016/679.</w:t>
      </w:r>
    </w:p>
    <w:p>
      <w:r>
        <w:t>THE PERSON IN CHARGE OF THE PROCEDURE</w:t>
        <w:br/>
        <w:t>_______________________________________________________________________</w:t>
        <w:br/>
        <w:t>INFORMATION ON THE PROCESSING OF PERSONAL DATA</w:t>
        <w:br/>
        <w:t>- Article 13 of Regulation (EU) 2016/679 -</w:t>
        <w:br/>
        <w:t>The Competition and Market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 legislation on consumer protection (Legislative Decree 6 September 2005, No. 206, containing "Consumer Code" and subsequent amendments, Legislative Decree 2 August 2007, No. 145, Article 30, paragraph 1 bis of Legislative Decree No. 59/2010, Legislative Decree No. 70/2003).</w:t>
      </w:r>
    </w:p>
    <w:p>
      <w:r>
        <w:t>The provision of this data is strictly functional to the performance of such activities and the related processing will be carried out, also through IT and telematic tools, in the ways and within the limits necessary to pursue these purposes or otherwise connected to the exercise of its public powers, including the purposes of archiving, historical research, and analysis for statistical purposes.</w:t>
      </w:r>
    </w:p>
    <w:p>
      <w:r>
        <w:t>Personal data will be retained for a period not exceeding the achievement of the purposes for which they are processed and in accordance with the rules on the retention of administrative documentation. Such data may be retained for longer periods exclusively for archiving purposes in the public interest, scientific or historical research, or statistical purposes.</w:t>
      </w:r>
    </w:p>
    <w:p>
      <w:r>
        <w:t>The data provided will be known by personnel in charge of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Authority's institutional website (www.agcm.it) within the limits permitted by law and regulations.</w:t>
      </w:r>
    </w:p>
    <w:p>
      <w:r>
        <w:t>Data subjects have the right to request the data controller access to their personal data and the rectification or deletion of the same or the limitation of processing concerning them or to object to processing (Articles 15 et seq. of the Regulation). The appropriate request is submitted by contacting the Data Protection Officer at the Authority (Competition and Market Authority - Data Protection Officer, Piazza G. Verdi n. 6A, 00198, Rome, email: rpd@agcm.it).</w:t>
      </w:r>
    </w:p>
    <w:p>
      <w:r>
        <w:t>Data subjects, if the conditions are met, also have the right to lodge a complaint with the Guarantor for the protection of personal data, as the supervisory authority, or to take appropriate judicial action.</w:t>
      </w:r>
    </w:p>
    <w:p>
      <w:r>
        <w:t>Weekly Bulletin of the Competition and Market Authority Year XXXI - No. 46 - 2021</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