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https://www.agcm.it/dotcmsdoc/bollettini/2022/46-22.pdf</w:t>
      </w:r>
    </w:p>
    <w:p>
      <w:r>
        <w:t>Pages translated : 89</w:t>
      </w:r>
    </w:p>
    <w:p/>
    <w:p>
      <w:r>
        <w:rPr>
          <w:b/>
        </w:rPr>
        <w:t>[Pages 1–3]</w:t>
      </w:r>
    </w:p>
    <w:p>
      <w:r>
        <w:t>Bulletin</w:t>
        <w:br/>
        <w:t>Weekly</w:t>
        <w:br/>
        <w:t>Year XXXII - No. 46</w:t>
        <w:br/>
        <w:t>Published on the website www.agcm.it</w:t>
        <w:br/>
        <w:t>December 27, 2022</w:t>
      </w:r>
    </w:p>
    <w:p>
      <w:r>
        <w:t>SUMMARY</w:t>
        <w:br/>
        <w:t>AGREEMENTS AND ABUSE OF DOMINANT POSITION 5</w:t>
        <w:br/>
        <w:t>I863 - AIRLINE TICKET PRICES TO AND FROM SICILY DURING THE CHRISTMAS PERIOD</w:t>
        <w:br/>
        <w:t>Decision No. 30408 5</w:t>
        <w:br/>
        <w:t>CONCENTRATION OPERATIONS 12</w:t>
        <w:br/>
        <w:t>C12488 - BUBBLES BIDCO/QUATTRO</w:t>
        <w:br/>
        <w:t>Decision No. 30404 12</w:t>
        <w:br/>
        <w:t>C12505 - LOTTOMATICA/BETFLAG</w:t>
        <w:br/>
        <w:t>Decision No. 30405 59</w:t>
        <w:br/>
        <w:t>ACTIVITIES OF REPORTING AND CONSULTATION 67</w:t>
        <w:br/>
        <w:t>AS1871 – MUNICIPALITY OF MONTIERI (GR) - SPIN-OFF OF THE BUSINESS BRANCH "SESTA LAB" FROM</w:t>
        <w:br/>
        <w:t>THE PARTICIPATED COMPANY COSVIG AND ITS TRANSFER TO A NEWLY</w:t>
        <w:br/>
        <w:t>ESTABLISHED COMPANY 67</w:t>
        <w:br/>
        <w:t>AS1872 - VARIOUS MUNICIPALITIES OF THE PROVINCES OF GROSSETO, PISA, AND SIENA - SPIN-OFF OF THE</w:t>
        <w:br/>
        <w:t>BUSINESS BRANCH "SESTA LAB" FROM THE PARTICIPATED COMPANY COSVIG AND ITS TRANSFER TO</w:t>
        <w:br/>
        <w:t>A NEWLY ESTABLISHED COMPANY 72</w:t>
        <w:br/>
        <w:t>AS1873 – ASL 6 OF MEDIO CAMPIDANO – CRITERIA ADOPTED FOR THE INTEGRATION OF A</w:t>
        <w:br/>
        <w:t>LIST OF LAWYERS TO BE USED FOR ASSIGNING CONSULTING AND</w:t>
        <w:br/>
        <w:t>LEGAL REPRESENTATION TASKS 77</w:t>
        <w:br/>
        <w:t>UNFAIR TRADE PRACTICES 80</w:t>
        <w:br/>
        <w:t>IP361 - AGM GROUP - SUPERBONUS ADVERTISING</w:t>
        <w:br/>
        <w:t>Decision No. 30406 80</w:t>
        <w:br/>
        <w:t>VARIOUS 83</w:t>
        <w:br/>
        <w:t>COMMUNICATION REGARDING THE APPLICATION OF ARTICLE 16, PARAGRAPH 1-BIS, OF</w:t>
        <w:br/>
        <w:t>LAW NO. 287 OF OCTOBER 10, 1990</w:t>
        <w:br/>
        <w:t>Decision No. 30407 83</w:t>
        <w:br/>
        <w:t>BUDGET FORECAST FOR THE FINANCIAL YEAR 2023 AND MULTIYEAR 2023-2025</w:t>
        <w:br/>
        <w:t>Decision No. 30413 89</w:t>
      </w:r>
    </w:p>
    <w:p>
      <w:r>
        <w:t>BULLETIN NO. 46 OF DECEMBER 27, 2022 5</w:t>
        <w:br/>
        <w:t>AGREEMENTS AND ABUSE OF DOMINANT POSITION</w:t>
        <w:br/>
        <w:t>I863 - AIRLINE TICKET PRICES TO AND FROM SICILY DURING THE CHRISTMAS PERIOD</w:t>
        <w:br/>
        <w:t>Decision No. 30408</w:t>
        <w:br/>
        <w:t>THE ANTITRUST AUTHORITY</w:t>
        <w:br/>
        <w:t>IN ITS MEETING of December 20, 2022;</w:t>
        <w:br/>
        <w:t>HEARD the Rapporteur, President Roberto Rustichelli;</w:t>
        <w:br/>
        <w:t>HAVING REGARD TO Article 101 of the Treaty on the Functioning of the European Union (TFEU);</w:t>
        <w:br/>
        <w:t>HAVING REGARD TO Council Regulation (EC) No. 1/2003 of December 16, 2002, concerning</w:t>
        <w:br/>
        <w:t>the application of the competition rules laid down in Articles 101 and 102 TFEU;</w:t>
        <w:br/>
        <w:t>HAVING REGARD TO Law No. 287 of October 10, 1990;</w:t>
        <w:br/>
        <w:t>HAVING REGARD TO Presidential Decree No. 217 of April 30, 1998;</w:t>
        <w:br/>
        <w:t>HAVING REGARD TO the documents of the proceedings;</w:t>
        <w:br/>
        <w:t>CONSIDERED the following:</w:t>
        <w:br/>
        <w:t>I. The Parties</w:t>
        <w:br/>
        <w:t>1. Ryanair DAC (hereinafter also "Ryanair") is a low-cost airline under Irish law</w:t>
        <w:br/>
        <w:t>active in offering air transport services on national and international routes and part of the</w:t>
        <w:br/>
        <w:t>Ryanair Group, whose parent company is Ryanair Holdings plc.</w:t>
        <w:br/>
        <w:t>2. Wizz Air Hungary Ltd (hereinafter, "Wizz Air") is a low-cost airline, based</w:t>
        <w:br/>
        <w:t>in Hungary, active in air transport services on national and international routes, part of the</w:t>
        <w:br/>
        <w:t>Wizz Air Group, whose parent company is Wizz Air Holdings plc.</w:t>
        <w:br/>
        <w:t>3. EasyJet Airline Company Limited (hereinafter, "EasyJet") is a low-cost airline under</w:t>
        <w:br/>
        <w:t>British law active in the sector of passenger air transport services on national and</w:t>
        <w:br/>
        <w:t>international routes and at the head of the eponymous Group.</w:t>
        <w:br/>
        <w:t>4. Italia Trasporto Aereo S.p.A. (hereinafter, "ITA" or "ITA Airways", together with Ryanair, Wizz</w:t>
        <w:br/>
        <w:t>Air, and EasyJet, the "Reported Parties") is a company under Italian law wholly owned by the Ministry</w:t>
        <w:br/>
        <w:t>of Economy and Finance, active in the sector of passenger air transport services on national and</w:t>
        <w:br/>
        <w:t>international routes. The company began operations in November 2020.</w:t>
        <w:br/>
        <w:t>5. Codacons Sicilia (hereinafter, the "Reporting Party") is a territorial branch of Codacons,</w:t>
        <w:br/>
        <w:t>a national association for the defense of the environment and the protection of the rights of users and consumers.</w:t>
      </w:r>
    </w:p>
    <w:p>
      <w:r>
        <w:rPr>
          <w:b/>
        </w:rPr>
        <w:t>[Pages 4–6]</w:t>
      </w:r>
    </w:p>
    <w:p>
      <w:r>
        <w:t xml:space="preserve">6 BULLETIN NO. 46 OF 27 DECEMBER 2022  </w:t>
        <w:br/>
        <w:t xml:space="preserve">II. The report  </w:t>
        <w:br/>
        <w:t xml:space="preserve">6. With communication dated 13 December 2022, the Reporting Party reported alleged distortions of competition arising from the increase in air ticket prices on routes connecting the main Italian cities (Rome, Bologna, Turin, and Milan) to Sicily during the Christmas holidays. In particular, the Reporting Party believes that these price increases are attributable to a specific collusive intent of the airlines operating on these routes.  </w:t>
        <w:br/>
        <w:t xml:space="preserve">7. The alleged agreement would have concerned the flights scheduled by the airlines in proximity to the Christmas holidays and the summer period due to the significant increase in demand for mobility on these routes, for which an adequate offer of air transport services would not have been provided to students and commuting workers wishing to reach their families of origin.  </w:t>
        <w:br/>
        <w:t xml:space="preserve">8. According to the report, the increases in economy class air ticket prices during the Christmas period would have occurred on flights operated: i) by Ryanair on the routes Bologna – Palermo, Milan – Palermo, Turin – Palermo, Bologna – Palermo, and Rome – Catania; ii) by ITA Airways on the routes Rome – Palermo, Turin – Palermo, and Milan – Palermo; iii) by Wizz Air on the route Milan – Catania.  </w:t>
        <w:br/>
        <w:t xml:space="preserve">9. In support of the claims made, the Reporting Party attaches an article published on QdS.it on 10 December 2022, which indicates the increases in air ticket prices on the aforementioned routes during the Christmas period, and an article published on 9 December 2022 on Giornale di Sicilia.it featuring an interview with the President of the Sicily Region, Renato Schifani, who stated that there would be a cartel between ITA Airways and Ryanair on the Palermo – Rome route.  </w:t>
        <w:br/>
        <w:t xml:space="preserve">III. Characteristics of the reported routes  </w:t>
        <w:br/>
        <w:t xml:space="preserve">10. Ryanair, ITA Airways, Wizz Air, and EasyJet are the main airlines offering national air transport services to Sicily, with the number of frequencies operated varying from route to route but, with reference to the most significant routes (such as Milan/Palermo, Milan/Catania, Rome/Palermo, and Rome/Catania), can reach up to 20 daily flights per route (“v/g”). In particular, based on data obtainable from the Reporting Parties' platforms, for the Milan/Catania route, the maximum offer from ITA is 7 v/g, from Ryanair 6 v/g, from EasyJet 5 v/g, and from Wizz Air 3 v/g; for the Rome/Catania route, the maximum offer from ITA is 7 v/g and from Ryanair 5 v/g. The only routes where all four companies are present are Milan/Catania and Milan/Palermo.  </w:t>
        <w:br/>
        <w:t xml:space="preserve">11. In order to verify the trend of air ticket prices of the carriers active on the main routes connecting mainland Italy (Milan Malpensa “MPX”, Milan Linate “LIN”, Milan Orio al Serio “BGY”, Rome Fiumicino, Bologna, and Turin) with Sicily (Palermo and Catania) without intermediate stops, on 14 December 2022, a comparison was made considering two different departure dates: 23 December 2022 (a date corresponding to a high peak in demand due to the proximity to the Christmas holidays, see table 1); 8 January 2023 (a date corresponding to "ordinary" demand, see table 2).  </w:t>
        <w:br/>
        <w:t xml:space="preserve">12. For the sake of brevity, the tables report the lowest price data, at any time of day, for flights offered by Ryanair, ITA, Wizz Air, and EasyJet. Prices are reported without decimals, without the use of discounts for so-called fidelity clubs, and without the charge of additional services to the flight (e.g., baggage).  </w:t>
        <w:br/>
        <w:t xml:space="preserve">13. Furthermore, to better appreciate the phenomenon of price trends, also on 14 December 2022, an additional comparison was made that takes into account the purchase of "round trip" tickets (a/r), assuming, for tickets purchased on 23 December, a return two weeks later, in order to include the entire holiday period (see table 3).  </w:t>
        <w:br/>
        <w:t xml:space="preserve">Table 1.  </w:t>
        <w:br/>
        <w:t xml:space="preserve">23 December 2022  </w:t>
        <w:br/>
        <w:t xml:space="preserve">MPX MPX LIN LIN BGY BGY Bologna Bologna FCO FCO Torino Torino  </w:t>
        <w:br/>
        <w:t xml:space="preserve">Route  </w:t>
        <w:br/>
        <w:t xml:space="preserve">Catania Palermo Catania Palermo Catania Palermo Catania Palermo Catania Palermo Catania Palermo  </w:t>
        <w:br/>
        <w:t xml:space="preserve">Ryanair 174 € 255 € ---- ---- 164 € 171 € 249 € 365 € 332 € 373 € 218 € 205 €  </w:t>
        <w:br/>
        <w:t xml:space="preserve">ITA ---- ---- 188 € 190 € ---- ---- / 123 € / 206 € / 253 €  </w:t>
        <w:br/>
        <w:t xml:space="preserve">Wizz Air / 247 € ---- ---- ---- ---- 189 € ---- ---- ---- 159 € ----  </w:t>
        <w:br/>
        <w:t xml:space="preserve">Easyjet 214 € 212 € ---- ---- ---- ---- ---- ---- ---- ---- ---- ----  </w:t>
        <w:br/>
        <w:t>1 The hypothesis in which the airline, as of today, does not operate a flight on the identified route is represented with the sign “---”; the hypothesis in which tickets are already sold out on the chosen date will be represented with the sign “/”.</w:t>
      </w:r>
    </w:p>
    <w:p>
      <w:r>
        <w:t xml:space="preserve">8 BULLETIN NO. 46 OF 27 DECEMBER 2022  </w:t>
        <w:br/>
        <w:t xml:space="preserve">Table 2.  </w:t>
        <w:br/>
        <w:t xml:space="preserve">8 January 2023  </w:t>
        <w:br/>
        <w:t xml:space="preserve">MPX MPX LIN LIN BGY BGY Bologna Bologna FCO FCO Torino Torino  </w:t>
        <w:br/>
        <w:t xml:space="preserve">Route  </w:t>
        <w:br/>
        <w:t xml:space="preserve">Catania Palermo Catania Palermo Catania Palermo Catania Palermo Catania Palermo Catania Palermo  </w:t>
        <w:br/>
        <w:t xml:space="preserve">Ryanair 9 € 9 € ---- ---- 29 € 22 € 9 € 19 € 14 € 40 € 27 € 29 €  </w:t>
        <w:br/>
        <w:t xml:space="preserve">ITA ---- ---- 67 € 59 € ---- ---- 73 € 73 € 62 € 71 € 77 € 77 €  </w:t>
        <w:br/>
        <w:t xml:space="preserve">Wizz Air 24 € 19 € ---- ---- ---- ---- 19 € ---- ---- ---- 49 € ----  </w:t>
        <w:br/>
        <w:t xml:space="preserve">Easyjet 30 € 16 € ---- ---- ---- ---- ---- ---- ---- ---- ---- ----  </w:t>
        <w:br/>
        <w:t xml:space="preserve">Table 3.  </w:t>
        <w:br/>
        <w:t xml:space="preserve">A/R 23 December 2022 – 6 January 2023  </w:t>
        <w:br/>
        <w:t xml:space="preserve">MPX MPX LIN LIN BGY BGY Bologna Bologna FCO FCO Torino Torino  </w:t>
        <w:br/>
        <w:t xml:space="preserve">Route  </w:t>
        <w:br/>
        <w:t xml:space="preserve">Catania Palermo Catania Palermo Catania Palermo Catania Palermo Catania Palermo Catania Palermo  </w:t>
        <w:br/>
        <w:t xml:space="preserve">Ryanair 318 € 379 € ---- ---- 292 € 279 € 336 € 463 € 400 € 438 € 389 € 392 €  </w:t>
        <w:br/>
        <w:t xml:space="preserve">ITA ---- ---- 371 € 310 € ---- ---- / 274 € / 285 € / 358 €  </w:t>
        <w:br/>
        <w:t xml:space="preserve">Wizz Air / 330 € ---- ---- ---- ---- 259 € ---- ---- ---- 259 € ----  </w:t>
        <w:br/>
        <w:t xml:space="preserve">Easyjet 375 € 379 € ---- ---- ---- ---- ---- ---- ---- ---- ---- ----  </w:t>
        <w:br/>
        <w:t xml:space="preserve">14. From the data reported in the tables, the following emerges.  </w:t>
        <w:br/>
        <w:t xml:space="preserve">In proximity to the Christmas holidays, there is a general and significant increase in air ticket prices. For example, the average price of a flight from Milan (MPX, LIN, BGY) to Catania and Palermo (table 2 above) is €201, over 700% of the price recorded in the period following the holidays, which is approximately €28 (table 3 above), despite this being a route with a high intensity of daily flights (over 20), offered by four operators. Only some routes, even in close proximity to the holidays, resist the general price increase trend. Furthermore, especially with reference to the routes departing from Milan and the overall price of the entire round trip, there is a substantial alignment of prices charged by the different companies.  </w:t>
        <w:br/>
        <w:t xml:space="preserve">IV. Evaluations  </w:t>
        <w:br/>
        <w:t xml:space="preserve">IV.1. The relevant market  </w:t>
        <w:br/>
        <w:t>15. In the event of a challenge to a restrictive agreement on competition, the product and geographic scope of the relevant market is, according to constant national and EU jurisprudence, primarily determined by the extent of the coordination itself, as this extent reproduces the breadth of the market on which the participants deemed it possible and profitable to coordinate through a restrictive agreement on competition. Consequently, in such cases of illegality, the definition of the market...</w:t>
      </w:r>
    </w:p>
    <w:p>
      <w:r>
        <w:rPr>
          <w:b/>
        </w:rPr>
        <w:t>[Pages 7–9]</w:t>
      </w:r>
    </w:p>
    <w:p>
      <w:r>
        <w:t>BULLETIN NO. 46 OF 27 DECEMBER 2022</w:t>
      </w:r>
    </w:p>
    <w:p>
      <w:r>
        <w:t xml:space="preserve">relevant is directly correlated to the context in which the alleged collusive behavior of the involved companies is situated2.  </w:t>
        <w:br/>
        <w:t xml:space="preserve">16. Due to the contested conduct and the scope of activities of the Reported parties, the product markets affected by this investigation are therefore those related to scheduled air passenger transport, with particular reference to "economy" class flights on routes defined by origin-destination pairs at the ends of which are, on one side, Palermo or Catania and, on the other, one of the following cities in Central or Northern Italy: Rome (Fiumicino and Ciampino), Milan (including Malpensa, Linate, and Orio al Serio), Turin, and Bologna.  </w:t>
        <w:br/>
        <w:t xml:space="preserve">17. In this regard, it is particularly noted that, based on a consolidated national and EU-oriented approach3, within the framework of scheduled passenger air transport, product markets can be substantially distinguished based on the routes on which such service is provided. In particular, connections between pairs of cities or airports, and more precisely between their respective catchment areas, constitute distinct product markets. Each of these markets does not necessarily coincide solely with the direct connections between the two airports at the ends of the route, but may also include direct flights between airports whose respective catchment areas significantly overlap with the catchment areas of the airports at the two ends of the route, as well as indirect flights between the two airports at the ends of the route that are substitutable for direct flights from the consumer's perspective4.  </w:t>
        <w:br/>
        <w:t xml:space="preserve">IV.2. The conduct  </w:t>
        <w:br/>
        <w:t xml:space="preserve">18. Preliminary, it is worth noting that airlines generally vary prices dynamically (so-called revenue management) based on a series of factors, such as the airline's costs, seat availability, expected demand (which can be very high during the Christmas and summer periods), or the pricing policy of competitors (rational adaptation). During peak demand periods of the year, demand becomes less elastic with respect to price, and airlines may also have, where there is no possibility to increase supply, a rational incentive to raise ticket prices, without necessarily coordinating their commercial conduct with that of competitors5.  </w:t>
        <w:br/>
        <w:t xml:space="preserve">19. In this specific case, however, it is believed that the increase in air ticket prices during the Christmas period could be the result of collusive behavior among airlines, possibly facilitated by the use of pricing algorithms, rather than a rational adaptation to market conditions. In fact, on one hand, there seems to be an anomalous alignment of prices in some cases (for example, on routes departing from Milan and arriving in Catania or Palermo), a possible indicator of an agreement among operators active on the connections between mainland Italy and the two main Sicilian cities; on the other hand, there are no initiatives from airlines aimed at achieving a better alignment of supply with demand, which would be consistent with a lawful profit-maximizing strategy.  </w:t>
        <w:br/>
        <w:t xml:space="preserve">20. Therefore, it is believed that the reported issues merit further investigation to ascertain the existence of possible distortions of the proper functioning of competitive mechanisms, in violation of Article 101 TFEU. Such distortions, as they affect an economic variable of particular relevance, such as price, would be particularly serious, especially in the current phase of crisis, difficulties for consumers, and reduction of household income purchasing power.  </w:t>
        <w:br/>
        <w:t xml:space="preserve">IV.3. The harm to intra-European trade  </w:t>
        <w:br/>
        <w:t xml:space="preserve">21. The concept of harm to intra-European trade must be interpreted taking into account the direct or indirect, real or potential influence on trade flows between Member States. Considering that the alleged agreement would involve companies that are part of international groups and active throughout the national territory, it appears capable of influencing trade between Member States and is therefore susceptible to constituting a violation of Article 101 TFEU.  </w:t>
        <w:br/>
        <w:t xml:space="preserve">CONSIDERING, therefore, that the conduct described above, carried out by Ryanair DAC, Wizz Air Hungary Ltd, EasyJet Airline Company Limited, Italia Trasporto Aereo S.p.A., could constitute a restrictive agreement on competition in the market for scheduled air passenger transport, with particular reference to "economy" class flights on routes defined by origin-destination pairs at the ends of which are, on one side, Palermo or Catania and, on the other, one of the following cities in Central or Northern Italy: Rome (Fiumicino and Ciampino), Milan (including Malpensa, Linate, and Orio al Serio), Turin, and Bologna, in violation of Article 101 TFEU;  </w:t>
        <w:br/>
        <w:t xml:space="preserve">DECIDES  </w:t>
        <w:br/>
        <w:t xml:space="preserve">a) to initiate the investigation, pursuant to Article 14 of Law No. 287/90, against Ryanair DAC, Wizz Air Hungary Ltd, EasyJet Airline Company Limited, Italia Trasporto Aereo S.p.A., to ascertain the existence of violations of Article 101 TFEU;  </w:t>
        <w:br/>
        <w:t xml:space="preserve">b) to set a deadline of sixty days, starting from the date of notification of this Provision, for the legal representatives of the Parties, or persons delegated by them, to exercise the right to be heard, specifying that the request for a hearing must be submitted to the Agro-food, Pharmaceutical and Transport Directorate of the Directorate General for Competition of this Authority at least fifteen days before the expiration of the above-mentioned deadline;  </w:t>
        <w:br/>
        <w:t xml:space="preserve">c) that the Responsible Officer of the Procedure is Dr. Francesca Gerardi;  </w:t>
        <w:br/>
        <w:t xml:space="preserve">d) that the documents of the Procedure can be viewed at the Agro-food, Pharmaceutical and Transport Directorate of the Directorate General for Competition of this Authority by the legal representatives of the Parties, as well as by persons delegated by them;  </w:t>
        <w:br/>
        <w:t xml:space="preserve">e) that the Procedure must be concluded by December 31, 2023.  </w:t>
        <w:br/>
        <w:t xml:space="preserve">This Provision will be notified to the interested parties and published in the Bulletin of the Antitrust Authority.  </w:t>
        <w:br/>
        <w:t xml:space="preserve">THE SECRETARY GENERAL THE PRESIDENT  </w:t>
        <w:br/>
        <w:t>Guido Stazi Roberto Rustichelli</w:t>
      </w:r>
    </w:p>
    <w:p>
      <w:r>
        <w:rPr>
          <w:b/>
        </w:rPr>
        <w:t>[Pages 10–12]</w:t>
      </w:r>
    </w:p>
    <w:p>
      <w:r>
        <w:t xml:space="preserve">12 BULLETIN NO. 46 OF 27 DECEMBER 2022  </w:t>
        <w:br/>
        <w:t xml:space="preserve">CONCENTRATION OPERATIONS  </w:t>
        <w:br/>
        <w:t xml:space="preserve">C12488 - BUBBLES BIDCO/QUATTRO  </w:t>
        <w:br/>
        <w:t xml:space="preserve">Provision No. 30404  </w:t>
        <w:br/>
        <w:t xml:space="preserve">THE ANTITRUST AUTHORITY  </w:t>
        <w:br/>
        <w:t xml:space="preserve">IN ITS MEETING of December 2, 2022;  </w:t>
        <w:br/>
        <w:t xml:space="preserve">HEARD the Rapporteur, Professor Elisabetta Iossa;  </w:t>
        <w:br/>
        <w:t xml:space="preserve">HAVING REGARD to Regulation (EC) No. 139/2004 of the Council, of January 20, 2004, concerning the control of concentrations between undertakings;  </w:t>
        <w:br/>
        <w:t xml:space="preserve">HAVING REGARD to Law No. 287 of October 10, 1990;  </w:t>
        <w:br/>
        <w:t xml:space="preserve">HAVING REGARD to the Presidential Decree No. 217 of April 30, 1998;  </w:t>
        <w:br/>
        <w:t xml:space="preserve">HAVING REGARD to the communication from Bubbles BidCo S.p.A., received on September 9, 2022, pursuant to Article 16 of Law No. 287/1990;  </w:t>
        <w:br/>
        <w:t xml:space="preserve">HAVING REGARD to Provision No. 30310 of October 4, 2022, by which the Authority decided to initiate an investigation, pursuant to Article 16, paragraph 4, of Law No. 287/90, against Bubbles BidCo S.p.A.;  </w:t>
        <w:br/>
        <w:t xml:space="preserve">HAVING REGARD to its resolution of November 2, 2022, No. 30362, by which the deadline for closing the procedure was extended to December 2, 2022;  </w:t>
        <w:br/>
        <w:t xml:space="preserve">HAVING REGARD to the Communication of Investigative Results transmitted on November 22, 2022;  </w:t>
        <w:br/>
        <w:t xml:space="preserve">HAVING REGARD to the final submissions presented by Bubbles BidCo S.p.A. on November 28, 2022, and the final hearing before the College held on November 30, 2022;  </w:t>
        <w:br/>
        <w:t xml:space="preserve">HAVING REGARD to the communication of November 29, 2022, by which Bubbles BidCo S.p.A. presented corrective measures aimed at addressing the competitive concerns highlighted in the Communication of Investigative Results;  </w:t>
        <w:br/>
        <w:t xml:space="preserve">HAVING REGARD to the acts of the procedure and the documentation acquired during the investigation;  </w:t>
        <w:br/>
        <w:t xml:space="preserve">CONSIDERING the following:  </w:t>
        <w:br/>
        <w:t xml:space="preserve">I. THE PARTIES  </w:t>
        <w:br/>
        <w:t xml:space="preserve">1. Bubbles BidCo S.p.A. (hereinafter, Bubbles, the acquirer or the notifying Party) is a holding company indirectly controlled by funds managed or advised—directly or indirectly—by H.I.G. Capital (hereinafter, H.I.G.).1  </w:t>
        <w:br/>
        <w:t xml:space="preserve">2. H.I.G. is a company active globally in private equity and alternative investments and, in particular, in providing debt or equity capital to small and medium-sized enterprises.2  </w:t>
        <w:br/>
        <w:t xml:space="preserve">1 Bubbles is wholly controlled by Forum Holding 6 S.a r.l, based in Luxembourg, which is indirectly controlled by Forum Holding 4 S.a r.l., whose share capital is held, also indirectly, 74.8% by H.I.G.  </w:t>
        <w:br/>
        <w:t>2 Further information on H.I.G. is available at https://higcapital.com and https://higeurope.com.</w:t>
      </w:r>
    </w:p>
    <w:p>
      <w:r>
        <w:t xml:space="preserve">BULLETIN NO. 46 OF 27 DECEMBER 2022  </w:t>
        <w:br/>
        <w:t xml:space="preserve">3. As far as relevant for this operation, H.I.G. operates in the consumer goods sector and, in particular, in the retail sale of hygiene and personal care products and household care through the following companies, acquired by Bubbles in 2021 (hereinafter, the Bubbles Group):3 Cesar S.p.A., Gruppo SDA Srl Servizi Distribuzione Associati and its subsidiaries,4 VDM Vaccaro Distribuzione Merci S.r.l. and Reale Commerciale S.p.A.5  </w:t>
        <w:br/>
        <w:t xml:space="preserve">4. In the sector in question, the Bubbles Group is present—predominantly6—through retail outlets under the Acqua&amp;Sapone brand located in various Italian regions,7 through which it markets: (i) household cleaning products of various brands (Omino Bianco, Cif, Svelto, etc.); (ii) personal care products of various brands (Nivea, Infasil, Garnier, Lysterine, etc.); (iii) cosmetics; (iv) associated gadgets.  </w:t>
        <w:br/>
        <w:t xml:space="preserve">5. In Sardinia, Bubbles manages 25 Acqua&amp;Sapone retail outlets, listed in Table 1.  </w:t>
        <w:br/>
        <w:t xml:space="preserve">3 See European Commission decision of September 27, 2021, case M.10392 - H.I.G. Capital/ Cesar/SDA/VDM.  </w:t>
        <w:br/>
        <w:t xml:space="preserve">4 These are the companies Quamar Distribuzione S.r.l., also active in the retail sale of hygiene and personal care products, and SRM Trasporti S.r.l., controlled by SDA through Quamar, which provides logistics and intra-group transport services.  </w:t>
        <w:br/>
        <w:t xml:space="preserve">5 Recently, H.I.G. Capital, through Bubbles BidCo, acquired exclusive control of Reale Commerciale S.p.A., owner of 41 Acqua&amp;Sapone retail outlets located in Campania and Calabria (see C12496 - Bubbles BidCo/Reale Commerciale, provision No. 30345, in Bulletin No. 40/22 of November 7, 2022).  </w:t>
        <w:br/>
        <w:t xml:space="preserve">6 Cesar S.p.A. also operates under the distinctive signs La Saponeria.  </w:t>
        <w:br/>
        <w:t>7 In particular, the Bubbles Group holds the Acqua&amp;Sapone retail outlets located in Abruzzo, Basilicata, Lazio, Liguria, Lombardy, Marche, Molise, Piedmont, Apulia, Sardinia, and Aosta Valley.</w:t>
      </w:r>
    </w:p>
    <w:p>
      <w:r>
        <w:t xml:space="preserve">Table 1 – Acqua&amp;Sapone Retail Outlets in Sardinia  </w:t>
        <w:br/>
        <w:t xml:space="preserve">Province / N Location Address sqm  </w:t>
        <w:br/>
        <w:t xml:space="preserve">Metropolitan City  </w:t>
        <w:br/>
        <w:t xml:space="preserve">1 Cagliari Sestu ex SS131, 35 741  </w:t>
        <w:br/>
        <w:t xml:space="preserve">2 Selargius Via Giuseppe Peretti, 5 696  </w:t>
        <w:br/>
        <w:t xml:space="preserve">3 Quartucciu Via Mandas, snc 666  </w:t>
        <w:br/>
        <w:t xml:space="preserve">4 Quartu Sant'Elena Via Fiume, 220 610  </w:t>
        <w:br/>
        <w:t xml:space="preserve">5 Cagliari Via Biasi, 25 460  </w:t>
        <w:br/>
        <w:t xml:space="preserve">6 Cagliari Via Calamattia, 3 421  </w:t>
        <w:br/>
        <w:t xml:space="preserve">7 Cagliari Via Ottone Bacaredda, 80/86 394  </w:t>
        <w:br/>
        <w:t xml:space="preserve">8 Nuoro Nuoro Zona Industriale Prato Sardo, snc 1,020  </w:t>
        <w:br/>
        <w:t xml:space="preserve">9 Nuoro Via San Giovanni Bosco (loc. Biscollai) 600  </w:t>
        <w:br/>
        <w:t xml:space="preserve">10 Tortolì Via G. Garibaldi, 1 726  </w:t>
        <w:br/>
        <w:t xml:space="preserve">11 Macomer Via Puglie, 6* 574  </w:t>
        <w:br/>
        <w:t xml:space="preserve">12 Sassari Sassari Via Predda Niedda, 37/Q 787  </w:t>
        <w:br/>
        <w:t xml:space="preserve">13 Sassari Viale Porto Torres, 119 690  </w:t>
        <w:br/>
        <w:t xml:space="preserve">14 Sassari Via Carlo Felice, 48 592  </w:t>
        <w:br/>
        <w:t xml:space="preserve">15 Porto Torres Via dell’Industria angolo Via Porrino 593  </w:t>
        <w:br/>
        <w:t xml:space="preserve">16 Olbia Via Antonio Melis, 3 (airport) 490  </w:t>
        <w:br/>
        <w:t xml:space="preserve">17 Olbia S.S. 125 Olbia Palau km. 4,800 (loc. Basa) 550  </w:t>
        <w:br/>
        <w:t xml:space="preserve">18 Tempio Pausania Via Calabria, snc 530  </w:t>
        <w:br/>
        <w:t xml:space="preserve">19 Alghero Via Azuni angolo via Costa, snc 495  </w:t>
        <w:br/>
        <w:t xml:space="preserve">20 Alghero Largo dello Sperone, 3/6 380  </w:t>
        <w:br/>
        <w:t xml:space="preserve">21 Arzachena Circonvallazione Palau 348  </w:t>
        <w:br/>
        <w:t xml:space="preserve">22 Sorso Via Europa ang. Via B.Spanu 344  </w:t>
        <w:br/>
        <w:t xml:space="preserve">23 Sud Sardegna San Gavino Monreale Via Maria Carta, Loc. S’Uspidali 598  </w:t>
        <w:br/>
        <w:t xml:space="preserve">24 Carbonia Piazza F. Ciusa, 17 592  </w:t>
        <w:br/>
        <w:t xml:space="preserve">25 Oristano Oristano Via Cagliari, snc 726  </w:t>
        <w:br/>
        <w:t xml:space="preserve">* Address valid from December 2021, following the relocation of the retail outlet previously at Via Pietro Nenni, 9  </w:t>
        <w:br/>
        <w:t xml:space="preserve">Source: Notification form and Acqua&amp;Sapone website (www.acquaesapone.it/punti-vendita).  </w:t>
        <w:br/>
        <w:t xml:space="preserve">6. The Bubbles Group is a member of the A&amp;S Consortium, which carries out, among other activities, procurement for its members through the purchasing center ESD Italia S.r.l., of which the Consortium is a partner (with a 14% share), together with Agorà Network, Aspiag Service (licensee of the Despar brand in Italy), Selex, and Supermercati Uniti Nazionali.  </w:t>
        <w:br/>
        <w:t xml:space="preserve">7. Finally, the Bubbles Group is also marginally active in the wholesale sale of household care and personal hygiene products.  </w:t>
        <w:br/>
        <w:t xml:space="preserve">8. In 2020, H.I.G. achieved a consolidated turnover of [20-30]* billion euros, of which approximately [1-2] billion euros in Italy.  </w:t>
        <w:br/>
        <w:t>* In this version, some data are omitted, as it was deemed that there were elements of confidentiality or secrecy of the information.</w:t>
      </w:r>
    </w:p>
    <w:p>
      <w:r>
        <w:rPr>
          <w:b/>
        </w:rPr>
        <w:t>[Pages 13–15]</w:t>
      </w:r>
    </w:p>
    <w:p>
      <w:r>
        <w:t>BULLETIN NO. 46 OF 27 DECEMBER 2022</w:t>
      </w:r>
    </w:p>
    <w:p>
      <w:r>
        <w:t xml:space="preserve">9. Quattro S.r.l. (hereinafter, Quattro or the target), wholly owned by Varoni S.r.l.,8 is active in the retail trade of household hygiene and personal care products, through 62 sales outlets, all located in Sardinia, under the brands Saponi&amp;Profumi and PiùMe (Table 2).9  </w:t>
        <w:br/>
        <w:t xml:space="preserve">Table 2 – Sales outlets of Saponi&amp;Profumi and PiùMe in Sardinia  </w:t>
        <w:br/>
        <w:t xml:space="preserve">Province / N Locality Address sqm  </w:t>
        <w:br/>
        <w:t xml:space="preserve">Metropolitan City  </w:t>
        <w:br/>
        <w:t xml:space="preserve">1 Cagliari Assemini Via Carmine, 91 520  </w:t>
        <w:br/>
        <w:t xml:space="preserve">2 Cagliari Via Is Mirrionis, 97/B 226  </w:t>
        <w:br/>
        <w:t xml:space="preserve">3 Cagliari Via Pola, 45/47 250  </w:t>
        <w:br/>
        <w:t xml:space="preserve">4 Cagliari Via Giovanni Battista Tuveri, 54 245  </w:t>
        <w:br/>
        <w:t xml:space="preserve">5 Cagliari Viale Elmas, 67 523  </w:t>
        <w:br/>
        <w:t xml:space="preserve">6 Capoterra Via Cagliari, 20 330  </w:t>
        <w:br/>
        <w:t xml:space="preserve">7 Decimomannu Via Nazionale, 40A 222  </w:t>
        <w:br/>
        <w:t xml:space="preserve">8 Monserrato Vico Monte Arci, 40 310  </w:t>
        <w:br/>
        <w:t xml:space="preserve">9 Quartu Sant'Elena Via Vittorio Emanuele, 161/163 250  </w:t>
        <w:br/>
        <w:t xml:space="preserve">10 Quartu Sant'Elena Via Cagliari, 121 250  </w:t>
        <w:br/>
        <w:t xml:space="preserve">11 Quartu Sant'Elena Via Colombo, 58 249  </w:t>
        <w:br/>
        <w:t xml:space="preserve">12 Quartu Sant'Elena Via Danimarca, 149 369  </w:t>
        <w:br/>
        <w:t xml:space="preserve">13 Selargius Via della Libertà, 22 442  </w:t>
        <w:br/>
        <w:t xml:space="preserve">14 Su Planu Via Piero della Francesca, 5 318  </w:t>
        <w:br/>
        <w:t xml:space="preserve">15 Sestu Via Vittorio Veneto, 147 250  </w:t>
        <w:br/>
        <w:t xml:space="preserve">16 Sinnai Viale della Libertà, 87 285  </w:t>
        <w:br/>
        <w:t xml:space="preserve">17 Uta Via Stazione, 142 340  </w:t>
        <w:br/>
        <w:t xml:space="preserve">18 Sud Sardegna Carbonia Via Stazione, snc 497  </w:t>
        <w:br/>
        <w:t xml:space="preserve">19 Dolianova Corso Repubblica, 42 360  </w:t>
        <w:br/>
        <w:t xml:space="preserve">20 Guspini Via Giacomo Matteotti, 127 428  </w:t>
        <w:br/>
        <w:t xml:space="preserve">21 Iglesias Via Garibaldi, 25 434  </w:t>
        <w:br/>
        <w:t xml:space="preserve">22 Iglesias Via Capuccini, 1 431  </w:t>
        <w:br/>
        <w:t xml:space="preserve">23 Isili Corso Vittorio Emanuele, 10 320  </w:t>
        <w:br/>
        <w:t xml:space="preserve">24 Samassi Via Angioy, 5/7 199  </w:t>
        <w:br/>
        <w:t xml:space="preserve">25 San Gavino Monreale Viale Rinascita, 65 150  </w:t>
        <w:br/>
        <w:t xml:space="preserve">26 San Vito Via Nicolò Copernico, snc 398  </w:t>
        <w:br/>
        <w:t xml:space="preserve">27 Sanluri Via Carlo Felice, 78 275  </w:t>
        <w:br/>
        <w:t xml:space="preserve">28 Sant'Antioco Via Roma, 31 249  </w:t>
        <w:br/>
        <w:t xml:space="preserve">29 Senorbì Via Carlo Sanna 404  </w:t>
        <w:br/>
        <w:t xml:space="preserve">8 Varoni S.r.l. is controlled by two individuals.  </w:t>
        <w:br/>
        <w:t xml:space="preserve">9 Quattro also owns two sales outlets under the Je suis profumerie brand located in Cagliari and Olbia, where it sells high-end cosmetic products.  </w:t>
        <w:br/>
        <w:t>Quattro is also active in the retail and wholesale sale of products not related to the household care and personal care sectors, such as: Pet Care, Appliances/cinema/photo, Textiles/clothing/shoes, Food. These activities generated, in 2021, sales amounting to approximately [1-10] million euros.</w:t>
      </w:r>
    </w:p>
    <w:p>
      <w:r>
        <w:t xml:space="preserve">16 BULLETIN NO. 46 OF 27 DECEMBER 2022  </w:t>
        <w:br/>
        <w:t xml:space="preserve">30 Serramanna Via Fra'Ignazio, 5/7 219  </w:t>
        <w:br/>
        <w:t xml:space="preserve">31 Villacidro Via Nazionale, 122 250  </w:t>
        <w:br/>
        <w:t xml:space="preserve">32 Villasor Via Cagliari, 68 297  </w:t>
        <w:br/>
        <w:t xml:space="preserve">33 Sassari Alghero Via Giovanni XXIII, 77 250  </w:t>
        <w:br/>
        <w:t xml:space="preserve">34 Alghero Via XX Settembre, 116 250  </w:t>
        <w:br/>
        <w:t xml:space="preserve">35 Budoni Via Nazionale, snc 149  </w:t>
        <w:br/>
        <w:t xml:space="preserve">36 Ittiri Via della Resistenza, 4 477  </w:t>
        <w:br/>
        <w:t xml:space="preserve">37 La Maddalena Via Terralugiana, 68 531  </w:t>
        <w:br/>
        <w:t xml:space="preserve">38 Olbia Viale Aldo Moro, 237 700  </w:t>
        <w:br/>
        <w:t xml:space="preserve">39 Olbia Via dei Liutai, 6 579  </w:t>
        <w:br/>
        <w:t xml:space="preserve">40 Olbia Via Vittorio Veneto, 15/B 302  </w:t>
        <w:br/>
        <w:t xml:space="preserve">41 Ozieri Via Badde Aini, 3 245  </w:t>
        <w:br/>
        <w:t xml:space="preserve">42 Palau Via Razzoli, 36 250  </w:t>
        <w:br/>
        <w:t xml:space="preserve">43 Porto Torres Via Antonelli, 16 400  </w:t>
        <w:br/>
        <w:t xml:space="preserve">44 Sassari Viale Porto Torres, 24 1,142  </w:t>
        <w:br/>
        <w:t xml:space="preserve">45 Sassari Via Budapest, snc 376  </w:t>
        <w:br/>
        <w:t xml:space="preserve">46 Sassari Via Carlo Felice, 33 360  </w:t>
        <w:br/>
        <w:t xml:space="preserve">47 Sassari Viale Italia, 7C 228  </w:t>
        <w:br/>
        <w:t xml:space="preserve">48 Sorso Via Marina, 1 512  </w:t>
        <w:br/>
        <w:t xml:space="preserve">49 Tempio Pausania Via don Sturzo, 16 270  </w:t>
        <w:br/>
        <w:t xml:space="preserve">50 Valledoria Corso Europa, 87/A 218  </w:t>
        <w:br/>
        <w:t xml:space="preserve">51 Nuoro Dorgali Via Molise, snc 148  </w:t>
        <w:br/>
        <w:t xml:space="preserve">52 Lanusei Via Ilbono, snc 450  </w:t>
        <w:br/>
        <w:t xml:space="preserve">53 Nuoro Via A. Lamarmora, 112/122 275  </w:t>
        <w:br/>
        <w:t xml:space="preserve">54 Nuoro Viale della Repubblica, 27 /33 250  </w:t>
        <w:br/>
        <w:t xml:space="preserve">55 Siniscola Via G.F. Conteddu, 112 240  </w:t>
        <w:br/>
        <w:t xml:space="preserve">56 Tortolì Via Monsignor Virgilio, 50 250  </w:t>
        <w:br/>
        <w:t xml:space="preserve">57 Oristano Ghilarza Via Marco Polo, 8A 353  </w:t>
        <w:br/>
        <w:t xml:space="preserve">58 Cabras Via G. Leopardi, 87A 289  </w:t>
        <w:br/>
        <w:t xml:space="preserve">59 Mogoro Via Gramsci, 37/A 276  </w:t>
        <w:br/>
        <w:t xml:space="preserve">60 Oristano Via Carducci, 22 250  </w:t>
        <w:br/>
        <w:t xml:space="preserve">61 Oristano Via Tirso, 110 249  </w:t>
        <w:br/>
        <w:t xml:space="preserve">62 Terralba Via Marceddì, 32 248  </w:t>
        <w:br/>
        <w:t xml:space="preserve">10  </w:t>
        <w:br/>
        <w:t xml:space="preserve">Source: Notification form and website of Saponi&amp;Profumi (www.saponieprofumi.it/punti-vendita).  </w:t>
        <w:br/>
        <w:t xml:space="preserve">10. In the Saponi&amp;Profumi sales outlets, Quattro distributes: (i) household hygiene products of various brands (Lysoform, Sole, WC Net, Coccolino, etc.); (ii) personal care products of various brands (Lycia, Garnier, BIC, Pasta del Capitano, etc.); (iii) cosmetics; (iv) associated gadgets.  </w:t>
        <w:br/>
        <w:t xml:space="preserve">11. Quattro is a member of the Consortium Promotre S.c.r.l. (in which it holds a 33.33% stake), which carries out, among other things, procurement activities for its members, through the purchasing center CRAI Secom S.p.A.11  </w:t>
        <w:br/>
        <w:t xml:space="preserve">10 On the Saponi&amp;Profumi website, there is an additional sales outlet located in Sant’Antioco, at via della Rinascita 25, opened in June 2022, replacing a sales outlet for building materials.  </w:t>
        <w:br/>
        <w:t>11 This stake will be divested before the closing of the transaction in question and the contractual relationship with CRAI Secom will be terminated (see infra).</w:t>
      </w:r>
    </w:p>
    <w:p>
      <w:r>
        <w:t>BULLETIN NO. 46 OF 27 DECEMBER 2022</w:t>
      </w:r>
    </w:p>
    <w:p>
      <w:r>
        <w:t xml:space="preserve">12. Finally, Quattro is also marginally active in the wholesale sale of household and personal care products.12  </w:t>
        <w:br/>
        <w:t xml:space="preserve">13. In 2020, Quattro's consolidated revenue amounted to [31-100] million euros, entirely generated in Italy.13  </w:t>
        <w:br/>
        <w:t xml:space="preserve">II. DESCRIPTION OF THE TRANSACTION  </w:t>
        <w:br/>
        <w:t xml:space="preserve">14. The transaction consists of the acquisition by H.I.G. Capital, through Bubbles BidCo, of exclusive control of Quattro S.r.l.  </w:t>
        <w:br/>
        <w:t xml:space="preserve">15. Based on the share purchase agreement (hereinafter, also SPA) signed on May 18, 2022, Quattro undertakes to divest, before the closing of the transaction, the shares held in other companies, which will therefore not be subject to transfer.14  </w:t>
        <w:br/>
        <w:t xml:space="preserve">16. The SPA also provides, for a period of three years from the closing:  </w:t>
        <w:br/>
        <w:t xml:space="preserve">(i) a non-compete obligation, under which Quattro and the individual controlling it undertake not to engage in activities in Italy in the sectors in which Bubbles is active, and not to hold—directly or indirectly—controlling stakes in companies that carry out the same activities as Bubbles in Italy;  </w:t>
        <w:br/>
        <w:t xml:space="preserve">(ii) a non-solicitation obligation, under which Quattro undertakes not to offer employment or work assignments to any individual holding a position in Bubbles, and not to assume the role of employee/provide services for any company active in Italy in the same sectors in which Bubbles is active;  </w:t>
        <w:br/>
        <w:t xml:space="preserve">(iii) a non-solicitation obligation, under which Quattro undertakes not to solicit Bubbles' suppliers to terminate their business relationships with it or to negatively modify the terms and/or conditions of such business relationships.  </w:t>
        <w:br/>
        <w:t xml:space="preserve">III. QUALIFICATION OF THE TRANSACTION  </w:t>
        <w:br/>
        <w:t xml:space="preserve">17. The notified transaction constitutes a concentration, pursuant to Article 5, paragraph 1, letter b), of Law No. 287/90, as it involves the acquisition of control of a company. It falls within the scope of application of Law No. 287/90, as the conditions set out in Article 1 of Regulation (EC) No. 139/04 do not apply, and it is subject to the obligation of prior notification provided for by Article 16, paragraph 1, of the same law, as the total revenue generated, in the last financial year in Italy, by the group of companies involved exceeded 517 million euros and the total revenue generated individually, in the last financial year in Italy, by at least two of the companies involved exceeded 31 million euros.  </w:t>
        <w:br/>
        <w:t xml:space="preserve">12 Further information on Quattro is available at www.saponieprofumi.it and www.jesuisprofumerie.it/prodotti.  </w:t>
        <w:br/>
        <w:t xml:space="preserve">13 The financial statements for 2021 are not yet available. Based on estimates provided by the Party, the revenue generated in 2021 in Italy by Quattro is approximately [31-100] million euros.  </w:t>
        <w:br/>
        <w:t xml:space="preserve">14 In particular, Quattro will divest the following stakes:  </w:t>
        <w:br/>
        <w:t xml:space="preserve">- 33.33% of the share capital of Consorzio Promotre S.c.r.l.;  </w:t>
        <w:br/>
        <w:t xml:space="preserve">- 25% of the share capital of Beauty&amp;Home Brands S.r.l.;  </w:t>
        <w:br/>
        <w:t xml:space="preserve">- 20% of the share capital of Golden Group S.r.l.;  </w:t>
        <w:br/>
        <w:t xml:space="preserve">- 22.05% of the share capital of PiuMè S.r.l.;  </w:t>
        <w:br/>
        <w:t>- 23% of the share capital of Sviluppo Sud S.r.l.</w:t>
      </w:r>
    </w:p>
    <w:p>
      <w:r>
        <w:rPr>
          <w:b/>
        </w:rPr>
        <w:t>[Pages 16–18]</w:t>
      </w:r>
    </w:p>
    <w:p>
      <w:r>
        <w:t xml:space="preserve">18 BULLETIN NO. 46 OF 27 DECEMBER 2022  </w:t>
        <w:br/>
        <w:t xml:space="preserve">18. The non-competition and non-solicitation obligations described in the previous paragraph may be considered directly connected and necessary for the realization of the concentration operation in question, as they are functional to safeguarding the value of the acquired business, provided that they do not exceed a duration of two years and do not prevent the sellers from purchasing or holding shares solely for financial investment purposes.15  </w:t>
        <w:br/>
        <w:t xml:space="preserve">IV. THE INITIATION OF THE PROCEDURE AND THE INSTRUCTION ACTIVITY  </w:t>
        <w:br/>
        <w:t xml:space="preserve">19. By decision no. 30310 of 4 October 2022, the Authority initiated, pursuant to Article 16, paragraph 4, of Law no. 287/90, the present investigation against Bubbles BidCo S.p.A., believing that the operation in question could significantly hinder effective competition, pursuant to Article 6, paragraph 1, of Law no. 287/90, particularly due to the establishment or strengthening of a dominant position in 35 local markets for the retail sale of household cleaning products and personal care products (hereinafter also referred to as "home and personal care" products).16  </w:t>
        <w:br/>
        <w:t xml:space="preserve">20. During the procedure, requests for information were sent to Bubbles17 and Quattro18, to Risparmio Casa, Gruppo Maury’s, and Europlanet (chains specialized in the sale of hygiene and cleaning products for the home and personal care present in Sardinia)19, as well as to the main operators of the Organized Large Distribution.20 The requests for information were primarily aimed at acquiring knowledge elements useful for assessing the degree of competitive pressure exerted by the GDO channel and the online channel on the chains of specialized stores selling cleaning and personal care items, as well as acquiring information regarding the evolving trends in the affected sector. Almost all operators responded to the requests sent.  </w:t>
        <w:br/>
        <w:t xml:space="preserve">21. In order to understand consumer spending habits and demand dynamics in the sector under examination, the Authority also commissioned a sample market research (hereinafter, the "survey") aimed at verifying the definition of relevant markets and, more generally, at collecting useful elements for the assessment of concentrations in the home and personal care products sector, conducted by SWG S.p.A. (hereinafter "SWG"), through direct interviews with customers exiting the Saponi&amp;Profumi stores that constitute the centroids around which the 35 relevant local markets have been defined, in which, based on the analysis conducted in the pre-investigation phase, the operation in question determines horizontal overlaps.21  </w:t>
        <w:br/>
        <w:t xml:space="preserve">22. Bubbles was heard in a hearing on 11 October 2022 (doc. 33), submitted a procedural memorandum (doc. 76), and accessed the documents on 2, 3, and 11 November 2022 (docs. 98, 103, and 116).  </w:t>
        <w:br/>
        <w:t xml:space="preserve">23. On 22 November 2022, the Communication of the Instruction Results (hereinafter also "CRI"; doc. 121) was sent to Bubbles, and on 30 November 2022, the final hearing was held before the College (doc. 138).  </w:t>
        <w:br/>
        <w:t xml:space="preserve">24. By communication of 29 November 2022 (doc. 136), Bubbles proposed some corrective measures of a structural nature.  </w:t>
        <w:br/>
        <w:t xml:space="preserve">V. THE INSTRUCTION RESULTS  </w:t>
        <w:br/>
        <w:t xml:space="preserve">V.I. INTRODUCTION  </w:t>
        <w:br/>
        <w:t xml:space="preserve">25. The operation consists of the acquisition by H.I.G., through Bubbles, a company owning 25 stores under the Acqua &amp; Sapone brand in Sardinia (see Table 1), of control over Quattro S.r.l., owner of the Saponi &amp; Profumi chain, specialized in the retail sale of personal care and household cleaning products, present exclusively in Sardinia with 62 stores (see Table 2).  </w:t>
        <w:br/>
        <w:t xml:space="preserve">26. In the decision to initiate the investigation, considering the activities carried out by the companies involved in the concentration in question, the following markets affected by the operation were identified: (i) the retail market for household hygiene and personal care products and for perfumery and cosmetics ("retail market for home and personal care products"); (ii) the retail market for luxury cosmetics and perfumes; (iii) the market for the supply of household hygiene and personal care products; (iv) the wholesale market for household hygiene and personal care products and for perfumery and cosmetics.  </w:t>
        <w:br/>
        <w:t xml:space="preserve">27. With regard to market (i), in the initiation decision, in line with the analysis conducted in the only previous case related to the sector in question22, the relevant product market for the retail sale of personal care and household cleaning items was identified as being composed, prima facie, of specialized stores (so-called drugstores), perfumeries, and GDO sales outlets, while luxury cosmetics and perfumes stores are not included.23 The online channel was also not considered in the relevant market, particularly given the circumstance that neither Bubbles nor Quattro use this channel for the sale of their products and, more generally, the limited relevance of online sales for the total sales of such products.  </w:t>
        <w:br/>
        <w:t xml:space="preserve">28. However, since the effects of the operation in question appear to differ significantly depending on whether or not the GDO channel and/or the online channel is included in the relevant product market, in the absence of robust evidence that would allow for a conclusion, it was deemed necessary to further investigate the degree of mutual competition existing between specialized stores and GDO sales outlets (or some of its types of sales outlets), as well as with the online channel.  </w:t>
        <w:br/>
        <w:t xml:space="preserve">29. Regarding the geographical extent, the retail market for home and personal care products has a local dimension, considering consumer purchasing behaviors and the importance they attribute to the proximity of sales outlets. In the initiation decision, in line with the recent orientation of the Authority in the retail markets for consumer products, the geographical extent of the relevant market was identified in the area bounded by isochrone curves of 15 or 20 minutes of driving, constructed around the target sales outlets (so-called centroids) within the perimeter of the notified operation. The exact geographical definition of the relevant market is also the subject of further investigation in this instruction.  </w:t>
        <w:br/>
        <w:t xml:space="preserve">30. Based on the data provided by Bubbles at the time of notification of the operation, 35 local markets for the retail sale of home and personal care products were identified in which the operation in question determines horizontal overlaps.  </w:t>
        <w:br/>
        <w:t xml:space="preserve">31. With reference to the other relevant markets identified in the initiation decision (see above, §26), considering the market share that the entity resulting from the concentration will hold, the negligible increase in share due to the operation, the presence of qualified competitors, as well as the significant buyer power exercised in some markets by purchasing centers, it was deemed that the operation in question is not likely to raise significant competition concerns.  </w:t>
        <w:br/>
        <w:t xml:space="preserve">32. Based on these premises, the Authority on 4 October 2022 initiated an investigation pursuant to Article 16, paragraph 4, of Law no. 287/90 to verify whether the operation in question is likely to significantly hinder effective competition, pursuant to Article 6, paragraph 1, of the same law, particularly due to the establishment or strengthening of a dominant position in the local markets for the retail sale of household cleaning products and personal care products.  </w:t>
        <w:br/>
        <w:t xml:space="preserve">33. Below are the instruction results, articulated in the characteristics of the sector, the results of the survey on consumer habits, and the other elements acquired in the case file, as well as the arguments put forward by Bubbles.  </w:t>
        <w:br/>
        <w:t xml:space="preserve">V.II. THE CHARACTERISTICS OF THE AFFECTED SECTOR AND THE STRUCTURE OF THE OFFER IN SARDINIA  </w:t>
        <w:br/>
        <w:t>34. The sector affected by the operation is that of the retail distribution of cleaning and hygiene products for the home and personal care, collectively referred to as "home and personal care" products.</w:t>
      </w:r>
    </w:p>
    <w:p>
      <w:r>
        <w:rPr>
          <w:b/>
        </w:rPr>
        <w:t>[Pages 19–21]</w:t>
      </w:r>
    </w:p>
    <w:p>
      <w:r>
        <w:t>BULLETIN NO. 46 OF 27 DECEMBER 2022</w:t>
      </w:r>
    </w:p>
    <w:p>
      <w:r>
        <w:t>35. According to the latest available data, the total annual national turnover of the sector exceeded 4 billion euros in July 2022, of which approximately 2.5 billion (62.5%) was from the sale of personal care products and 1.5 billion (37.5%) from the sale of household cleaning products.24</w:t>
      </w:r>
    </w:p>
    <w:p>
      <w:r>
        <w:t>36. The two main categories of operators active in the distribution of home and personal care products are specialized chains (also referred to as drug specialists or drugstores in sector studies) and Organized Large Distribution.</w:t>
      </w:r>
    </w:p>
    <w:p>
      <w:r>
        <w:t>37. The number of sales outlets of specialized chains in the national territory exceeds 3,700 and is constantly growing, with the opening of 95 new sales outlets in 2022. Approximately 30% of the total sales are made in drugstores, taking into account the GDO channel and discounts.25</w:t>
      </w:r>
    </w:p>
    <w:p>
      <w:r>
        <w:t>38. The main brands active at the national level are Acqua&amp;Sapone, Tigotà, Risparmio Casa, Magazzini Maury’s, Caddy’s, Europlanet Casa. As mentioned, however, Saponi&amp;Profumi operates exclusively in Sardinia.</w:t>
      </w:r>
    </w:p>
    <w:p>
      <w:r>
        <w:t>39. In addition to Acqua&amp;Sapone and Saponi&amp;Profumi, Risparmio Casa26, the Maury’s Group27, and Europlanet28 are present in Sardinia (see Figure 1).</w:t>
      </w:r>
    </w:p>
    <w:p>
      <w:r>
        <w:t xml:space="preserve">24 See NielsenIQ, 2022, Drug Specialists Quarterly Scenario - Year 13 2nd Quarter 2022 (doc. 66).  </w:t>
        <w:br/>
        <w:t xml:space="preserve">25 ibidem.  </w:t>
        <w:br/>
        <w:t xml:space="preserve">26 In particular, Risparmio Casa is present in Sardinia with 9 sales outlets located in the province of Sassari (in Sassari and Olbia), Cagliari (in Cagliari, Sestu, and Selargius), and South Sardinia (Carbonia, Sanluri, Senorbì, and Iglesias) (see information available at www.risparmiocasa.com/dove-trovarci-e-orari and doc. 42).  </w:t>
        <w:br/>
        <w:t xml:space="preserve">27 In particular, the Maury’s Group is present in Sardinia with 8 sales outlets located in the province of Sassari (in Sassari, Alghero, and Olbia), Cagliari (two in Cagliari and one in Selargius), Oristano (in Oristano), and South Sardinia (Villacidro) (see information available at www.maurys.it/punti-vendita/sardegna.html and doc. 59).  </w:t>
        <w:br/>
        <w:t>28 Europlanet has a single sales outlet in Tortolì, in the province of Nuoro (see www.europlanetcasa.it/punti-vendita).</w:t>
      </w:r>
    </w:p>
    <w:p>
      <w:r>
        <w:t xml:space="preserve">Figure 1 – Geographic distribution of specialized chains in Sardinia  </w:t>
        <w:br/>
        <w:t>Source: Internal processing based on data in the case file.</w:t>
      </w:r>
    </w:p>
    <w:p>
      <w:r>
        <w:t>40. Acqua&amp;Sapone and Saponi&amp;Profumi distribute hygiene and cleaning products for the home and personal care from the most well-known brands on the market (Omino Bianco, Cif, Svelto, Lysoform, Sole, WC Net for household cleaning and Nivea, Infasil, Garnier, Listerine for personal care), as well as non-luxury cosmetic products and, to a marginal extent, bazaar products, small appliances, and pet care products. In contrast, Risparmio Casa, the Maury’s Group, and Europlanet adopt a "hybrid" model and their offering is more varied, including a significant assortment of bazaar products (kitchen products, small decorative items, etc.), toys, small appliances, stationery, and textiles, which represent about half of their total turnover.</w:t>
      </w:r>
    </w:p>
    <w:p>
      <w:r>
        <w:t>41. Among the specialized chains, Acqua&amp;Sapone is the main brand, accounting for more than half of the total sales of home and personal care products made in this channel;29 in Sardinia, its share drops to about a quarter, equal to that of Risparmio Casa, while the share of Saponi&amp;Profumi is over 30% and that of Magazzini Maury’s is less than 20%.30</w:t>
      </w:r>
    </w:p>
    <w:p>
      <w:r>
        <w:t>42. Regarding Organized Large Distribution, several brands are present in Sardinia, some of which are also active at the national level (including Conad, Carrefour, Vivo Market, Eurospin, LIDL, MD, Crai, Despar), while others operate exclusively in the Sardinian territory (including: Pan supermarkets (of the Superemme group), the brands Nonna ISA, Sidis, Dimeglio, Punto Di (all belonging to the ISA group), Vicino a Te (of the Frongia group), and Sardegna Più). These operators manage, in many cases, sales outlets of medium sizes under 400 square meters (so-called superettes) or that exclusively use the discount model (see Table 3).</w:t>
      </w:r>
    </w:p>
    <w:p>
      <w:r>
        <w:t xml:space="preserve">Table 3 – Main brands active in the sale of home and personal care products in Sardinia  </w:t>
        <w:br/>
        <w:t xml:space="preserve">Size  </w:t>
        <w:br/>
        <w:t xml:space="preserve">Group/Brand Type  </w:t>
        <w:br/>
        <w:t xml:space="preserve">Average Store Size (sqm)  </w:t>
        <w:br/>
        <w:t xml:space="preserve">Saponi &amp; Profumi drugstore 330  </w:t>
        <w:br/>
        <w:t xml:space="preserve">Acqua &amp; Sapone drugstore 596  </w:t>
        <w:br/>
        <w:t xml:space="preserve">Magazzini Maury's drugstore 1,975  </w:t>
        <w:br/>
        <w:t xml:space="preserve">Risparmio Casa drugstore 1,696  </w:t>
        <w:br/>
        <w:t xml:space="preserve">Europlanet drugstore 650  </w:t>
        <w:br/>
        <w:t xml:space="preserve">Brendolan GDO 182  </w:t>
        <w:br/>
        <w:t xml:space="preserve">Briò GDO 162  </w:t>
        <w:br/>
        <w:t xml:space="preserve">Carrefour GDO 4,649  </w:t>
        <w:br/>
        <w:t xml:space="preserve">Conad GDO 1,105  </w:t>
        <w:br/>
        <w:t xml:space="preserve">Supermercati Cons. Sardegna GDO 774  </w:t>
        <w:br/>
        <w:t xml:space="preserve">Cons. Supermercati Sardi GDO 243  </w:t>
        <w:br/>
        <w:t xml:space="preserve">Coop. Allevatrici Sarde GDO 138  </w:t>
        <w:br/>
        <w:t xml:space="preserve">Dettori Market GDO 275  </w:t>
        <w:br/>
        <w:t xml:space="preserve">F.lli IBBA GDO 483  </w:t>
        <w:br/>
        <w:t xml:space="preserve">Gruppo ISA GDO and discount 411  </w:t>
        <w:br/>
        <w:t xml:space="preserve">Sardegna Più GDO 472  </w:t>
        <w:br/>
        <w:t xml:space="preserve">Superemme (Superm. PAN) GDO and discount 980  </w:t>
        <w:br/>
        <w:t xml:space="preserve">Vicino a Te GDO 374  </w:t>
        <w:br/>
        <w:t xml:space="preserve">Dico discount 250  </w:t>
        <w:br/>
        <w:t xml:space="preserve">Eurospin discount 978  </w:t>
        <w:br/>
        <w:t xml:space="preserve">Leader Price discount 364  </w:t>
        <w:br/>
        <w:t xml:space="preserve">LIDL discount 1,068  </w:t>
        <w:br/>
        <w:t xml:space="preserve">MD discount 577  </w:t>
        <w:br/>
        <w:t>Source: Internal processing based on data in the case file.</w:t>
      </w:r>
    </w:p>
    <w:p>
      <w:r>
        <w:t>43. The main difference between Organized Large Distribution and specialized chains lies in the breadth and depth of the assortment of products for home and personal care available to consumers.</w:t>
      </w:r>
    </w:p>
    <w:p>
      <w:r>
        <w:t>44. In fact, while the sales outlets of the GDO, especially those of larger sizes (hypermarkets and large supermarkets), offer a range of products (measured by the average number of references available in the sales outlets) comparable to that of drugstores, in smaller sales outlets and in discounts, the depth of the assortment is characterized by basic products, mainly belonging to the major national brands, and is significantly lower than that present in the sales outlets of specialized chains (Table 4). This is also true for Risparmio Casa and Magazzini Maury’s, which, as mentioned, sell products belonging...</w:t>
      </w:r>
    </w:p>
    <w:p>
      <w:r>
        <w:rPr>
          <w:b/>
        </w:rPr>
        <w:t>[Pages 22–24]</w:t>
      </w:r>
    </w:p>
    <w:p>
      <w:r>
        <w:t>24 BULLETIN NO. 46 OF 27 DECEMBER 2022</w:t>
        <w:br/>
        <w:t>to multiple categories, manage medium to large-sized retail outlets, with significant display spaces for each category.</w:t>
        <w:br/>
        <w:t>Table 4 – Average number of home and personal care products in the GDO channel and in drugstores</w:t>
        <w:br/>
        <w:t>Average number of references</w:t>
        <w:br/>
        <w:t>CHANNEL</w:t>
        <w:br/>
        <w:t>Home Care Personal Care</w:t>
        <w:br/>
        <w:t>Drug Specialists 1,388 3,324</w:t>
        <w:br/>
        <w:t>Hypermarkets 1,390 2,951</w:t>
        <w:br/>
        <w:t>Supermarkets 644 882</w:t>
        <w:br/>
        <w:t>Small Supermarkets 315 316</w:t>
        <w:br/>
        <w:t>Discount 317 338</w:t>
        <w:br/>
        <w:t>Source: Nielsen data (doc. 42).</w:t>
        <w:br/>
        <w:t>45. A confirmation of what has just been highlighted can also be found in the responses of industry operators, according to whom consumers prefer the drugstore channel due to the "specialization" of the offer, which translates into a wide and deep assortment of home and personal care products that is not found in GDO outlets, especially if they are smaller in size.</w:t>
        <w:br/>
        <w:t>46. The ISA Group emphasizes, for example, that “[w]ith regard to substitutability, it should be noted that the major brands are more or less the same; the difference lies in the assortment depth, which is evidently much wider in 'specialized' outlets and therefore more suitable to meet the needs of more demanding customers” (doc. 45); similarly, Eurospin observes that: “there is certainly a high degree of substitutability between GDO outlets, particularly hypermarkets, and those of specialized chains. This degree of substitutability is lower for superstores and supermarkets because in these formats the assortment is less deep. In the case of discount stores, the degree of substitutability is even lower, both due to the reduced assortment and the lack of branded products” (doc. 48); lastly, according to Risparmio Casa, “the drugstore channel and hypermarkets have very similar assortments in Home Care and Personal Care, while the other channels have decidedly more limited assortments and mostly mainstream” (doc. 42).</w:t>
        <w:br/>
        <w:t>47. According to Conad, the differences in assortment policy create a complementary relationship between the two channels from the consumers' perspective. In its response, the GDO operator states that “[w]ith regard to the degree of substitutability that exists, from the consumer's point of view, between GDO outlets and specialized store chains, it is believed that they are complementary as they aim to meet different needs. GDO outlets guarantee the typical convenience of the channel, practicality, speed, and purchasing convenience, but with a smaller assortment. The outlets of specialized chains (such as, for example: Acqua&amp;Sapone, Saponi&amp;Profumi, Gruppo Maury’s, Risparmio Casa, etc.) present a greater range in terms of assortment in the premium/superpremium segment and specific products” (doc. 50).</w:t>
      </w:r>
    </w:p>
    <w:p>
      <w:r>
        <w:t>BULLETIN NO. 46 OF 27 DECEMBER 2022 25</w:t>
        <w:br/>
        <w:t>48. Another distinguishing factor between GDO and drugstores is represented by the average price level of the products sold: comparing the selling price of the major common references31 between the two channels, it emerges that drugstores are approximately 10% cheaper than GDO outlets (Figure 2, upper panel).</w:t>
        <w:br/>
        <w:t>49. This conclusion remains valid even with reference to the subcategories of home care and personal care products: with the exception of some categories (such as air fresheners and products for the body, hands, feet, and face), the products sold in specialized outlets are—on average—10-20% more affordable than the prices charged for the same references by GDO (Figure 2, middle and lower panels).</w:t>
        <w:br/>
        <w:t>Figure 2 – Comparison of price levels in drugstores and those in GDO</w:t>
        <w:br/>
        <w:t>Source: NielsenIQ, 2022, Home Care and Personal Care Scenario (doc. 33).</w:t>
        <w:br/>
        <w:t>50. With regard to pricing strategy, however, there are significant differences among the various types of GDO retail outlets. As highlighted in Figure 3, small supermarkets are the least economical type of GDO outlet: the average price compared to that charged by drug specialists, with regard to common references, is 12% higher for home care products and 15% higher for personal care products. Additionally, as mentioned, there is a much narrower assortment compared to that of specialized chains (highlighted, in the figure below, by the low number of common references between the two channels).</w:t>
        <w:br/>
        <w:t>Figure 3 – Comparison of price levels in GDO and those in drugstores</w:t>
        <w:br/>
        <w:t>Source: AGCM processing on data in the case file (doc. 76).</w:t>
        <w:br/>
        <w:t>51. Finally, discount stores are characterized by an even lower variety of products compared to those of specialized chains, but with a price level in line with that practiced by the latter (Figure 3, histograms on the right).</w:t>
        <w:br/>
        <w:t>52. Again referring to the responses of industry operators, MD, LIDL, and Leader Price (all operators with discount-type retail outlets) state that they offer "basic" home and personal care products, with an essential assortment aimed at meeting consumers' "elementary" needs and, above all, predominantly characterized by national brand products and/or private label products (so-called private label) which, in some cases, represent 90% of the offer.32 The references available in such outlets are referred to as "first price": for this reason, the common assortment with that of drugstores (whose offer includes so-called premium products, suitable for meeting the needs of more sophisticated and demanding consumers) is limited, while the average price level of the references sold in both channels is comparable.</w:t>
        <w:br/>
        <w:t>V.III. THE SURVEY ON CONSUMER HABITS</w:t>
        <w:br/>
        <w:t xml:space="preserve">53. Considering the need, which emerged in the pre-investigation phase, to deepen the degree of competitive pressure exerted by the GDO channel and the online channel on specialized store chains selling cleaning and personal care items, as well as </w:t>
        <w:br/>
        <w:t>32 See the responses of LIDL (doc. 51), MD (doc. 54), Consorzio Supermercati Sardi (doc. 57), and Leader Price (doc. 62).</w:t>
      </w:r>
    </w:p>
    <w:p>
      <w:r>
        <w:rPr>
          <w:b/>
        </w:rPr>
        <w:t>[Pages 25–27]</w:t>
      </w:r>
    </w:p>
    <w:p>
      <w:r>
        <w:t>BULLETIN NO. 46 OF 27 DECEMBER 2022</w:t>
      </w:r>
    </w:p>
    <w:p>
      <w:r>
        <w:t>54. To acquire information regarding the evolving trends in the relevant sector, a sample market research (survey) was conducted to define the relevant markets and, more generally, to collect useful elements for the assessment of the concentration under examination.</w:t>
      </w:r>
    </w:p>
    <w:p>
      <w:r>
        <w:t>55. As mentioned, the survey was conducted through direct interviews with exiting customers (so-called exit survey) from the Saponi&amp;Profumi outlets that constitute the centroids of the 35 relevant local markets subject to the initiation of the investigation.33</w:t>
      </w:r>
    </w:p>
    <w:p>
      <w:r>
        <w:t>56. Regarding the product and geographic definition of the relevant markets, the survey analyzed two main aspects:</w:t>
        <w:br/>
        <w:t>(i) the substitutability and the degree of "competitive proximity" for consumers between different types of retail outlets: specialized chains, hypermarkets, supermarkets, convenience stores, other types of retail outlets, and the online channel;</w:t>
        <w:br/>
        <w:t>(ii) the geographic scope of the markets (i.e., what distance consumers are willing to travel to make their purchases).</w:t>
      </w:r>
    </w:p>
    <w:p>
      <w:r>
        <w:t>57. Furthermore, through the survey, additional information was collected to supplement the traditional analysis of concentrations based on market shares with more advanced analytical methodologies capable of estimating the incentive for the acquiring company to increase prices as a result of the concentration.</w:t>
      </w:r>
    </w:p>
    <w:p>
      <w:r>
        <w:t>58. In particular, evidence was obtained regarding the retail outlets that respondents would choose as alternatives to the centroid in the event that the latter was unavailable. Such information can provide some indications regarding the substitutability between different types of retail outlets, but above all - from the perspective of capturing the actual substitutability relationships between retail outlets located in the same relevant market - this information was used to calculate the actual diversion ratios between the retail outlets of the Parties in the local markets where horizontal overlaps occur.</w:t>
      </w:r>
    </w:p>
    <w:p>
      <w:r>
        <w:t>V.III.1. The results of the survey related to the product market</w:t>
      </w:r>
    </w:p>
    <w:p>
      <w:r>
        <w:t>59. The survey revealed that 60% of consumers purchased both personal care products and household cleaning products at the retail outlet, while 28% purchased only personal care products and 12% only household products.</w:t>
      </w:r>
    </w:p>
    <w:p>
      <w:r>
        <w:t>60. Overall, convenience (lower prices and presence of promotions) appears to be the most relevant driver in the choice of retail outlet: over 60% of consumers indicated it as one of the top 3 aspects influencing their choice (Figure 4).</w:t>
      </w:r>
    </w:p>
    <w:p>
      <w:r>
        <w:t>61. However, the ease of reaching the retail outlet and its proximity to home or the workplace constitutes the main choice driver: 41% of respondents indicated it as the most important aspect, and for over 50% of respondents, it is among the top 3 factors.</w:t>
      </w:r>
    </w:p>
    <w:p>
      <w:r>
        <w:t>62. The availability of a wide assortment appears to have less significance: less than 40% indicated this factor among the 3 most important in choosing the retail outlet, with just over 10% considering it the primary factor.</w:t>
      </w:r>
    </w:p>
    <w:p>
      <w:r>
        <w:t>63. Furthermore, the use of the online channel remains relatively low: 81% of respondents have never used e-commerce to purchase this type of product. Additionally, two-thirds of those who reported using the online channel did so to purchase a minimal portion of their overall spending.</w:t>
      </w:r>
    </w:p>
    <w:p>
      <w:r>
        <w:t>64. To verify the size, from a product perspective, of the market for household and personal care products, the reaction of consumers to a hypothetical non-transitory 10% price increase at all specialized retail outlets (so-called SSNIP test) was investigated. In particular, consumers were first asked whether, in the face of such a price increase, they would turn to another type of retail outlet - at least for a portion of their purchases - and subsequently, those who responded affirmatively were asked to indicate the type of retail outlet they would turn to and the portion of spending they would redirect there.</w:t>
      </w:r>
    </w:p>
    <w:p>
      <w:r>
        <w:t>65. The results of the survey indicate that 46% of consumers - representing 44% of the total spending made at the target retail outlets - would continue to shop at specialized stores even in the face of a 10% price increase in this channel, without reducing the overall quantity purchased (Figure 5).</w:t>
      </w:r>
    </w:p>
    <w:p>
      <w:r>
        <w:t>66. Based on these results and the data on file, the test based on the so-called Critical Loss Analysis (CLA) was then conducted, which allows for verifying whether, following a price increase (in this case of 10%), the effect of expanding the unit margin on the quantities still sold (so-called margin effect) prevails over the reduction of these quantities due to the loss of demand that is redirected to other retail outlets (so-called quantity effect).</w:t>
      </w:r>
    </w:p>
    <w:p>
      <w:r>
        <w:t>67. In particular, the CLA is based on the comparison between the actual loss suffered by the hypothetical monopolist following the price increase and the so-called critical loss (CL*),34 the level of loss that makes the two aforementioned effects equivalent: any actual loss greater than CL* does not make the price increase profitable (due to the competitive pressure exerted by one or more products initially not considered in the relevant market) and thus leads to identifying a broader market than initially considered.</w:t>
      </w:r>
    </w:p>
    <w:p>
      <w:r>
        <w:t>68. The outcome of the survey highlighted that, in the face of a 10% increase in prices charged by all specialized stores, the percentage of spending that would be redirected to other channels would be 20.98%, a value very close to the critical loss (20.54%), calculated based on the margins provided by Bubbles and Quattro during the proceedings.35</w:t>
      </w:r>
    </w:p>
    <w:p>
      <w:r>
        <w:t>69. It also emerged that hypermarkets/large supermarkets and discount stores are the primary alternative channels to which spending made at Saponi&amp;Profumi outlets would be redirected in the event of a price increase by the hypothetical monopolist, channeling 36% and 34.7% of the spending made at the centroids, respectively.36 The online channel, convenience stores/small supermarkets...</w:t>
      </w:r>
    </w:p>
    <w:p>
      <w:r>
        <w:rPr>
          <w:b/>
        </w:rPr>
        <w:t>[Pages 28–30]</w:t>
      </w:r>
    </w:p>
    <w:p>
      <w:r>
        <w:t>30 BULLETIN NO. 46 OF 27 DECEMBER 2022</w:t>
        <w:br/>
        <w:t xml:space="preserve">supermarkets and other types of stores (local market, neighborhood store, pharmacy, etc.) attract a significantly lower share of spending at the target outlets, amounting to 13.6%, 9.6%, and 6%, respectively.  </w:t>
        <w:br/>
        <w:t xml:space="preserve">V.III.2. The survey results regarding the geographic market  </w:t>
        <w:br/>
        <w:t xml:space="preserve">69. Through the survey, consumer shopping habits for household and personal care products were also investigated. From the consumer's perspective, competition occurs at the local level, among the various retail outlets located within a specific territorial area.  </w:t>
        <w:br/>
        <w:t xml:space="preserve">70. In this regard, the survey shows that private transport is the most used means to reach the retail outlet (58%), although a rather significant share (35%) goes to the store on foot. In contrast, public transport and other means of transport were indicated by a very limited share of respondents (a total of 7%, Figure 6).  </w:t>
        <w:br/>
        <w:t xml:space="preserve">71. The percentage of those who walk to the retail outlet, however, varies significantly among the examined local markets. In particular, this value is well above 50% in 15 isochrones, located in the four main cities of the island: Cagliari, Sassari, Nuoro, and Oristano.  </w:t>
        <w:br/>
        <w:t xml:space="preserve">Figure 6 – Means of transport used to reach the retail outlet  </w:t>
        <w:br/>
        <w:t xml:space="preserve">Source: SWG consumer survey (doc.101).  </w:t>
        <w:br/>
        <w:t>The response options are: 1 "I would continue to go to specialized stores (of this or another chain) for the same amount of purchases"; 2. "I would go, at least for part of the purchases, to a large supermarket or hypermarket"; 3. "I would go, at least for part of the purchases, to a small market or supermarket"; 4. "I would go, at least for part of the purchases, to a discount store"; 5. "I would go, at least for part of the purchases, to another type of store (e.g., neighborhood store, local market, pharmacy)"; 6. "I would make at least part of the purchases online"; 7. "I don't know." The values reported in the text were obtained by not considering the responses of those who indicated "I don't know." Question 12 asked respondents to indicate the share of spending that would potentially shift to alternative types of stores to specialized ones (1. "a minimal part (up to 10%)"; 2. "a fairly significant part (from 10 to 50%)"; 3. "more than half or all (from 51% to 100%)"; 4. "I don't know").</w:t>
      </w:r>
    </w:p>
    <w:p>
      <w:r>
        <w:t xml:space="preserve">BULLETIN NO. 46 OF 27 DECEMBER 2022 31  </w:t>
        <w:br/>
        <w:t xml:space="preserve">72. Regarding consumers' willingness to travel, responses to the question asking respondents to directly indicate the time taken to reach the Saponi&amp;Profumi outlets37 revealed that almost 70% of respondents travel a distance of no more than 10 minutes, and about 86% travel a maximum of 15 minutes to reach the relevant Saponi&amp;Profumi outlet (Table 5).  </w:t>
        <w:br/>
        <w:t xml:space="preserve">73. Further evidence regarding the possible extension of the relevant geographic market can be derived by analyzing the distance from the centroid, expressed in driving minutes, of alternative retail outlets that consumers would choose if the latter were unavailable: it is noted that these second choices are, in 90% of cases, at most about 10 minutes of driving (9.8 minutes) from the centroid, while in half of the cases within 4.5 minutes.  </w:t>
        <w:br/>
        <w:t xml:space="preserve">Table 5 – Travel times to reach the retail outlet  </w:t>
        <w:br/>
        <w:t xml:space="preserve">Share in terms of  </w:t>
        <w:br/>
        <w:t xml:space="preserve">Driving time  </w:t>
        <w:br/>
        <w:t xml:space="preserve">number of respondents  </w:t>
        <w:br/>
        <w:t xml:space="preserve">Up to 5 minutes 34%  </w:t>
        <w:br/>
        <w:t xml:space="preserve">Up to 10 minutes 35%  </w:t>
        <w:br/>
        <w:t xml:space="preserve">Up to 15 minutes 17%  </w:t>
        <w:br/>
        <w:t xml:space="preserve">Up to 20 minutes 9%  </w:t>
        <w:br/>
        <w:t xml:space="preserve">Up to 25 minutes 2%  </w:t>
        <w:br/>
        <w:t xml:space="preserve">Over 25 minutes 3%  </w:t>
        <w:br/>
        <w:t xml:space="preserve">Source: AGCM processing on SWG consumer survey data (doc.101).  </w:t>
        <w:br/>
        <w:t xml:space="preserve">V.III.3. The survey results regarding the degree of competitive proximity among channels  </w:t>
        <w:br/>
        <w:t xml:space="preserve">74. As mentioned, using the survey results, it was possible to calculate the so-called diversion ratios (DR), which allow for the analysis of how much of the sales lost by a particular retail outlet (due to, for example, a price increase or its closure) is "captured" by each competitor. In other words, the DR represents an index capable of capturing the actual relationships of substitutability (and mutual competition) among retail outlets included in the same relevant market.  </w:t>
        <w:br/>
        <w:t xml:space="preserve">75. In particular, the survey, having been conducted at the exits of the target company's retail outlets—which also constitute the center of the isochrones—allowed for the quantification of the share of sales that would shift from these outlets to the Bubbles outlets present in the various local markets.  </w:t>
        <w:br/>
        <w:t xml:space="preserve">76. In this way, it was possible to estimate the degree of competitive proximity that the buyer's stores exert on the centroids and, therefore, the competitive constraint that would cease downstream of the concentration, an element that ultimately also affects the incentive of the post-merger entity to raise prices following the operation.  </w:t>
        <w:br/>
        <w:t xml:space="preserve">77. In this case, consumers from each of the 35 Saponi&amp;Profumi outlets subject to investigation (the centroids of the respective isochrones) were asked which retail outlet belonging to the same isochrone they would turn to if the Saponi&amp;Profumi outlet were no longer available. In this way, the share of sales made at a particular Saponi&amp;Profumi outlet that would head towards the Acqua&amp;Sapone outlets was calculated.  </w:t>
        <w:br/>
        <w:t xml:space="preserve">78. A first piece of evidence concerns, first of all, the type of retail outlets to which spending made at the target outlets that constitute the centroids would shift.38 In particular, Table 6 shows that on average39 almost half of the spending (47%), in the event of unavailability of the target outlet, would transfer to other specialized retail outlets, confirming that the competitive constraints exerted on specialized stores are primarily exercised by other specialized stores.  </w:t>
        <w:br/>
        <w:t xml:space="preserve">Table 6 – Average DR by type of retail outlet, in terms of spending  </w:t>
        <w:br/>
        <w:t xml:space="preserve">Type of retail outlet Average DR  </w:t>
        <w:br/>
        <w:t xml:space="preserve">Drugstore 47%  </w:t>
        <w:br/>
        <w:t xml:space="preserve">Supermarket 18%  </w:t>
        <w:br/>
        <w:t xml:space="preserve">Discount 13%  </w:t>
        <w:br/>
        <w:t xml:space="preserve">Hypermarket 7%  </w:t>
        <w:br/>
        <w:t xml:space="preserve">Other type of retail outlet  </w:t>
        <w:br/>
        <w:t xml:space="preserve">5%  </w:t>
        <w:br/>
        <w:t xml:space="preserve">(neighborhood store, local market, pharmacy)  </w:t>
        <w:br/>
        <w:t xml:space="preserve">Online 5%  </w:t>
        <w:br/>
        <w:t xml:space="preserve">Superette 4%  </w:t>
        <w:br/>
        <w:t xml:space="preserve">GDO (*) 0  </w:t>
        <w:br/>
        <w:t xml:space="preserve">(*) A residual category "GDO" was also derived - whose DR is almost zero - obtained by considering the responses of those who, although not having indicated an alternative retail outlet to D14, responded to D13 that they would turn to "A supermarket/hypermarket (such as CONAD, NONNA ISA, CRAI, COOP, etc.)".  </w:t>
        <w:br/>
        <w:t xml:space="preserve">Source: AGCM processing on SWG consumer survey data (doc. 101).  </w:t>
        <w:br/>
        <w:t xml:space="preserve">79. Following this, although clearly distanced, supermarkets are positioned with an average sales diversion percentage from the centroid of 18%, discount stores (13%), and hypermarkets (7%). Superettes, on the other hand, constitute the category of stores that attract the least spending made at the target outlets (4%), with a DR slightly lower than that of online (5%).  </w:t>
        <w:br/>
        <w:t xml:space="preserve">80. Furthermore, the collected data allow for an analysis of the proportion in which spending made at the centroids would be distributed among competitors. This analysis clearly shows that Acqua&amp;Sapone is the main operator capable of attracting sales from Saponi&amp;Profumi (Table 7). In fact, the average DR of Bubbles in the overlapping horizontal isochrones is 23%, followed by a group of competitors with DRs of almost the same magnitude and lower by over 10 percentage points, consisting of CONAD (14%), Risparmio Casa (12%), Gruppo Maury’s (11%). CONAD is  </w:t>
        <w:br/>
        <w:t xml:space="preserve">38 This categorization was obtained by both classifying the alternative retail outlets indicated at the centroid and using the information provided by those who, although not having indicated an alternative retail outlet, responded to D13 that they would turn to (i) a discount store, (ii) another drugstore, (iii) another type of store, (iv) the online channel.  </w:t>
        <w:br/>
        <w:t>39 From now on, average DR refers to the weighted average of the DRs calculated in each isochrone, where each isochrone was weighted by its share in terms of spending on the total spending made by respondents.</w:t>
      </w:r>
    </w:p>
    <w:p>
      <w:r>
        <w:rPr>
          <w:b/>
        </w:rPr>
        <w:t>[Pages 31–33]</w:t>
      </w:r>
    </w:p>
    <w:p>
      <w:r>
        <w:t>BULLETIN NO. 46 OF 27 DECEMBER 2022</w:t>
      </w:r>
    </w:p>
    <w:p>
      <w:r>
        <w:t xml:space="preserve">33 therefore the only operator in the GDO present among the top five competitors capable of shifting spending from the target outlets to its own outlets.  </w:t>
        <w:br/>
        <w:t xml:space="preserve">Table 7 – Average DR of the top 10 operators, in terms of spending  </w:t>
        <w:br/>
        <w:t xml:space="preserve">Group/Brand Average DR  </w:t>
        <w:br/>
        <w:t xml:space="preserve">Bubbles 23%  </w:t>
        <w:br/>
        <w:t xml:space="preserve">Conad 14%  </w:t>
        <w:br/>
        <w:t xml:space="preserve">Risparmio Casa 12%  </w:t>
        <w:br/>
        <w:t xml:space="preserve">Gruppo Maury's 11%  </w:t>
        <w:br/>
        <w:t xml:space="preserve">Eurospin 7%  </w:t>
        <w:br/>
        <w:t xml:space="preserve">F.lli IBBA 5%  </w:t>
        <w:br/>
        <w:t xml:space="preserve">Carrefour 4%  </w:t>
        <w:br/>
        <w:t xml:space="preserve">Gruppo ISA 3%  </w:t>
        <w:br/>
        <w:t xml:space="preserve">LIDL 3%  </w:t>
        <w:br/>
        <w:t xml:space="preserve">MD 2%  </w:t>
        <w:br/>
        <w:t>Source: AGCM processing on SWG consumer survey data (doc.101).</w:t>
      </w:r>
    </w:p>
    <w:p>
      <w:r>
        <w:t xml:space="preserve">81. Analyzing in greater detail Bubbles' ability to attract sales from the target outlets, it is noted that, first of all, the company records the highest diversion ratio in 15 isochrones, that is, in approximately 43% of the markets where horizontal overlaps occur. Furthermore, the number of isochrones in which the buyer presents DRs greater than or equal to 20% is 20 out of 35 - about 57% - while the markets where it records DRs greater than or equal to 30% and 40% are 12 and 6, respectively.  </w:t>
        <w:br/>
        <w:t xml:space="preserve">Table 8 – Bubbles' DR in the relevant local markets  </w:t>
        <w:br/>
        <w:t xml:space="preserve">No. of isochrones  </w:t>
        <w:br/>
        <w:t xml:space="preserve">Bubbles' DR ≥ 20% 20  </w:t>
        <w:br/>
        <w:t xml:space="preserve">Bubbles' DR ≥ 30% 12  </w:t>
        <w:br/>
        <w:t xml:space="preserve">Bubbles' DR ≥ 40% 6  </w:t>
        <w:br/>
        <w:t xml:space="preserve">Bubbles' highest DR 15  </w:t>
        <w:br/>
        <w:t>Source: AGCM processing on SWG consumer survey data (doc.101).</w:t>
      </w:r>
    </w:p>
    <w:p>
      <w:r>
        <w:t xml:space="preserve">34 BULLETIN NO. 46 OF 27 DECEMBER 2022  </w:t>
        <w:br/>
        <w:t xml:space="preserve">Figure 7 – Distribution of DRs in the relevant local markets  </w:t>
        <w:br/>
        <w:t>Source: AGCM processing on SWG consumer survey data (doc.101).</w:t>
      </w:r>
    </w:p>
    <w:p>
      <w:r>
        <w:t xml:space="preserve">VI. EVALUATIONS  </w:t>
        <w:br/>
        <w:t xml:space="preserve">VI.I. RELEVANT MARKETS  </w:t>
        <w:br/>
        <w:t xml:space="preserve">VI.I.1. The retail market for household cleaning products and personal care  </w:t>
        <w:br/>
        <w:t xml:space="preserve">VI.I.1.1. The product market  </w:t>
        <w:br/>
        <w:t xml:space="preserve">82. The sector concerned by the concentration under examination is that of retail sales of personal care and household cleaning products.  </w:t>
        <w:br/>
        <w:t xml:space="preserve">83. As mentioned above, in the only previous case of the Authority related to this sector, a relevant product market was identified in the retail sale of home and personal care products composed of physical outlets of specialized chains and those of the GDO, while the online channel was not included.  </w:t>
        <w:br/>
        <w:t xml:space="preserve">84. In the present investigation, this definition has been the subject of in-depth analysis from both the demand and supply perspectives.  </w:t>
        <w:br/>
        <w:t>85. In summary, the overall evidence collected highlights the existence of a substitutability relationship between specialized chains, on the one hand, and GDO outlets (although within the latter it is necessary to distinguish between larger outlets - hypermarkets and large supermarkets - and smaller outlets - convenience stores), and discount stores, on the other.</w:t>
      </w:r>
    </w:p>
    <w:p>
      <w:r>
        <w:t xml:space="preserve">86. With reference to the attention given at the outset to the inclusion of convenience stores and discount stores in the relevant market, it emerged that the two channels show different characteristics from the consumer's perspective and, therefore, a different substitutability relationship with specialized chains.  </w:t>
        <w:br/>
        <w:t xml:space="preserve">87. Analyzing both the breadth of the assortment of home and personal care products offered and the pricing policy adopted, it emerges that convenience stores have a decidedly limited assortment and, regarding the common references, the average price of the products sold is higher than that practiced by drugstores.  </w:t>
        <w:br/>
        <w:t xml:space="preserve">88. This conclusion is confirmed by the responses of industry operators40 who emphasize the lack of a substitutability relationship, from the consumer's perspective, between drugstores and smaller GDO outlets.  </w:t>
        <w:br/>
        <w:t xml:space="preserve">89. Discount stores, on the other hand, primarily offer basic products, cheaper than those of specialized chains, often belonging to the private label category (store brand), with an offer aimed at meeting the basic needs and preferences of less demanding consumers. Considering these characteristics, it can be assumed that this channel presents a certain degree of substitutability with drugstores for price-sensitive consumers, also considering that - as emerged from the survey - convenience is among the three main drivers of store choice for more than 60% of consumers.  </w:t>
        <w:br/>
        <w:t xml:space="preserve">90. The degree of substitutability from the demand side between the different types of retail outlets has also been verified using the results of the so-called SSNIP test, the main tool indicated in the literature, as well as widely used by competition authorities, precisely for the purpose of assessing the size of the product market.  </w:t>
        <w:br/>
        <w:t xml:space="preserve">91. The results of the test show that - in the face of a 10% increase in the prices charged by all specialized stores - the percentage of spending that would be redirected to other channels would be 20.98%, a value very close to the critical loss (20.54%), calculated based on the margins provided by Bubbles and Quattro during the proceedings.41 This result does not allow for the exclusion of all types of GDO outlets from the relevant market with certainty, while highlighting how specialized stores are very close to constituting a relevant product market based on the hypothetical monopolist test. The test, in fact, did not clearly indicate whether the 10% price increase of all drugstores could be profitable, as the negative effect of reduced quantities due to the shift in demand to other channels and the positive effect of expanding the unit margin on the quantities that are still sold tend to essentially offset each other.  </w:t>
        <w:br/>
        <w:t xml:space="preserve">92. The outcome of the SSNIP test, when examining the types of stores to which spending by consumers at the target outlets would shift following a 10% price increase of personal care and household products by all specialized stores, confirms that the online channel and convenience stores do not belong to the relevant market: consumers redirect to these two channels spending shares of - respectively - 13.6% and 9.6%, values significantly lower than those of the two main alternative channels to drugstores, namely hypermarkets/large supermarkets (36%) and discount stores (34.7%).  </w:t>
        <w:br/>
        <w:t xml:space="preserve">40 See docs. 38 (Brendolan), 51 (LIDL), 54 (MD), 57 (Consorzio Supermercati Sardi) and 62 (Leader Price).  </w:t>
        <w:br/>
        <w:t>41 See docs. 84 and 111.</w:t>
      </w:r>
    </w:p>
    <w:p>
      <w:r>
        <w:rPr>
          <w:b/>
        </w:rPr>
        <w:t>[Pages 34–36]</w:t>
      </w:r>
    </w:p>
    <w:p>
      <w:r>
        <w:t xml:space="preserve">36 BULLETIN NO. 46 OF 27 DECEMBER 2022  </w:t>
        <w:br/>
        <w:t xml:space="preserve">93. Similar indications emerge from the analysis of the degree of competitive proximity between the various channels based on diversion ratios (DR), which allow for the analysis of the percentage of spending that would be transferred to other sales outlets within the same isochrone (see para. 77 et seq. above): specialized stores (drugstores) remain the main type of sales outlet with which respondents would replace Saponi&amp;Profumi outlets; on average, almost half of the spending (47%) made by the customers of the latter would shift to other specialized stores. Therefore, from the analysis conducted, it emerges that the strongest competitive constraint on the target outlets is exerted by specialized stores, a result consistent with the uncertain outcome of the SSNIP test, insofar as the latter does not clearly indicate that an increase in prices of specialized stores would not be profitable. In light of this, it also emerged that supermarkets are—after specialized stores—the main category of stores where consumers would shift within the examined isochrones.  </w:t>
        <w:br/>
        <w:t xml:space="preserve">94. In light of the results obtained, evaluating the elements that emerged as a whole, it is deemed appropriate to adopt a broader definition of the market compared to that limited to specialized stores alone, also including sales outlets of the large-scale distribution (GDO), excluding convenience stores, and discount stores. At the same time, it is considered necessary to take into account the fact that the main competitive constraints exerted on the target outlets primarily derive from other specialized stores (see above the results of the SSNIP test) and, to a lesser extent, from GDO outlets and discount stores. Therefore, the market shares calculated in a broader market must be considered with extreme caution, as they may significantly underestimate the actual market power that the Parties would hold following the concentration and, therefore, the unilateral effects of the operation in question.  </w:t>
        <w:br/>
        <w:t xml:space="preserve">VI.I.1.2. The geographic market  </w:t>
        <w:br/>
        <w:t xml:space="preserve">95. The results of the survey also allow for outlining the extent of the relevant market from a geographic perspective.  </w:t>
        <w:br/>
        <w:t xml:space="preserve">96. Firstly, the survey highlighted that the majority of consumers (58%) travel to the target outlet by car or motorcycle. However, it is also noteworthy that over a third of respondents (35%) indicated that they walk.  </w:t>
        <w:br/>
        <w:t xml:space="preserve">97. Regarding the distance traveled in terms of time taken, the data contained in Table 5 indicate that almost 70% of customers of the centroids travel within 10 minutes, while 86% reach the target outlets located within 15 minutes from the starting point.  </w:t>
        <w:br/>
        <w:t xml:space="preserve">98. The responses provided by consumers in the survey thus allow us to assert that the relevant geographic market does not extend beyond the boundaries of isochrones of 15 minutes and, on this basis, in line with the Authority's practice, it is possible to define the relevant geographic market.  </w:t>
        <w:br/>
        <w:t>99. However—taking into account that a non-negligible share of consumers walks rather than travels by car/motorcycle, as well as the evidence collected regarding the distance of the sales outlets that consumers consider to be the best substitute for the centroid—it emerges from the investigative findings that the relationships of substitutability between the sales outlets, and thus the competitive relationships between them, are strongly influenced by the distance from the centroid and are primarily exercised among stores located within a 10-minute driving radius from the centroid.</w:t>
      </w:r>
    </w:p>
    <w:p>
      <w:r>
        <w:t xml:space="preserve">BULLETIN NO. 46 OF 27 DECEMBER 2022 37  </w:t>
        <w:br/>
        <w:t xml:space="preserve">VI.I.1.3. The arguments of the Party and counterarguments  </w:t>
        <w:br/>
        <w:t xml:space="preserve">100. Bubbles contests the definition of the market from a product perspective, as the smaller formats of GDO outlets, convenience stores, as well as the online channel, have been excluded.  </w:t>
        <w:br/>
        <w:t xml:space="preserve">101. Regarding the first aspect, Bubbles notes that the GDO channel in general and specialized stores essentially market the same categories of products, thus satisfying the same consumer needs. In particular, regarding the degree of overlap in assortments between convenience stores and drugstores, about 89% of the revenue generated nationally for the home care sector concerns products sold in both specialized stores and convenience stores, while 62% of the revenue related to the personal care segment is available in both channels.  </w:t>
        <w:br/>
        <w:t xml:space="preserve">102. In addition to the assortment, the average price level between the two channels—GDO and drugstore—is comparable, and focusing solely on convenience stores, the prices applied at these outlets are on average higher—compared to those of specialized stores—by about 12% in the home care sector and 15% in the personal care segment.  </w:t>
        <w:br/>
        <w:t xml:space="preserve">103. Regarding the online channel, the Party contests its exclusion from the definition of the relevant market since this channel has recorded an average annual growth rate of 67% between 2019 and 2021. Furthermore, in some isochrones, this channel has a diversion ratio exceeding 20%.  </w:t>
        <w:br/>
        <w:t xml:space="preserve">104. Concerning the first objection, it should first be noted that the results of the survey, and in particular the evidence acquired through the SSNIP test, clearly highlight the absence of substitutability between drugstores and convenience stores, as the share of spending that would shift to the latter—equal to 9.6%—in the event of a price increase of specialized stores is significantly lower than that which would transfer to other channels, such as discount stores (34.7%) and hypermarkets/supermarkets (37%). This is also evidence that is corroborated by the analysis of diversion ratios by channel type, which shows that their degree of competitive proximity to the target sales outlets is significantly lower than that of other specialized chains, other GDO formats, and discount stores.  </w:t>
        <w:br/>
        <w:t xml:space="preserve">105. Moreover, the evidence provided by the SSNIP test and the survey is supported by the same factual elements provided by the Party. Firstly, the data confirms the limited overlap—especially regarding the personal care sector—of the assortment between convenience stores and drugstores. Furthermore—considering the relevance of convenience as a choice factor—the difference in the average price level is quite significant, given that the average price index in convenience stores is 10% higher than in drugstores for both segments of marketed products.  </w:t>
        <w:br/>
        <w:t>106. Regarding the exclusion of online, it should be highlighted that this channel, even from the data provided by the Party, has a very low market penetration rate in Italy, below 5%. Moreover, the diversion ratio towards this channel in areas of horizontal overlap is on average quite limited, being equal to 5%, compared to a share of spending made at the centroids and captured by other specialized stores equal to 47%. For these reasons, it is believed that the competitive constraint exerted by the online channel is so limited that it cannot be considered within the relevant market.</w:t>
      </w:r>
    </w:p>
    <w:p>
      <w:r>
        <w:t xml:space="preserve">38 BULLETIN NO. 46 OF 27 DECEMBER 2022  </w:t>
        <w:br/>
        <w:t xml:space="preserve">VI.II. THE EFFECTS OF THE OPERATION  </w:t>
        <w:br/>
        <w:t xml:space="preserve">VI.II.1. Premise  </w:t>
        <w:br/>
        <w:t xml:space="preserve">107. The operation in question consists of the acquisition of exclusive control of the main specialized chain in the retail sale of personal care and home cleaning products in Sardinia (Saponi&amp;Profumi), which accounts for more than a third of the total sales made by specialized chains on the island, by the company that owns most of the Acqua&amp;Sapone sales outlets, the leading drugstore at the national level, with a share exceeding 50% of the total sales made by specialized operators.  </w:t>
        <w:br/>
        <w:t xml:space="preserve">108. The concentration must also be read in light of the overall expansion project in the home and personal care sector by the H.I.G. group, through Bubbles, evidenced by the recent acquisition of the company owning the Acqua&amp;Sapone sales outlets located in Calabria and Campania.42  </w:t>
        <w:br/>
        <w:t xml:space="preserve">109. That said, considering the location of the target sales outlets, the impact of this operation occurs solely in Sardinia. In particular, as highlighted in the initiation provision, the concentration results in horizontal overlaps in 35 local markets, defined in the area bounded by isochrone curves, constructed around the Saponi&amp;Profumi sales outlets (centroids) within the perimeter of the operation.  </w:t>
        <w:br/>
        <w:t xml:space="preserve">110. In its application practice regarding the control of concentrations in the retail distribution of goods or services, the Authority has for a long time conducted its assessments using quantitative evidence related to the market shares held by the Parties and competitors in the relevant markets.  </w:t>
        <w:br/>
        <w:t xml:space="preserve">111. Recently, the Authority has supplemented this type of analysis with other economic analyses aimed at appreciating the unilateral effects, beyond the specific weight of the Parties to the operation, in terms of incentives to raise prices and/or reduce quality resulting from the fact that the operation observes the elimination of one or more competitive constraints on the relevant market(s).43  </w:t>
        <w:br/>
        <w:t xml:space="preserve">112. In this case, an evaluative approach not limited to market shares is all the more appropriate in light of the new assessment test for concentration operations based on the concept of the so-called significant obstacle to competition and in light of the fact that the ability of each sales outlet to exert competitive pressure on a specific target sales outlet depends on factors such as the distance from the latter or the type of store, which are difficult to capture through a dimensional analysis of shares.  </w:t>
        <w:br/>
        <w:t xml:space="preserve">113. The assessment of the effects of this operation in local markets has been carried out by analyzing—firstly—the competitive proximity between the Parties within each isochrone, also in light of the survey that allowed for examining the actual substitutability relationships between the sales outlets within each local market where horizontal overlaps occur.  </w:t>
        <w:br/>
        <w:t xml:space="preserve">42 See case C12496 (see, above, footnote 5).  </w:t>
        <w:br/>
        <w:t>43 See, among others, C12279 - DIPERDÌ/Business Branch of SMA and Società Generale Distribuzione, provision no. 28326, in Bulletin no. 34/20; C12247B - BDC Italia-Conad/Auchan, provision no. 28163, in Bulletin no. 10/20; C12246 - Fratelli Arena/Business Branch of SMA-Distribuzione Cambria-Roberto Abate, provision no. 28038, in Bulletin no. 52/2019; C12410B - Cinven Capital Management-Fressnapf Beteiligungs/Agrifarma - Maxi Zoo Italia Provision no. 30037 in Bulletin no. 9/22.</w:t>
      </w:r>
    </w:p>
    <w:p>
      <w:r>
        <w:rPr>
          <w:b/>
        </w:rPr>
        <w:t>[Pages 37–39]</w:t>
      </w:r>
    </w:p>
    <w:p>
      <w:r>
        <w:t>BULLETIN NO. 46 OF 27 DECEMBER 2022</w:t>
      </w:r>
    </w:p>
    <w:p>
      <w:r>
        <w:t>114. To this end, the DRs were calculated through the survey, which were in turn used to calculate the GUPPI (Gross Upward Pricing Pressure) in each isochrone, an indicator that measures the incentive of the Parties—in this case, the buyer—to increase prices as a result of the transaction under examination (for its derivation, see Appendix B below). In particular, the GUPPI integrates the information contained in the DRs with that on margins and the relative price ratio between the acquiring company and the target company, so as to quantify the incentive to raise prices, considering not only the share of spending that would shift to the buyer's outlets and would be internalized as a result of the concentration but also its profitability.44 In other words, even if the share of sales captured by another outlet of the same group were not particularly high (information contained in the DR), an outlet could still have a strong incentive to worsen its offer if the margin on the captured sales were high (information contained in the GUPPI).</w:t>
      </w:r>
    </w:p>
    <w:p>
      <w:r>
        <w:t>115. Secondly, a structural analysis of the competitive context that would arise as a result of the concentration was conducted. In this regard, it should be noted that this analysis is based on the adoption of a cautious approach in defining the product market—also in light of the results of the SSNIP—considering the GDO (with the exception of convenience stores) and discount stores as belonging to the relevant market.</w:t>
      </w:r>
    </w:p>
    <w:p>
      <w:r>
        <w:t>116. The indicators used for the structural analysis include, in addition to the joint market share of the Parties, other indicators widely used in community and national practice, such as the distance between the post-merger market share of the entity and that of the second operator and the Herfindahl-Hirschmann Index (“HHI”).</w:t>
      </w:r>
    </w:p>
    <w:p>
      <w:r>
        <w:t>VI.II.2. Analysis of the Unilateral Effects of the Transaction</w:t>
      </w:r>
    </w:p>
    <w:p>
      <w:r>
        <w:t>117. From the analysis of the aforementioned indicators—summarized in Table 9—the significant impact of the transaction in numerous local markets emerges.</w:t>
      </w:r>
    </w:p>
    <w:p>
      <w:r>
        <w:t>118. These indicators show, in fact, how the transaction would lead to significantly deteriorated competitive conditions in a large number of local markets.</w:t>
      </w:r>
    </w:p>
    <w:p>
      <w:r>
        <w:t>44 In other words, even if the share of sales captured by another outlet of the same group were not particularly high (information contained in the DR), an outlet could still have a strong incentive to worsen its offer if the margin on the captured sales were high (information contained in the GUPPI).</w:t>
      </w:r>
    </w:p>
    <w:p>
      <w:r>
        <w:t>Table 9 – Summary of Structural Indicators and Competitive Proximity in the 35 Local Markets Where Horizontal Overlaps Between the Parties Occur</w:t>
      </w:r>
    </w:p>
    <w:p>
      <w:r>
        <w:t>| Code | Post-merger Share (%) | Distance | 2nd Operator HHI | Diversion Ratio | ∆HHI | GUPPI |</w:t>
        <w:br/>
        <w:t>|------|-----------------------|----------|------------------|-----------------|------|-------|</w:t>
        <w:br/>
        <w:t>| 1    | [15-20]              | -        | [5-10]           | 1,463           | 75   | 6     | 2     |</w:t>
        <w:br/>
        <w:t>| 2    | [20-25]              | [1-5]    | 1,520            | 223             | 13   | 5     |</w:t>
        <w:br/>
        <w:t>| 3    | [20-25]              | -        | [1-5]            | 1,562           | 194  | 5     | 2     |</w:t>
        <w:br/>
        <w:t>| 4    | [15-20]              | -        | [Inf. a 1]      | 1,443           | 191  | 27    | 10    |</w:t>
        <w:br/>
        <w:t>| 5    | [15-20]              | -        | [1-5]            | 1,389           | 185  | 16    | 6     |</w:t>
        <w:br/>
        <w:t>| 10   | [20-25]              | [5-10]   | 1,372            | 262             | 8    | 3     |</w:t>
        <w:br/>
        <w:t>| 11   | [20-25]              | [1-5]    | 1,367            | 253             | 12   | 4     |</w:t>
        <w:br/>
        <w:t>| 12   | [25-30]              | [5-10]   | 1,429            | 310             | 23   | 8     |</w:t>
        <w:br/>
        <w:t>| 13   | [20-25]              | [5-10]   | 1,176            | 203             | 37   | 13    |</w:t>
        <w:br/>
        <w:t>| 14   | [25-30]              | [5-10]   | 1,439            | 312             | 28   | 10    |</w:t>
        <w:br/>
        <w:t>| 16   | [20-25]              | [5-10]   | 1,402            | 286             | 27   | 10    |</w:t>
        <w:br/>
        <w:t>| 18   | [20-25]              | [Inf. a 1]| 1,474           | 221             | 46   | 17    |</w:t>
        <w:br/>
        <w:t>| 19   | [15-20]              | [1-5]    | 1,287            | 194             | 4    | 1     |</w:t>
        <w:br/>
        <w:t>| 20   | [15-20]              | -        | [1-5]            | 1,575           | 188  | 4     | 2     |</w:t>
        <w:br/>
        <w:t>| 25   | [25-30]              | [5-10]   | 1,704            | 299             | 1    | 0     |</w:t>
        <w:br/>
        <w:t>| 26   | [25-30]              | [1-5]    | 2,019            | 438             |      |       |</w:t>
        <w:br/>
        <w:t>| 29   | [15-20]              | -        | [15-20]          | 1,928           | 119  | 31    | 11    |</w:t>
        <w:br/>
        <w:t>| 34   | [45-50]              | [25-30]  | 3,003            | 876             | 44   | 15    |</w:t>
        <w:br/>
        <w:t>| 35   | [45-50]              | [25-30]  | 3,003            | 876             | 60   | 21    |</w:t>
        <w:br/>
        <w:t>| 38   | [40-45]              | [30-35]  | 2,547            | 696             | 32   | 11    |</w:t>
        <w:br/>
        <w:t>| 39   | [30-35]              | [10-15]  | 1,910            | 559             | 9    | 3     |</w:t>
        <w:br/>
        <w:t>| 42   | [30-35]              | [10-15]  | 1,790            | 513             | 59   | 21    |</w:t>
        <w:br/>
        <w:t>| 43   | [30-35]              | [10-15]  | 1,790            | 513             | 28   | 10    |</w:t>
        <w:br/>
        <w:t>| 45   | [30-35]              | [15-20]  | 1,938            | 524             | 10   | 4     |</w:t>
        <w:br/>
        <w:t>| 46   | [30-35]              | [15-20]  | 1,938            | 524             | 32   | 12    |</w:t>
        <w:br/>
        <w:t>| 49   | [45-50]              | [30-35]  | 2,534            | 855             | 48   | 17    |</w:t>
        <w:br/>
        <w:t>| 50   | [20-25]              | -        | [1-5]            | 1,462           | 233  | 19    | 7     |</w:t>
        <w:br/>
        <w:t>| 51   | [20-25]              | -        | [1-5]            | 1,455           | 232  | 36    | 13    |</w:t>
        <w:br/>
        <w:t>| 52   | [20-25]              | -        | [1-5]            | 1,468           | 234  | 12    | 4     |</w:t>
        <w:br/>
        <w:t>| 53   | [20-25]              | -        | [1-5]            | 1,473           | 237  | 34    | 12    |</w:t>
        <w:br/>
        <w:t>| 54   | [30-35]              | [15-20]  | 2,016            | 539             | 42    | 14    |</w:t>
        <w:br/>
        <w:t>| 56   | [15-20]              | -        | [10-15]          | 1,882           | 192  | 10    | 3     |</w:t>
        <w:br/>
        <w:t>| 58   | [55-60]              | [40-45]  | 3,441            | 1,201           | 23    | 8     |</w:t>
        <w:br/>
        <w:t>| 59   | [15-20]              | -        | [10-15]          | 1,882           | 192  | 27    | 10    |</w:t>
        <w:br/>
        <w:t>| 60   | [15-20]              | -        | [10-15]          | 1,903           | 194  | 28    | 10    |</w:t>
      </w:r>
    </w:p>
    <w:p>
      <w:r>
        <w:t>Source: AGCM processing of data on file.</w:t>
      </w:r>
    </w:p>
    <w:p>
      <w:r>
        <w:t>119. In particular, taking into account the degree of competitive pressure exerted by Bubbles on the target outlets and, therefore, the incentive for Bubbles to raise prices as a result of the acquisition of Quattro, as well as the structural characteristics of the markets, the analysis indicates that the transaction is certainly capable of producing significant unilateral effects in 9 local markets (isochrones nos. 34, 35, 38, 42, 43, 46, 49, 54, and 58). In these contexts, in fact, the transaction is likely to create an incentive to raise prices greater than or equal to 5% (GUPPI greater than or equal to 5%) and significant market shares are recorded.45</w:t>
      </w:r>
    </w:p>
    <w:p>
      <w:r>
        <w:t>120. Examining in detail the situation within these local markets, in 5 isochrones (nos. 34, 35, 38, 49, and 58) the post-merger entity will hold a clearly dominant position, with a share exceeding 40%, calculated based on the definition of the relevant product market previously illustrated, which does not include convenience stores and the online channel. In these isochrones, the post-merger HHI would almost always be above 2,000, with a delta always greater than 500. Therefore, in light of high values not only of the GUPPI and the diversion ratio but also of the structural indicators, it is believed that in these markets the transaction will produce significant effects from a competitive standpoint.</w:t>
      </w:r>
    </w:p>
    <w:p>
      <w:r>
        <w:t>121. Similarly, it is believed that the concentration will give rise to evident competitive issues also in the 4 local markets where the Parties' share will be below 40% but greater than or equal to 30% (isochrones nos. 42, 43, 46, and 54). In fact, in assessing the market shares that the post-merger entity will hold, it is necessary to take into account the cautious approach adopted in defining the product market. Furthermore, in these markets, the post-merger HHI is always above 1,500, with an increase due to the concentration greater than 400. Additionally, in these markets, the Parties will hold a joint share exceeding 10% of that of the second operator (which is often represented by a GDO operator and not by a specialized chain).</w:t>
      </w:r>
    </w:p>
    <w:p>
      <w:r>
        <w:t>122. In addition to the aforementioned 9 isochrones in which the transaction is certainly capable of deteriorating competitive market conditions, it cannot be ruled out that further critical situations may arise even though the structural indicators show not particularly high values. This particularly concerns 13 local markets (isochrones nos. 4, 5, 12, 13, 14, 16, 18, 29, 50, 51, 53, 59, and 60) in which, although the Parties' share is below 30%, the value of the GUPPI index is above the critical threshold of 5% indicated previously (Figure 8).</w:t>
      </w:r>
    </w:p>
    <w:p>
      <w:r>
        <w:t>123. In these markets, the transaction—through the elimination of Saponi&amp;Profumi—is likely to remove an important competitive constraint, significantly increasing the incentives for the post-merger entity to raise prices.</w:t>
      </w:r>
    </w:p>
    <w:p>
      <w:r>
        <w:t>45 In this specific case—given the level of margins of the buyer's outlets in the local markets under examination and the relative price ratio between the buyer and the target—GUPPI values of 5% are obtained with DRs below 20% (the 5% threshold is in line with the analysis conducted in previous cases; see C12247B, cited).</w:t>
      </w:r>
    </w:p>
    <w:p>
      <w:r>
        <w:rPr>
          <w:b/>
        </w:rPr>
        <w:t>[Pages 40–42]</w:t>
      </w:r>
    </w:p>
    <w:p>
      <w:r>
        <w:t xml:space="preserve">42 BULLETIN NO. 46 OF 27 DECEMBER 2022  </w:t>
        <w:br/>
        <w:t xml:space="preserve">Figure 8 – Joint market share and DR in the affected local markets  </w:t>
        <w:br/>
        <w:t xml:space="preserve">Source: AGCM processing on data in the file.  </w:t>
        <w:br/>
        <w:t xml:space="preserve">124. With regard to these markets, it is deemed necessary to conduct a more in-depth analysis, with a view to assessing their actual competitive conditions, taking into account in particular the location of the various sales outlets - both of the buyer and of competitors - as well as the factual elements collected during the survey, for example regarding mobility and the factors influencing the choice of sales outlet.  </w:t>
        <w:br/>
        <w:t xml:space="preserve">Isochrone 4 (centroid: [omitted])  </w:t>
        <w:br/>
        <w:t xml:space="preserve">125. In the market of [omitted], 27% of spending would shift from the centroid to Bubbles, a circumstance that results in a 10% incentive to increase prices.  </w:t>
        <w:br/>
        <w:t xml:space="preserve">126. In this isochrone, the buyer has 5 sales outlets - of which 4 are within a 10-minute radius from the centroid - compared to an additional 4 specialized stores held by competitors, which reduce to 1 when considering an area defined within a 10-minute radius from the target sales outlet. It follows that within 10 minutes from the centroid, there would only be one specialized competitor, Maury’s, with a market share - considering only the chains - of about half that of Bubbles.  </w:t>
        <w:br/>
        <w:t xml:space="preserve">127. This aspect, along with the fact that the closest specialized sales outlet to the centroid is that of Bubbles, assumes particular relevance, due to the circumstance that 63% of respondents stated they would walk, and that proximity is considered a rather important choice factor. The latter was indicated by 39% of consumers as the main driver of choice.  </w:t>
        <w:br/>
        <w:t>128. In light of this evidence, it is believed that the operation is likely to deteriorate the competitive conditions of the market in question.</w:t>
      </w:r>
    </w:p>
    <w:p>
      <w:r>
        <w:t xml:space="preserve">BULLETIN NO. 46 OF 27 DECEMBER 2022  </w:t>
        <w:br/>
        <w:t xml:space="preserve">43  </w:t>
        <w:br/>
        <w:t xml:space="preserve">Isochrone 5 (centroid: [omitted])  </w:t>
        <w:br/>
        <w:t xml:space="preserve">129. In this local market also located in [omitted], the DR is 16% and the incentive to increase prices is 6%.  </w:t>
        <w:br/>
        <w:t xml:space="preserve">130. In the isochrone, there are a number of competing specialized stores equal to those of Bubbles, but with a higher market penetration rate. Considering that proximity is the main choice factor for 71% of respondents, it is observed that among the specialized stores, 2 of the sales outlets belonging to competitors are positioned closer to the centroid than the stores of Bubbles.  </w:t>
        <w:br/>
        <w:t xml:space="preserve">131. In light of the evidence presented above, which appears to indicate the presence of a certain competitive pressure exerted by competing specialized operators, it is believed that the operation does not give rise to competitive concerns.  </w:t>
        <w:br/>
        <w:t xml:space="preserve">Isochrone 12 (centroid: [omitted])  </w:t>
        <w:br/>
        <w:t xml:space="preserve">132. In this local market, which overlaps partially with the previous ones in [omitted], the spending that would shift from the centroid to the sales outlets of Bubbles amounts to 23%, and the incentive to increase prices is 8%.  </w:t>
        <w:br/>
        <w:t xml:space="preserve">133. The survey indicates that proximity to the centroid is one of the main choice factors (88% of respondents), in addition to being the most relevant for the majority of consumers (57%). Furthermore, over half of the respondents walk (56%).  </w:t>
        <w:br/>
        <w:t xml:space="preserve">134. In light of this, it should be noted that the closest sales outlet among the specialized stores is not that of Bubbles, but of a competitor, Maury’s. The latter, moreover, is the operator with the highest market penetration when considering an area with a radius of 10 minutes from the centroid.  </w:t>
        <w:br/>
        <w:t xml:space="preserve">135. For the reasons stated above, it is believed that the operation in question is not likely to result in significant competitive effects.  </w:t>
        <w:br/>
        <w:t xml:space="preserve">Isochrone 13 (centroid: [omitted])  </w:t>
        <w:br/>
        <w:t xml:space="preserve">136. With regard to this isochrone, it should be noted that the share of sales that would shift from the centroid to the sales outlets of Bubbles is very high, amounting to 37%, and consequently the incentive to increase prices, which is 13%, is significant. In this market, Bubbles has 2 sales outlets, while among the other specialized stores, 2 belong to Maury’s and 1 to Risparmio Casa.  </w:t>
        <w:br/>
        <w:t xml:space="preserve">137. In this context, the majority of customers interviewed upon exiting the target sales outlet, centroid of the isochrone, walk (60%); furthermore, its proximity/convenience is considered by 82% of respondents as one of the main choice factors, and in particular, 60% consider it the most important. In this regard, the closest sales outlet to the centroid is a store of Bubbles, not only among the specialized stores but also compared to discount stores and larger GDO stores - hypermarkets - which exert greater competitive pressure.  </w:t>
        <w:br/>
        <w:t>138. Furthermore, both of the buyer's sales outlets present in the isochrone are located within a 10-minute drive from the centroid, while the 3 specialized sales outlets owned by specialized competitors drop to 2 when considering - taking into account the mobility and choice drivers of the respondents - a distance of 10 minutes from the centroid.</w:t>
      </w:r>
    </w:p>
    <w:p>
      <w:r>
        <w:t xml:space="preserve">44 BULLETIN NO. 46 OF 27 DECEMBER 2022  </w:t>
        <w:br/>
        <w:t xml:space="preserve">139. In light of the elements described, it is believed that the competitive constraint exerted by competitors is not sufficiently strong to influence the Parties. Therefore, with regard to the isochrone of [omitted], it is believed that the operation in question is likely to result in significant unilateral effects.  </w:t>
        <w:br/>
        <w:t xml:space="preserve">Isochrone 14 (centroid: [omitted])  </w:t>
        <w:br/>
        <w:t xml:space="preserve">140. This isochrone, also located in [omitted], partially overlaps with isochrones 12, 13, and 16 (the centroid of which is located in [omitted]). Considering the competitive proximity, in this isochrone the DR is 28% corresponding to an incentive to increase prices of 10%.  </w:t>
        <w:br/>
        <w:t xml:space="preserve">141. In this market, the buyer owns 6 sales outlets, while the chains Maury’s and Risparmio Casa hold 2 each. Although the closest specialized sales outlet to the centroid is a store of Maury’s, it should be noted that - unlike isochrone 13 - less than half (40%) of consumers who were interviewed upon exiting the centroid walk, and only 11% noted the importance of proximity as a factor in choosing the target sales outlet.  </w:t>
        <w:br/>
        <w:t xml:space="preserve">142. Furthermore, although respondents appear particularly attentive to convenience - indicated by 60% of them as the most important factor - discount stores do not constitute an adequate competitive constraint to the extent that the spending that would be redirected to them in the event of unavailability of the centroid is extremely limited.  </w:t>
        <w:br/>
        <w:t xml:space="preserve">143. Therefore, the above-highlighted elements lead to the belief that the operation raises significant competitive concerns.  </w:t>
        <w:br/>
        <w:t xml:space="preserve">Isochrone 16 (centroid: [omitted])  </w:t>
        <w:br/>
        <w:t xml:space="preserve">144. In the isochrone of [omitted], the survey revealed that 27% of spending made at the centroid - in the event of its unavailability - would shift to the sales outlets of Bubbles, resulting in a 10% incentive to increase prices.  </w:t>
        <w:br/>
        <w:t xml:space="preserve">145. In this context, Risparmio Casa and Maury’s are present with 2 and 1 sales outlet respectively, compared to the 2 stores of Bubbles.  </w:t>
        <w:br/>
        <w:t xml:space="preserve">146. In general, both the competing specialized chains and the GDO appear to exert adequate competitive pressure in the market in question, an element deemed suitable to exclude the emergence of concerns following the operation.  </w:t>
        <w:br/>
        <w:t xml:space="preserve">Isochrone 18 (centroid: [omitted])  </w:t>
        <w:br/>
        <w:t xml:space="preserve">147. In the isochrone in question, located in [omitted], the DR and GUPPI present very high values, well above the critical thresholds, being 46% and 17% respectively.  </w:t>
        <w:br/>
        <w:t xml:space="preserve">148. Although the survey indicates that only 11% of respondents walk, of the 5 specialized sales outlets belonging to competitors, only the 2 closest to the centroid have been indicated as potential substitutes for it.  </w:t>
        <w:br/>
        <w:t>149. Furthermore, although convenience is the most relevant choice factor - indicated by 42% of customers of the target sales outlet - and there are numerous discount stores within the isochrone, it is noteworthy that there are only a couple closer to the Bubbles store located near the centroid, and in any case, no respondent considers a discount store as an alternative to it.</w:t>
      </w:r>
    </w:p>
    <w:p>
      <w:r>
        <w:rPr>
          <w:b/>
        </w:rPr>
        <w:t>[Pages 43–45]</w:t>
      </w:r>
    </w:p>
    <w:p>
      <w:r>
        <w:t>BULLETIN NO. 46 OF 27 DECEMBER 2022</w:t>
      </w:r>
    </w:p>
    <w:p>
      <w:r>
        <w:t xml:space="preserve">150. In light of these elements, it is believed that in isochrone 18 located at [omissis], the operation gives rise to significant competitive concerns.  </w:t>
        <w:br/>
        <w:t xml:space="preserve">Isochrone 29 (centroid: [omissis])  </w:t>
        <w:br/>
        <w:t xml:space="preserve">151. In this local market located at [omissis], where the DR is 31% and the value of the GUPPI is 11%, there is a Bubbles outlet and a Risparmio Casa outlet. The latter, moreover, is located near the centroid, unlike the buyer's store, a relevant factual element considering that proximity is one of the three main factors of choice for 83% of respondents.  </w:t>
        <w:br/>
        <w:t xml:space="preserve">152. In light of such elements, this isochrone is considered non-problematic from a competitive perspective.  </w:t>
        <w:br/>
        <w:t xml:space="preserve">Isochrone 50 (centroid: [omissis])  </w:t>
        <w:br/>
        <w:t xml:space="preserve">153. In the local market under examination, located at [omissis] like isochrones 51 and 53, the DR is 19% while the incentive to raise prices is 7%.  </w:t>
        <w:br/>
        <w:t xml:space="preserve">154. Bubbles has a total of 3 outlets - compared to one store of Maury’s and one of Risparmio Casa.  </w:t>
        <w:br/>
        <w:t xml:space="preserve">155. Although the closest specialized store to the centroid is owned by the buyer, proximity does not assume particular relevance as a factor of choice among respondents - having been cited only in 38% of cases compared to 60% of respondents who consider convenience among the most important drivers. Furthermore, only 9% of consumers walk.  </w:t>
        <w:br/>
        <w:t xml:space="preserve">156. Overall, the isochrone has operators, both specialized and non-specialized, that express an adequate competitive constraint and for these reasons, it is believed that the operation does not pose concerns from the perspective of the competitive context.  </w:t>
        <w:br/>
        <w:t xml:space="preserve">Isochrone 51 (centroid: [omissis])  </w:t>
        <w:br/>
        <w:t xml:space="preserve">157. In this isochrone, Bubbles outlets are capable of capturing 36% of the spending that would shift from the centroid, with an incentive to raise prices of 13%. Among the specialized stores, at a distance of 15 minutes from the centroid, Bubbles holds 3 of the 5 specialized outlets present in the area, while the other 2 belong to Maury’s and Risparmio Casa.  </w:t>
        <w:br/>
        <w:t xml:space="preserve">158. Although only 22% of respondents walk, the clear majority of respondents would replace the centroid with the Bubbles outlet located in its immediate vicinity. In fact, among the specialized stores, the closest to the centroid is one of the 3 Bubbles outlets, and only 2 discount stores are positioned before it. Moreover, this type of store would attract a very low share of spending coming from the centroid, equal to 2%.  </w:t>
        <w:br/>
        <w:t xml:space="preserve">159. In light of these elements, it is believed that in this market, as a result of the operation, a deterioration of competitive conditions may occur.  </w:t>
        <w:br/>
        <w:t xml:space="preserve">Isochrone 53 (centroid: [omissis])  </w:t>
        <w:br/>
        <w:t xml:space="preserve">160. In this local market, which is partially overlapping with isochrone 51, both the DR and the GUPPI assume particularly high values, equal to 34% and 12%, respectively.  </w:t>
        <w:br/>
        <w:t>161. Considering only the specialized chains, there are 3 Bubbles outlets, 1 Maury’s store, and 1 Risparmio Casa store in the isochrone, all located within a 10-minute radius from the centroid.</w:t>
      </w:r>
    </w:p>
    <w:p>
      <w:r>
        <w:t>BULLETIN NO. 46 OF 27 DECEMBER 2022</w:t>
      </w:r>
    </w:p>
    <w:p>
      <w:r>
        <w:t xml:space="preserve">162. Although respondents exiting the target outlet stated that they primarily walk (90%) and proximity is the main reason that led them to choose the outlet (for 81% of consumers it is the most important factor), a clear preference emerges among consumers for Bubbles outlets, even though Maury’s has the store closest to the centroid. Moreover, no respondent indicated the Risparmio Casa outlet as a substitute for the centroid, should the latter no longer be available. This leads to the conclusion that the competitive constraint of Bubbles is not comparable to that of either of the other two specialized chains, nor are the discount stores and the GDO able to exert adequate competitive pressure.  </w:t>
        <w:br/>
        <w:t xml:space="preserve">163. In light of such elements, it is believed that the operation raises competitive concerns in the isochrone of [omissis].  </w:t>
        <w:br/>
        <w:t xml:space="preserve">Isochrone 59 (centroid: [omissis])  </w:t>
        <w:br/>
        <w:t xml:space="preserve">164. The isochrone in question, located in the municipal territory of [omissis], shows a DR of 27% and a GUPPI of 10%.  </w:t>
        <w:br/>
        <w:t xml:space="preserve">165. In this market, 90% of respondents consider proximity to be the most important factor in choosing the target outlet. In this regard, there are located almost at the same distance from the centroid, 1 outlet - of the 2 located in the isochrone - of Bubbles, 1 outlet of Maury’s, and 1 hypermarket.  </w:t>
        <w:br/>
        <w:t xml:space="preserve">166. Furthermore, it should be noted that there is another specialized store belonging to Risparmio Casa in the isochrone, and hypermarkets appear to exert competitive pressure comparable to that of Bubbles.  </w:t>
        <w:br/>
        <w:t xml:space="preserve">167. In light of these elements, which suggest that a certain degree of competitive pressure exists that will not be eliminated following the operation, it is believed that the latter is not suitable to produce significant competitive effects in the market under examination.  </w:t>
        <w:br/>
        <w:t xml:space="preserve">Isochrone 60 (centroid: [omissis])  </w:t>
        <w:br/>
        <w:t xml:space="preserve">168. In the isochrone in question, the shift in spending recorded with the survey towards the buyer's outlets is 28%, with a consequent incentive to raise prices of 10%.  </w:t>
        <w:br/>
        <w:t xml:space="preserve">169. In this context, there are 2 Bubbles outlets, while the other competitors each hold one store, both with a turnover significantly higher than the former.  </w:t>
        <w:br/>
        <w:t xml:space="preserve">170. The survey highlighted that proximity is the main factor of choice for almost 80% of respondents, and considering this, a careful analysis of the geographical proximity to the centroid of the specialized outlets shows that the store closest to the latter belongs to Risparmio Casa.  </w:t>
        <w:br/>
        <w:t xml:space="preserve">171. Moreover, in this specific market context, hypermarkets appear to constitute an adequate competitive constraint due to their competitive proximity to the target company.  </w:t>
        <w:br/>
        <w:t xml:space="preserve">172. For the reasons stated above, it is believed that in the isochrone of [omissis], the operation is not suitable to produce a deterioration of competitive conditions.  </w:t>
        <w:br/>
        <w:t xml:space="preserve">173. In conclusion, the concentration under examination is likely to significantly impede effective competition, pursuant to Article 6, paragraph 1, of Law No. 287/90, even through the establishment or strengthening of a dominant position, in 15 local markets. In particular, in 9 local markets (isochrones nos. 34, 35, 38, 42, 43, 46, 49, 54, and 58), the operation is likely to result in an incentive to raise prices greater than or equal to 5% (GUPPI greater than or equal to 10% for all isochrones except for no. 58 where the GUPPI is 8%), as well as a significant deterioration of the structural characteristics of the markets (see para. 119 above). Furthermore, in an additional 6 local markets (isochrones nos. 4, 13, 14, 18, 51, and 53), the ad hoc analysis based on the actual competitive conditions specific to each isochrone has shown that the operation is likely to significantly impede effective competition, pursuant to Article 6, paragraph 1, of Law No. 287/90 (see 124 et seq.).  </w:t>
        <w:br/>
        <w:t xml:space="preserve">VI.II.3. Arguments of the Party and Counterarguments  </w:t>
        <w:br/>
        <w:t xml:space="preserve">174. According to the Party, the GUPPI threshold used to identify the critical isochrones is too low, as other national Authorities - particularly the English one - and the Commission would use higher threshold values, in the range of 10-20%.  </w:t>
        <w:br/>
        <w:t xml:space="preserve">175. Bubbles also believes that the assessment approach adopted in the CRI is incorrect, as it places excessive weight on the analysis of competitive proximity, considering that the latter has some intrinsic limitations. This analysis, in fact, based on the results from the survey, would discount the fact that the latter: (i) is directed at a limited number of consumers, (ii) is articulated on a set of hypothetical questions, (iii) allows for the acquisition of information only regarding the stated preferences of consumers, which may deviate significantly from actual purchasing behaviors. In light of these limitations, therefore, for the identification of problematic markets, the analysis of competitive proximity should always be combined with a structural analysis, the latter based on indices - such as market shares and HHI index - constructed from objective data, i.e., the revenues of the outlets.  </w:t>
        <w:br/>
        <w:t xml:space="preserve">176. Furthermore, the Party contests how the specific analyses on the 6 isochrones characterized by a GUPPI value greater than 5% fail to consider a series of evidences regarding the existence of adequate competitive pressure even downstream of the concentration. In particular, the CRI would not have taken into account elements such as the number of additional outlets compared to the specialized ones, aggregated diversion ratios of specialized competitors or other sales channels exceeding the diversion ratio of Bubbles.  </w:t>
        <w:br/>
        <w:t xml:space="preserve">177. Regarding the aforementioned objections, the following observations are made. As for the first issue, the critical GUPPI threshold used is in line with the Authority's precedents. Moreover, in this case, a GUPPI of 5% corresponds to an actual price increase by the post-merger entity that can exceed 10%.46 Furthermore, it should be noted that in the most recent operation in the GDO sector evaluated by the CMA47 - the English competition authority - the critical GUPPI threshold used is 2.75%, significantly lower than the critical value used in the CRI of 5%.  </w:t>
        <w:br/>
        <w:t xml:space="preserve">46 In fact, assuming symmetry between the diversion ratios of the operators, the Party downstream of the operation could increase prices on average in a range between 4% - in the case of linear demand where elasticity increases with the level of prices - and 13% - assuming isoelastic demand, characterized by constant elasticity regardless of the price level. These price increases are calculated through the so-called "Illustrative Price Rise" (IPR) index which, in the case of linear demand, is calculated as follows:  </w:t>
        <w:br/>
        <w:t xml:space="preserve">(IPR) = ((ΔQ * ε) / 2 * (1 - ε))  </w:t>
        <w:br/>
        <w:t xml:space="preserve">where ΔQ is the change in quantity, ε is the elasticity of demand.  </w:t>
        <w:br/>
        <w:t xml:space="preserve">In the case of isoelastic demand, the IPR formula is as follows:  </w:t>
        <w:br/>
        <w:t xml:space="preserve">(IPR) = ((ΔQ * ε) / (1 - ΔQ - ε))  </w:t>
        <w:br/>
        <w:t xml:space="preserve">where ΔQ is the change in quantity, ε is the elasticity of demand.  </w:t>
        <w:br/>
        <w:t>47 CMA, “J Sainsbury PLC / Asda Group Ltd merger inquiry”, decision of 25/04/2019.</w:t>
      </w:r>
    </w:p>
    <w:p>
      <w:r>
        <w:rPr>
          <w:b/>
        </w:rPr>
        <w:t>[Pages 46–48]</w:t>
      </w:r>
    </w:p>
    <w:p>
      <w:r>
        <w:t>48 BULLETIN NO. 46 OF 27 DECEMBER 2022</w:t>
      </w:r>
    </w:p>
    <w:p>
      <w:r>
        <w:t>178. Thirdly, the issue raised by Bubbles has an extremely limited impact on the assessment of the effects of the transaction, insofar as only in one isochrone deemed critical (n. 58) the GUPPI is above 5% and below 10%. Moreover, this is an isochrone where the GUPPI is equal to 8% and, from a structural analysis perspective, there will be a joint share exceeding 55%, a distance from the second operator greater than 40 percentage points, a high concentration index (HHI of 3,441), and an extremely high change in the HHI index (1,201). Essentially, in this isochrone, the transaction would be likely to create a dominant position for the new entity.</w:t>
      </w:r>
    </w:p>
    <w:p>
      <w:r>
        <w:t>179. Regarding the excessive weight attributed to the analysis of competitive proximity, it is noted—firstly—that the prominence given to this analysis has also served to exclude the presence of competitive issues in isochrones (nn. 39 and 45) where the joint market shares are extremely high but no significant incentive to raise prices was found.</w:t>
      </w:r>
    </w:p>
    <w:p>
      <w:r>
        <w:t>180. Secondly, concerning the alleged limitations of the competitive proximity analysis, it is recalled that the survey is the main tool used internationally to assess the competitive proximity of retail outlets within individual local markets. In this case, the survey was designed based on Best Practices adopted by other national competition authorities and was conducted in the field at the exit of the retail outlets involved in the transaction, reaching a sample of consumers on whom the concentration has a direct impact.</w:t>
      </w:r>
    </w:p>
    <w:p>
      <w:r>
        <w:t>181. Moreover, the survey allowed for a direct analysis of competitive proximity between retail outlets, an analysis that presents a higher evidentiary value compared to market shares, as it is able to capture, unlike the latter, differentiation factors between retail outlets such as distance and type of stores. Furthermore, the analysis of competitive proximity through the survey assumes even greater significance considering that the definition of the relevant market from a product perspective is broadly cautious for the party, as it includes the retail outlets of large-scale distribution—excluding convenience stores—and discount stores, and therefore may underestimate market shares and concentration indices.</w:t>
      </w:r>
    </w:p>
    <w:p>
      <w:r>
        <w:t>182. Finally, it is noteworthy that markets where a high incentive to raise prices was found in the face of insignificant market shares were not automatically deemed critical. In fact, in each of these isochrones, an ad hoc analysis was conducted, which took into account a series of specific elements for the assessment, including the location of retail outlets relative to centroids, especially in areas where there is the greatest competitive pressure on the target retail outlets in light of some indications provided by respondents regarding, for example, the relevance of choice factors and walking distance.</w:t>
      </w:r>
    </w:p>
    <w:p>
      <w:r>
        <w:t>183. Regarding the alleged limitations of the ad hoc analysis conducted isochrone by isochrone, in which some factual evidence would not have been considered, it is important to emphasize that in the 6 isochrones deemed problematic, Bubbles is clearly the closest competitor, meaning the competitor that exerts the most stringent competitive constraint on the target company, in a context where the spending that would shift from the latter's retail outlets to other specialized stores overall is significantly higher than that which would be diverted to other sales channels.</w:t>
      </w:r>
    </w:p>
    <w:p>
      <w:r>
        <w:t>BULLETIN NO. 46 OF 27 DECEMBER 2022</w:t>
      </w:r>
    </w:p>
    <w:p>
      <w:r>
        <w:t>VII. THE CORRECTIVE MEASURES PROPOSED BY THE PARTIES</w:t>
      </w:r>
    </w:p>
    <w:p>
      <w:r>
        <w:t>184. In a communication dated November 29 of this year (doc. 136), Bubbles proposed structural measures to address the competitive concerns raised by the offices in the Communication of Investigative Findings.</w:t>
      </w:r>
    </w:p>
    <w:p>
      <w:r>
        <w:t>185. In particular, Bubbles committed to divesting the following Saponi&amp;Profumi retail outlets:</w:t>
        <w:br/>
        <w:t>- [omitted]</w:t>
        <w:br/>
        <w:t>as well as the following Acqua&amp;Sapone retail outlets:</w:t>
        <w:br/>
        <w:t>- [omitted].</w:t>
      </w:r>
    </w:p>
    <w:p>
      <w:r>
        <w:t>186. Bubbles commits to signing the transfer agreements for the business branches related to the above-listed retail outlets with [omitted] parties that are: (i) third parties and independent, including commercially, from Bubbles and Quattro and from affiliated companies, as well as from individuals at the top of the control chain of the Companies; (ii) that possess the financial means, proven relevant expertise, as well as the incentive and capacity to maintain and develop, on an efficiently scaled basis, the retail sale of hygiene and household cleaning products and personal care; (iii) that commit to operating the retail outlets in question according to the drugstore model, namely (a) as commercial establishments predominantly dedicated to the sale of hygiene and personal care items and (b) through the use of a specific brand used or to be used predominantly for such drugstore activities and independent of the brands that will be used, post-merger, by Bubbles.</w:t>
      </w:r>
    </w:p>
    <w:p>
      <w:r>
        <w:t>187. The divestiture of the retail outlets must occur within [omitted] from the date of notification of the authorization decision, subject to submission, for approval, to the Authority of the identity of the proposed buyers and the final drafts of the respective transfer agreements. In any case, Bubbles commits to sending the Authority a report on the status of negotiations by the expiration of [omitted], as well as notification of the eventual conclusion of the aforementioned agreements.</w:t>
      </w:r>
    </w:p>
    <w:p>
      <w:r>
        <w:t>188. If, within [omitted] from the date of notification of the authorization decision, the agreements related to the divestiture of the retail outlets (or other legally suitable agreements for the purpose) have not been executed, the Company will grant an irrevocable mandate to an independent and qualified trustee to proceed with the divestiture [omitted].</w:t>
      </w:r>
    </w:p>
    <w:p>
      <w:r>
        <w:t>189. Until the implementation of the proposed measures, Bubbles commits to preserving the economic operation, marketability, and competitiveness of the retail outlets subject to divestiture in accordance with good commercial practice.</w:t>
      </w:r>
    </w:p>
    <w:p>
      <w:r>
        <w:t>190. Finally, Bubbles commits not to reacquire—directly or indirectly, even through companies controlled by it or controlled by individuals at the top of its control chain—the ownership of the divested retail outlets, for a period of [omitted] years from the date of notification of the authorization decision of the transaction.</w:t>
      </w:r>
    </w:p>
    <w:p>
      <w:r>
        <w:t>191. According to Bubbles, the divestiture of the [10-20] listed retail outlets, according to the described modalities, is suitable to affect the market power of the Company in the considered isochrones, eliminating any concerns expressed in the CRI.</w:t>
      </w:r>
    </w:p>
    <w:p>
      <w:r>
        <w:t>VIII. ASSESSMENT OF THE PROPOSED MEASURES</w:t>
      </w:r>
    </w:p>
    <w:p>
      <w:r>
        <w:t>192. Below is a summary of the competitive impact of the structural corrective measures proposed by Bubbles, as described in the previous paragraph on the local markets for the retail sale of household cleaning and personal care products. Subsequently, the implementation modalities will be briefly discussed.</w:t>
      </w:r>
    </w:p>
    <w:p>
      <w:r>
        <w:t>VIII.I. IMPACT OF THE PROPOSED MEASURES</w:t>
      </w:r>
    </w:p>
    <w:p>
      <w:r>
        <w:t>193. The divestitures proposed by Bubbles, which concern a total of [10-20] retail outlets, are suitable to resolve all the competitive issues identified in the investigation with reference to the 15 local markets for the retail sale of home &amp; personal care products identified in the CRI.</w:t>
      </w:r>
    </w:p>
    <w:p>
      <w:r>
        <w:t>194. In particular, in 11 cases, the retail outlet that constitutes the centroid is being divested, a circumstance that leads to the elimination of the corresponding local markets, fundamentally resolving the identified competitive issues.</w:t>
      </w:r>
    </w:p>
    <w:p>
      <w:r>
        <w:t>195. Regarding the remaining 4 local markets, the proposed divestitures have a significant impact on the value of the diversion ratio and the GUPPI of Bubbles, bringing them close to their respective threshold values and allowing for a strengthening of the competitive pressure exerted by other specialized operators on the entity resulting from the concentration in those markets.</w:t>
      </w:r>
    </w:p>
    <w:p>
      <w:r>
        <w:t>196. In particular, it is noteworthy that the Company's commitment to sign divestiture contracts with [omitted] operators already active in the market for the sale of household and personal care products, so that they manage the retail outlets subject to divestiture according to the "drugstore" model, suggests that the effects of the concentration in the markets deemed critical from a competitive perspective will be neutralized by the strengthening or entry of a specialized competitor in those markets.</w:t>
      </w:r>
    </w:p>
    <w:p>
      <w:r>
        <w:t>VIII.II. CONCLUSIONS ON THE SUITABILITY OF THE PROPOSED MEASURES</w:t>
      </w:r>
    </w:p>
    <w:p>
      <w:r>
        <w:t>197. The divestitures proposed by Bubbles, allowing for the strengthening or entry of a specialized operator in the sale of home &amp; personal care products, are suitable to resolve the competitive concerns in the 15 local markets identified in the CRI, neutralizing the detrimental impact on final consumers that would otherwise result from the transaction under consideration.</w:t>
      </w:r>
    </w:p>
    <w:p>
      <w:r>
        <w:t>198. From the perspective of the proposed modalities for the aforementioned divestitures, it is deemed appropriate to impose a maximum deadline within which the Party is required to complete said divestitures. In particular, if the Party is to proceed with the divestitures [omitted], such divestitures must take place within [omitted] by the expiration of the first deadline set for the divestitures. Therefore, in order to avoid the timelines for the implementation of the proposed measures appearing excessively prolonged and with a view to ensuring a rapid restoration of competitive conditions, the overall period for the divestiture of the retail outlets in question cannot exceed [omitted].</w:t>
      </w:r>
    </w:p>
    <w:p>
      <w:r>
        <w:t>IX. CONCLUSIONS</w:t>
      </w:r>
    </w:p>
    <w:p>
      <w:r>
        <w:t>199. The investigation has established that the concentration under examination is likely to significantly impede effective competition, pursuant to Article 6, paragraph 1, of Law No. 287/90, even through the establishment or strengthening of a dominant position, in 15 local markets (corresponding to isochrones n. 4, 13, 14, 18, 34, 35, 38, 42, 43, 46, 49, 51, 53, 54, and 58) for the retail sale of household cleaning and personal care products.</w:t>
      </w:r>
    </w:p>
    <w:p>
      <w:r>
        <w:t>200. Based on the preceding considerations, it is believed that the concentration transaction under examination is susceptible to authorization only in the presence of measures suitable to sterilize its effects.</w:t>
      </w:r>
    </w:p>
    <w:p>
      <w:r>
        <w:rPr>
          <w:b/>
        </w:rPr>
        <w:t>[Pages 49–51]</w:t>
      </w:r>
    </w:p>
    <w:p>
      <w:r>
        <w:t>BULLETIN NO. 46 OF 27 DECEMBER 2022</w:t>
      </w:r>
    </w:p>
    <w:p>
      <w:r>
        <w:t>51. anti-competitive and to effectively safeguard the operation of competitive comparison pursuant to Article 6, paragraph 2, of Law No. 287 of 10 October 1990.</w:t>
      </w:r>
    </w:p>
    <w:p>
      <w:r>
        <w:t>CONSIDERED, therefore, based on the elements that emerged during the investigation, that the operation in question is likely to cause, pursuant to Article 6, paragraphs 1 and 2 of Law No. 287/90, a significant obstacle to competition, also through the creation and strengthening of a dominant position in the relevant markets identified above, such as to eliminate or substantially and durably reduce competition;</w:t>
      </w:r>
    </w:p>
    <w:p>
      <w:r>
        <w:t>CONSIDERED necessary to prescribe to Bubbles BidCo S.p.A., pursuant to Article 6, paragraph 2, of Law No. 287/90, measures necessary to prevent the realization of the anti-competitive effects caused by the implementation of the concentration in question;</w:t>
      </w:r>
    </w:p>
    <w:p>
      <w:r>
        <w:t>CONSIDERED, therefore, that the communicated concentration operation is authorized subject to the full, effective, and timely execution of all measures prescribed in this provision;</w:t>
      </w:r>
    </w:p>
    <w:p>
      <w:r>
        <w:t>CONSIDERED that any failure to implement the aforementioned measures results in the realization of a concentration operation in violation of the prohibition set forth in Article 6, paragraph 1, of Law No. 287/90;</w:t>
      </w:r>
    </w:p>
    <w:p>
      <w:r>
        <w:t>CONSIDERED, furthermore, that the non-competition obligations between the parties are ancillary to this operation only within the limits described above and that the Authority reserves the right to evaluate the aforementioned agreements that exceed the indicated limits;</w:t>
      </w:r>
    </w:p>
    <w:p>
      <w:r>
        <w:t>RESOLVES</w:t>
      </w:r>
    </w:p>
    <w:p>
      <w:r>
        <w:t>to authorize the communicated concentration operation, provided that Bubbles BidCo S.p.A. fully and effectively executes the following measures prescribed pursuant to Article 6, paragraph 2, of Law No. 287/90:</w:t>
      </w:r>
    </w:p>
    <w:p>
      <w:r>
        <w:t>a) transfer, by [omitted], through the sale to [omitted] third parties and independent subjects, of the [10-20] retail outlets listed in the annex to this provision;</w:t>
      </w:r>
    </w:p>
    <w:p>
      <w:r>
        <w:t xml:space="preserve">b) the buyers of the retail outlets must meet the following requirements: </w:t>
        <w:br/>
        <w:t xml:space="preserve">(i) be independent entities, also commercially, from Bubbles BidCo S.p.A. and from the companies connected to it, as well as from the individuals at the top of the company's control chain; </w:t>
        <w:br/>
        <w:t xml:space="preserve">(ii) possess the financial means, as well as the incentive and capacity to maintain and develop, on an efficient scale, the retail sale of household cleaning products and personal care products; </w:t>
        <w:br/>
        <w:t xml:space="preserve">(iii) preferably be primary operators in the sector active at the national level and, in any case, already active in the retail sale of household cleaning products and personal care products, with a view to managing the divested retail outlets according to the "drugstore" model; </w:t>
        <w:br/>
        <w:t>(iv) the acquisition of the divested retail outlets must not create new problems for competition, nor entail the risk that the implementation of the measures will be postponed;</w:t>
      </w:r>
    </w:p>
    <w:p>
      <w:r>
        <w:t>52. c) the agreements related to the transfer of the retail outlets referred to in measure a) must be submitted to the Authority for approval of the identity of the transferees and the agreements themselves, at least 1 month before the relevant deadlines mentioned above;</w:t>
      </w:r>
    </w:p>
    <w:p>
      <w:r>
        <w:t>d) if the buyers of the retail outlets to be divested referred to in point a) have not been identified by the deadlines provided therein, Bubbles must, by [omitted], divest the retail outlets in question [omitted], granting an irrevocable mandate to a designated trustee (divestiture trustee) for this purpose;</w:t>
      </w:r>
    </w:p>
    <w:p>
      <w:r>
        <w:t>e) Bubbles (or the independent entity appointed for the divestiture) must provide all necessary information about the retail outlets to be divested, to allow potential buyers to assess their value and presumed commercial capacity;</w:t>
      </w:r>
    </w:p>
    <w:p>
      <w:r>
        <w:t>f) Bubbles must preserve the economic operation, marketability, and competitiveness of the retail outlets subject to the measures, in accordance with good commercial practice, during the period between the date of authorization of the operation and the full validity and effectiveness of their divestiture;</w:t>
      </w:r>
    </w:p>
    <w:p>
      <w:r>
        <w:t>g) Bubbles must send to the Authority, within 2 months from the notification of this provision, an initial report regarding the execution of these measures. This report must contain, among other things, a detailed description of the retail outlets referred to in point a), specifying all elements that are part of the business branches subject to transfer. The Party must send a final report acknowledging the transfer of the retail outlets by [omitted], and promptly inform the Authority of any event that may affect measure a);</w:t>
      </w:r>
    </w:p>
    <w:p>
      <w:r>
        <w:t>h) if the Party has not entered into binding purchase agreements in the first phase of divestiture, within two weeks from the expiration of that first phase, the Party shall promptly appoint the trustee in charge of the divestiture (divestiture trustee) for the second phase and notify the Authority;</w:t>
      </w:r>
    </w:p>
    <w:p>
      <w:r>
        <w:t>i) the communication regarding the appointment of the divestiture trustee contains: 1) all necessary information to allow the Authority to verify that the trustee meets the requirements set forth in the subsequent point l); 2) the terms of the mandate and all necessary provisions to enable the trustee to fulfill its obligations under the imposed measures; 3) a draft work plan describing how the trustee will carry out the assigned tasks;</w:t>
      </w:r>
    </w:p>
    <w:p>
      <w:r>
        <w:t>j) the divestiture trustee is tasked with selling, [omitted], the retail outlets subject to divestiture to suitable buyers, within the deadline of [omitted], while ensuring the protection of the legitimate financial interests of the Party;</w:t>
      </w:r>
    </w:p>
    <w:p>
      <w:r>
        <w:t>k) the divestiture trustee transmits at any time, within the established deadlines, the information requested by the Authority regarding the progress of the divestiture process, potential buyers, and developments in negotiations with such subjects;</w:t>
      </w:r>
    </w:p>
    <w:p>
      <w:r>
        <w:t xml:space="preserve">53. l) the divestiture trustee must: </w:t>
        <w:br/>
        <w:t xml:space="preserve">(i) be independent from the Party and from the companies belonging to the same group; </w:t>
        <w:br/>
        <w:t xml:space="preserve">(ii) possess the necessary qualifications to carry out its mandate, for example, having sufficient experience in economic and financial matters; </w:t>
        <w:br/>
        <w:t>(iii) not be exposed to a conflict of interest; for this purpose, during the term of its mandate and for the following year, the aforementioned trustee may not have, nor accept, any assignment from Bubbles;</w:t>
      </w:r>
    </w:p>
    <w:p>
      <w:r>
        <w:t>m) the Authority verifies the possession of the aforementioned requirements by the trustee and, if such verification yields a negative result, may request its replacement;</w:t>
      </w:r>
    </w:p>
    <w:p>
      <w:r>
        <w:t>n) the Party provides, and also ensures that its consultants provide, the trustee with all cooperation, assistance, and information reasonably necessary to perform its tasks. For the performance of its tasks under this provision, the trustee has full and complete access to all books, records, documents, facilities, sites, and technical information necessary of the Party and the retail outlets subject to divestiture and also has the authority to request information from the staff of the Party or the retail outlets subject to divestiture;</w:t>
      </w:r>
    </w:p>
    <w:p>
      <w:r>
        <w:t>o) the Party will not reacquire - directly or indirectly, even through companies controlled by it or controlled by individuals at the top of its control chain - ownership of the divested retail outlets, for a period of [omitted] from the date of notification of this provision.</w:t>
      </w:r>
    </w:p>
    <w:p>
      <w:r>
        <w:t>The above measures will come into effect upon notification of the authorization provision for this operation.</w:t>
      </w:r>
    </w:p>
    <w:p>
      <w:r>
        <w:t>This provision will be notified to the interested parties and published in the Bulletin of the Competition and Market Authority.</w:t>
      </w:r>
    </w:p>
    <w:p>
      <w:r>
        <w:t>Against this provision, an appeal may be filed with the TAR of Lazio, pursuant to Article 135, paragraph 1, letter b), of the Code of Administrative Procedure (Legislative Decree No. 104 of 2 July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24 November 1971, within one hundred and twenty days from the date of notification of the provision itself.</w:t>
      </w:r>
    </w:p>
    <w:p>
      <w:r>
        <w:t xml:space="preserve">THE SECRETARY GENERAL THE PRESIDENT </w:t>
        <w:br/>
        <w:t>Guido Stazi Roberto Rustichelli</w:t>
      </w:r>
    </w:p>
    <w:p>
      <w:r>
        <w:rPr>
          <w:b/>
        </w:rPr>
        <w:t>[Pages 52–54]</w:t>
      </w:r>
    </w:p>
    <w:p>
      <w:r>
        <w:t xml:space="preserve">54 BULLETIN NO. 46 OF 27 DECEMBER 2022  </w:t>
        <w:br/>
        <w:t xml:space="preserve">Appendix A  </w:t>
        <w:br/>
        <w:t xml:space="preserve">List of sales outlets subject to transfer:  </w:t>
        <w:br/>
        <w:t>[omissis]</w:t>
      </w:r>
    </w:p>
    <w:p>
      <w:r>
        <w:t xml:space="preserve">BULLETIN NO. 46 OF 27 DECEMBER 2022 55  </w:t>
        <w:br/>
        <w:t xml:space="preserve">APPENDIX B  </w:t>
        <w:br/>
        <w:t xml:space="preserve">I. The dataset for the analysis of effects in local markets  </w:t>
        <w:br/>
        <w:t xml:space="preserve">201. The analysis of the effects of the operation at the local level started from the dataset with the isochrones provided by the notifying company, which underwent several checks during the investigation that led to a series of revisions regarding the revenues of the sales outlets to be considered in the various catchment areas (CA).  </w:t>
        <w:br/>
        <w:t xml:space="preserve">202. The dataset originally provided by the Party contained an estimate of the revenue of each sales outlet related to household and personal care products made by Nielsen, both for competing stores belonging to large-scale distribution chains and specialized stores, as well as for the sales outlets of the companies involved in the operation.  </w:t>
        <w:br/>
        <w:t xml:space="preserve">203. With the aim of capturing as accurately as possible the actual market positioning of the companies, particularly those involved in the operation, in the original dataset the estimated revenues were replaced with actual figures. Furthermore, given that the market for the product in question concerns the sale of personal and household care products, and specialized stores generally have a broader assortment, which also includes other categories of consumer goods, attributable for example to the so-called bazaar segment (cookware, kitchen textiles, etc.), the modifications made to the revenue data of the sales outlets contained in the original dataset were structured as follows:  </w:t>
        <w:br/>
        <w:t xml:space="preserve">– replacement of the estimated revenue with the actual revenue achieved in 2021 for the sales outlets of the acquiring company, the target, as well as for competing specialized chains (Maury’s, Risparmio Casa, Europlanet)  </w:t>
        <w:br/>
        <w:t xml:space="preserve">– application of a correction coefficient to the actual revenues mentioned above in order to consider only the share related to the sale of household and personal care products.  </w:t>
        <w:br/>
        <w:t xml:space="preserve">204. This corrective factor represents the average incidence of the sale of household and personal care products on the total revenue generated by each specialized chain in Sardinia.48  </w:t>
        <w:br/>
        <w:t xml:space="preserve">II. Structure of the survey and main objectives  </w:t>
        <w:br/>
        <w:t xml:space="preserve">205. For the purpose of evaluating the concentration in question, it was decided to conduct a survey among consumers, with the perspective of (i) capturing the actual substitutability relationships between the sales outlets affected by the operation in the geographic areas, totaling 35, characterized by the presence of horizontal overlaps; (ii) acquiring useful information for the definition of the market both in terms of product category and geographic scope.  </w:t>
        <w:br/>
        <w:t xml:space="preserve">206. Therefore, an "exit survey" was conducted, i.e., a survey carried out directly at the exit of the sales outlets of the target company - which constitute the stores (so-called centroids) on which the isochrones are centered - in the local markets where horizontal overlaps exist. At each of these sales outlets, about one hundred questionnaires were administered, totaling 3,500 customers interviewed.  </w:t>
        <w:br/>
        <w:t>48 The weights applied to the actual revenues are as follows: Risparmio Casa: [60-65]%; Gruppo Maury’s: [40-45]%; Saponi&amp;Profumi: [90-95]%; Acqua&amp;Sapone: [90-95]%; Europlanet: [40-45]%.</w:t>
      </w:r>
    </w:p>
    <w:p>
      <w:r>
        <w:t xml:space="preserve">56 BULLETIN NO. 46 OF 27 DECEMBER 2022  </w:t>
        <w:br/>
        <w:t xml:space="preserve">207. In relation to the first objective, which consists of acquiring information on how consumers perceive the competitive proximity ("closer competitor") of different stores within a specific geographic area, each consumer was asked to indicate which retail outlet they would turn to as a substitute for the store where the interview was conducted, if they had known—before heading to the latter—that it would be closed.49  </w:t>
        <w:br/>
        <w:t xml:space="preserve">208. In relation to the second objective, which consists of acquiring evidence for the definition of the relevant product market,50 the so-called SSNIP test was conducted by processing the survey responses, aimed at investigating the reaction of the same to a price increase—set at 10% in this case—at the sales outlets in question.  </w:t>
        <w:br/>
        <w:t xml:space="preserve">209. The survey allowed for the examination of consumer reactions to a price increase at specialized chains, by presenting consumers with a set of questions aimed at understanding whether i) they would potentially turn to another type of sales outlet for at least part of their purchases and, if so, ii) which type of sales outlet they would shift their purchases to, as well as iii) the portion of spending they would redirect.  </w:t>
        <w:br/>
        <w:t xml:space="preserve">III. The diversion ratios and the incentive to raise prices  </w:t>
        <w:br/>
        <w:t xml:space="preserve">210. In general, the diversion ratios between the Parties indicate how much of the total sales lost by the stores of one of the two (following a deterioration of their offer in terms of price, quality, assortment, services offered) shift to the sales outlets belonging to the distribution chain of the other. In this context, the higher the diversion ratios between the companies subject to the concentration, the higher the sales that the concentration will allow to internalize, making price increases profitable.51  </w:t>
        <w:br/>
        <w:t xml:space="preserve">211. In this specific case, the degree of substitutability of each sales outlet within each isochrone was quantified concerning the respective centroids, which, as already mentioned, consist of the sales outlets of the target company.  </w:t>
        <w:br/>
        <w:t xml:space="preserve">212. By administering the questionnaires directly at the exit of the sales outlets, it was possible to calculate the actual diversion ratios in the local markets where overlaps between the Parties exist, reconstructing a distribution of the "second choices" of customers who currently use the target sales outlets, ultimately obtaining the distribution of spending of the interviewed customers among the alternative sales outlets to the centroid.52  </w:t>
        <w:br/>
        <w:t xml:space="preserve">213. Starting from this distribution, which provides an indication of the competitive constraint exerted by the individual sales outlets present in the market on that of the target, which constitutes the  </w:t>
        <w:br/>
        <w:t xml:space="preserve">49 For any reason and for a period of 6 months.  </w:t>
        <w:br/>
        <w:t xml:space="preserve">50 Regarding the geographical definition, details regarding the evidence emerged from the survey on the geographical dimension of the market are reported in the text.  </w:t>
        <w:br/>
        <w:t xml:space="preserve">51 This is because before the concentration, if one of the Parties had raised prices, it would have lost a portion of its sales to the advantage (among others, also) of the other Party. After the concentration, this competitive constraint is eliminated, so that the new entity has a greater incentive to increase the selling prices of its products. In a context of differentiated products, the strength of the competitive constraint eliminated by the concentration is stronger the stronger the substitutability relationship between the products (in this context, the sales chains) of the Parties.  </w:t>
        <w:br/>
        <w:t>52 In particular, question D13 of the survey was used.</w:t>
      </w:r>
    </w:p>
    <w:p>
      <w:r>
        <w:rPr>
          <w:b/>
        </w:rPr>
        <w:t>[Pages 55–57]</w:t>
      </w:r>
    </w:p>
    <w:p>
      <w:r>
        <w:t>BULLETIN NO. 46 OF 27 DECEMBER 2022</w:t>
      </w:r>
    </w:p>
    <w:p>
      <w:r>
        <w:t>57. By measuring the centroid, it is possible to assess the overall competitive pressure exerted by competitors, and in particular by the buyer, by aggregating the spending that shifts towards their sales outlets and relating it to the total spending made by respondents at the centroid.53</w:t>
      </w:r>
    </w:p>
    <w:p>
      <w:r>
        <w:t>∑ (cid:26)(cid:27)(cid:28)(cid:26)(cid:29)</w:t>
        <w:br/>
        <w:t>(cid:15)(cid:3) =</w:t>
        <w:br/>
        <w:t>(cid:9) (cid:4)(cid:30) (cid:22)(cid:23) (cid:31)(cid:32)(cid:33)(cid:21)(cid:5) (cid:9)∈(cid:24)</w:t>
        <w:br/>
        <w:t>(cid:22)(cid:23) (cid:24) ∑ (cid:26)(cid:27)(cid:28)(cid:26)(cid:29)</w:t>
        <w:br/>
        <w:t>(cid:10)∈(cid:35) (cid:22)(cid:23)</w:t>
      </w:r>
    </w:p>
    <w:p>
      <w:r>
        <w:t>where:</w:t>
        <w:br/>
        <w:t>- (cid:36) ∈(cid:37) indicates the sales outlets that belong to the chain of operator k;</w:t>
        <w:br/>
        <w:t>- (cid:38) indicates the centroid of the local market j;</w:t>
        <w:br/>
        <w:t xml:space="preserve">- (cid:39) </w:t>
        <w:br/>
        <w:t>- (cid:40)∈(cid:41) indicates one of the N respondents at the centroid of the local market j ( (cid:38))</w:t>
      </w:r>
    </w:p>
    <w:p>
      <w:r>
        <w:t>214. By directly calculating the actual DRs in the isochrones where overlaps between the Parties occur, it was possible to disregard the definition of the market from a product perspective and also consider channels such as online and convenience stores, which do not belong to it.</w:t>
      </w:r>
    </w:p>
    <w:p>
      <w:r>
        <w:t>215. Finally, based on the DRs thus calculated, the incentive for the target sales outlets to raise prices—following the operation—was quantified based on the indicator known as the "Gross Upward Pricing Pressure Indicator" or GUPPI according to the following formula:</w:t>
      </w:r>
    </w:p>
    <w:p>
      <w:r>
        <w:t>(cid:2)</w:t>
        <w:br/>
        <w:t>(cid:30)(cid:22)(cid:48)</w:t>
        <w:br/>
        <w:t>(cid:42)(cid:43)(cid:2)(cid:2)(cid:1) =(cid:15)(cid:3) ∗(cid:13) ∗</w:t>
        <w:br/>
        <w:t>(cid:44)(cid:30)(cid:33)(cid:45)(cid:32)(cid:44)(cid:46)(cid:47)(cid:30)(cid:22)(cid:48) (cid:44)(cid:30)(cid:33)(cid:45)(cid:32)(cid:44)(cid:46)(cid:47)(cid:30)(cid:22)(cid:48) (cid:30)(cid:22)(cid:48) (cid:2)</w:t>
        <w:br/>
        <w:t>(cid:44)(cid:30)(cid:33)(cid:45)(cid:32)(cid:44)</w:t>
      </w:r>
    </w:p>
    <w:p>
      <w:r>
        <w:t>where:</w:t>
        <w:br/>
        <w:t>- (cid:13) is the percentage contribution margin (i.e., calculated with respect to variable costs) of the buyer, which in this case is Bubbles;54</w:t>
        <w:br/>
        <w:t>- (cid:49)(cid:50)(cid:51)(cid:52) is the ratio of the average prices charged by the buyer (Bubbles) compared to those of the target (Quattro).55</w:t>
      </w:r>
    </w:p>
    <w:p>
      <w:r>
        <w:t>IV. The results of the SSNIP test</w:t>
      </w:r>
    </w:p>
    <w:p>
      <w:r>
        <w:t>216. The test was implemented through the so-called Critical Loss Analysis, which allows verifying whether, following a price increase (in this case of 10%), the effect of expanding the unit margin on the quantities that are still sold (margin effect) prevails or the effect of reducing these quantities due to the loss of demand that is redirected to other sales outlets (quantity effect). According to this approach, a so-called critical loss is identified that makes the two effects equivalent. Consequently, any actual loss greater than the critical loss (CL*)—which depends on both the percentage increase in prices and the margins achieved by the hypothetical monopolist before the increase56—does not make the price increase profitable and thus leads to identifying a broader market than initially considered.</w:t>
      </w:r>
    </w:p>
    <w:p>
      <w:r>
        <w:t>217. In this regard, the SSNIP indicates that the actual loss is almost in line with the critical loss. In fact, the percentage of actual spending by specialized stores that would be redirected to other channels is equal to 20.98%57, a value of the same order of magnitude as the critical loss, which is equal to 20.54%.</w:t>
      </w:r>
    </w:p>
    <w:p>
      <w:r>
        <w:t>218. The fact that the values are so close to each other indicates that one cannot definitively exclude the opportunity to adopt the narrower definition of the market, which includes only specialized stores. However, in light of the uncertainty of the SSNIP outcome and also from a precautionary perspective for the Party, it is deemed appropriate to interpret the results of the test in a way that does not exclude a broader definition of the market, which also includes a portion of the sales outlets of the GDO.</w:t>
      </w:r>
    </w:p>
    <w:p>
      <w:r>
        <w:t>219. Based on the outcome of the SSNIP test, among the channels to which spending shifts, according to the results of the survey, hypermarkets/large supermarkets and discount stores constitute the first and second in order of importance, with very similar shifting percentages of 36% and 34.7%, respectively. Other channels follow at a wide distance, particularly online, GDO sales outlets other than hypermarkets, and other types of stores (local market, neighborhood store, pharmacy, etc.) attract 13.6%, 9.6%, and 6% of the spending that shifts from specialized stores, respectively. In light of these elements, it clearly emerges that the aforementioned channels, particularly online and convenience stores, do not belong to the product market.</w:t>
      </w:r>
    </w:p>
    <w:p>
      <w:r>
        <w:t>56 Based on the following formula: CL*=t/(m+t), where m are the margins and t the price increase. For the quantification of the margin, the average (equal to [35-40]%) of the margins achieved in 2021 by Bubbles and Quattro was considered, weighted by their revenue share.</w:t>
      </w:r>
    </w:p>
    <w:p>
      <w:r>
        <w:t>57 The actual loss was calculated as the ratio between the substituted spending and the total spending made by respondents. For the calculation of the substituted spending, the information obtained from the responses to questions D4 and D12 was used, the latter in particular to derive the percentage of substituted spending. This percentage was obtained as an intermediate value of the proposed ranges, assuming a spending percentage of 50% for those who were unable to indicate the substitution percentage.</w:t>
      </w:r>
    </w:p>
    <w:p>
      <w:r>
        <w:t>BULLETIN NO. 46 OF 27 DECEMBER 2022</w:t>
      </w:r>
    </w:p>
    <w:p>
      <w:r>
        <w:t>C12505 - LOTTOMATICA/BETFLAG</w:t>
        <w:br/>
        <w:t>Provision No. 30405</w:t>
        <w:br/>
        <w:t>THE ANTITRUST AUTHORITY</w:t>
      </w:r>
    </w:p>
    <w:p>
      <w:r>
        <w:t>IN ITS MEETING of December 6, 2022;</w:t>
      </w:r>
    </w:p>
    <w:p>
      <w:r>
        <w:t>HEARD the Rapporteur, Professor Michele Ainis;</w:t>
      </w:r>
    </w:p>
    <w:p>
      <w:r>
        <w:t>HAVING REGARD TO Regulation (EC) No. 139/2004 of the Council, of January 20, 2004, concerning the control of concentrations between undertakings;</w:t>
      </w:r>
    </w:p>
    <w:p>
      <w:r>
        <w:t>HAVING REGARD TO Law No. 287 of October 10, 1990;</w:t>
      </w:r>
    </w:p>
    <w:p>
      <w:r>
        <w:t>HAVING REGARD TO Presidential Decree No. 217 of April 30, 1998;</w:t>
      </w:r>
    </w:p>
    <w:p>
      <w:r>
        <w:t>HAVING REGARD TO the communication from Lottomatica S.p.A., received on November 18, 2022;</w:t>
      </w:r>
    </w:p>
    <w:p>
      <w:r>
        <w:t>HAVING REGARD TO the documentation on file;</w:t>
      </w:r>
    </w:p>
    <w:p>
      <w:r>
        <w:t>CONSIDERED the following:</w:t>
      </w:r>
    </w:p>
    <w:p>
      <w:r>
        <w:t>I. THE PARTIES</w:t>
      </w:r>
    </w:p>
    <w:p>
      <w:r>
        <w:t>1. Lottomatica S.p.A. (hereinafter, "Lottomatica" or "Buyer"), previously named Gamenet Group S.p.A. (hereinafter, "Gamenet Group"), is the company at the head of the eponymous group active in the lawful gaming business through collection from entertainment and amusement machines (Amusement with Prizes "AWP" and Videolotteries "VLT"), as well as collection from betting and online games (i.e., casino, poker, bingo, skill games), based on concessions granted by the Customs and Monopolies Agency (hereinafter, "ADM"). Lottomatica also manages gaming halls and AWP owned by it.</w:t>
      </w:r>
    </w:p>
    <w:p>
      <w:r>
        <w:t>Lottomatica is 100% controlled by Gamma Bidco S.p.A. (hereinafter, "Gamma Bidco"), which in turn is controlled by several investment funds managed by companies affiliated with Apollo Management L.P. (hereinafter and collectively, "Apollo"), which is part of Apollo Global Management Inc., a leading company in the management of alternative investments worldwide.</w:t>
      </w:r>
    </w:p>
    <w:p>
      <w:r>
        <w:t>Lottomatica is therefore indirectly controlled by a series of Apollo funds and is the only company among those controlled by the Apollo funds that is active in the market for the collection of games and betting in Italy.</w:t>
      </w:r>
    </w:p>
    <w:p>
      <w:r>
        <w:t>1 Following the acquisition of Lottomatica Scommesse S.r.l. and Lottomatica Videolot Rete S.p.A. by the then Gamenet Group, which marked the birth of the current Lottomatica group, a reorganization of the group's activities related to betting and online games was carried out, which involved (i) the merger by incorporation (effective from June 1, 2022) of Lottomatica Scommesse S.r.l. into Goldbet S.p.A.—the other company in the group that holds the ADM concessions for the management of betting and online gaming services—and (ii) the consequent renaming of the latter to GBO Italy S.p.A.</w:t>
      </w:r>
    </w:p>
    <w:p>
      <w:r>
        <w:t>2 The term "Apollo" refers, in fact, to Apollo Management L.P., its affiliated companies, and the investment funds managed by its affiliated companies.</w:t>
      </w:r>
    </w:p>
    <w:p>
      <w:r>
        <w:rPr>
          <w:b/>
        </w:rPr>
        <w:t>[Pages 58–60]</w:t>
      </w:r>
    </w:p>
    <w:p>
      <w:r>
        <w:t>60 BULLETIN NO. 46 OF 27 DECEMBER 2022</w:t>
      </w:r>
    </w:p>
    <w:p>
      <w:r>
        <w:t>2. Lottomatica, during 2021, achieved a consolidated worldwide revenue of approximately [700-1,000]* million euros, entirely generated in Italy. Gamma Bidco, during 2020, achieved a consolidated revenue of approximately [100-517] million euros, entirely generated in Italy. Apollo, during 2021, achieved a total worldwide revenue of approximately [90-100] billion euros, of which approximately [10-20] billion euros were generated in Europe and approximately [2-3] billion euros in Italy.</w:t>
      </w:r>
    </w:p>
    <w:p>
      <w:r>
        <w:t>3. BetFlag S.p.A. (hereinafter, “BetFlag” or “Target”) – whose share capital is entirely held by the holding GST Holding S.r.l. (“GST”), which in turn is 100% controlled by the holding T Group S.r.l. (“T Group”) – is a company active in Italy in the remote collection of bets and online games based on a specific concession granted by ADM.</w:t>
      </w:r>
    </w:p>
    <w:p>
      <w:r>
        <w:t>4. BetFlag, during 2021, achieved a worldwide revenue of approximately [31-100] million euros, entirely generated in Italy. BetFlag, the subject of acquisition, is active, based on a specific concession granted by ADM, solely in the remote collection (i) of bets (sports, horse racing, and virtual) and (ii) of online games (casino, poker, bingo, skill games), activities also carried out by the Lottomatica group. Unlike the Lottomatica group, BetFlag is not active in the collection from amusement and entertainment machines AWP and VLT.</w:t>
      </w:r>
    </w:p>
    <w:p>
      <w:r>
        <w:t>II. DESCRIPTION OF THE TRANSACTION</w:t>
      </w:r>
    </w:p>
    <w:p>
      <w:r>
        <w:t>5. On November 16, 2022, GBO S.p.A. (hereinafter “GBO”), 100% controlled by Lottomatica, on one side, and GST and T Group (jointly the “Seller”), on the other side, entered into a Share Purchase Agreement (the “Agreement”) under which GBO will acquire the entire share capital of BetFlag. As a result of the transaction, Lottomatica will indirectly acquire the entire share capital and thus the exclusive control of BetFlag.</w:t>
      </w:r>
    </w:p>
    <w:p>
      <w:r>
        <w:t>6. The share purchase agreement contains restrictions in the form of a non-competition agreement and non-solicitation and hiring clauses for a period of three years from the date of closing of the transaction, as well as extensions of the duration of certain specific licensing and supply agreements.</w:t>
      </w:r>
    </w:p>
    <w:p>
      <w:r>
        <w:t>II.1. The non-competition agreement</w:t>
      </w:r>
    </w:p>
    <w:p>
      <w:r>
        <w:t>7. In detail, pursuant to Article 16.1(a) of the Agreement, for a period of three years from the date of closing of the transaction, the Seller agrees not to engage, directly and/or indirectly, including through controlled companies (including Media System Technologies S.r.l., hereinafter, “MST,” a company wholly controlled by the Seller that provides BetFlag with certain software modules and services), controlling or subject to common control, in any of the following activities in competition with the activities currently carried out by BetFlag in the relevant territory (which includes Italy, Vatican City, and San Marino, the “Territory”):</w:t>
        <w:br/>
        <w:t>a) the performance of the activities currently carried out by BetFlag, namely the collection of bets and online games;</w:t>
        <w:br/>
        <w:t>b) the provision of assistance or consulting in relation to, or in competition with, the activities currently carried out by BetFlag;</w:t>
        <w:br/>
        <w:t>c) the direct or indirect holding of shares in companies or other entities that carry out the activities currently carried out by BetFlag;</w:t>
        <w:br/>
        <w:t>d) the solicitation of BetFlag's "player" customers to purchase products or services in competition with those of BetFlag, as well as the solicitation of its suppliers to sell goods or services to competitors of BetFlag;</w:t>
        <w:br/>
        <w:t>e) the hiring and/or establishment of employment and/or collaboration relationships with competitors of BetFlag.</w:t>
      </w:r>
    </w:p>
    <w:p>
      <w:r>
        <w:t>II.2. The non-solicitation and hiring clauses</w:t>
      </w:r>
    </w:p>
    <w:p>
      <w:r>
        <w:t>8. As for the non-solicitation and hiring clauses provided in the Agreement, they are applicable to both the Seller and the Buyer.</w:t>
      </w:r>
    </w:p>
    <w:p>
      <w:r>
        <w:t>9. More precisely, pursuant to Article 16.3(a) of the Agreement, for a period of three years from the date of closing of the transaction, the Seller agrees – for behaviors carried out directly and/or indirectly, including through controlled, controlling, or commonly controlled companies – to:</w:t>
        <w:br/>
        <w:t>a) not hire or initiate collaboration relationships with individuals who hold the position of directors, employees, or collaborators of BetFlag;</w:t>
        <w:br/>
        <w:t>b) not induce, solicit, or otherwise encourage, directly or indirectly, any of the individuals referred to in (a) to terminate or dissolve their relationship with BetFlag to establish a collaboration or employment relationship of a subordinate or autonomous nature with a third party;</w:t>
        <w:br/>
        <w:t>c) not interfere in any way with the relationship between the individuals referred to in (a) and BetFlag.</w:t>
      </w:r>
    </w:p>
    <w:p>
      <w:r>
        <w:t>10. Furthermore, due to the fact that post-transaction companies of the group controlled by the Seller will continue to engage in activities related to the gaming sector, albeit not in competition with those of BetFlag, namely not consisting of the collection of bets and online games, Article 16.4(a) of the Agreement provides that a non-solicitation and hiring obligation identical to that imposed on the Seller as described above shall also be assumed by Lottomatica, the Buyer, with respect to individuals who hold the position of directors, employees, or collaborators of the companies of the group controlled by the Seller.</w:t>
      </w:r>
    </w:p>
    <w:p>
      <w:r>
        <w:t>II.3. The extensions of the duration of licensing and supply agreements</w:t>
      </w:r>
    </w:p>
    <w:p>
      <w:r>
        <w:t>11. To carry out its activity of collecting bets and online games, BetFlag currently uses software modules and services made available to it by MST (a company wholly controlled by the Seller), based on a series of intra-group contracts. Given that the software modules and services provided by MST are necessary for BetFlag to carry out its activity, the Parties have agreed to extend the duration of the licensing agreements (software modules) up to twenty years, with an initial exclusive period of four years in favor of BetFlag within the Territory, and until December 31, 2026, for the supply agreements (services), expiring in 2023, with a series of further modifications and/or integrations.</w:t>
      </w:r>
    </w:p>
    <w:p>
      <w:r>
        <w:t>III. QUALIFICATION OF THE TRANSACTION</w:t>
      </w:r>
    </w:p>
    <w:p>
      <w:r>
        <w:t>12. The communicated transaction constitutes a concentration pursuant to Article 5, paragraph 1, letter b), of Law No. 287/90, as it aims at acquiring control of a company. It falls within the scope of application of Law No. 287/90, as the conditions set out in Article 1 of Regulation EC 139/2004 do not apply, and it is subject to the obligation of prior notification provided for by Article 16, paragraph 1, of the same law, as the total revenue generated in the last financial year at the national level by the group of companies involved was over 517 million euros and the total revenue generated, in the last financial year at the national level, individually by at least two of the companies involved was over 31 million euros.</w:t>
      </w:r>
    </w:p>
    <w:p>
      <w:r>
        <w:t>13. Regarding the restrictions described above, the following is represented. The non-competition agreement and the non-solicitation and hiring clauses imposed on the Seller as described above constitute restrictions directly connected and necessary for the realization of the transaction, as they are strictly functional to safeguarding the value of the acquired company, provided that they are limited in terms of goods to the services offered by the acquired companies and that they have a duration not exceeding the period of 2 years. As for the non-solicitation and hiring clauses imposed on the Buyer, such restrictions cannot be considered ancillary to the communicated transaction to the extent that they do not appear functional to the need to preserve the value of the company subject to acquisition. Regarding the extensions of the duration of certain specific licensing and supply agreements, they are considered ancillary, provided they can be deemed directly connected and necessary to the communicated concentration and, furthermore, for supply contracts, provided they do not foresee a period exceeding 5 years. In this case, such extensions benefit the Buyer and respond to the need to ensure continuity in the supply of the services necessary for the conduct of the acquired activity.</w:t>
      </w:r>
    </w:p>
    <w:p>
      <w:r>
        <w:t>IV. EVALUATION OF THE CONCENTRATION</w:t>
      </w:r>
    </w:p>
    <w:p>
      <w:r>
        <w:t>14. The gaming and betting sector includes the upstream activity of production, development, and supply of games and betting services and lotteries and the downstream activity of collection from games and bets. With reference to the upstream activity of production, development, and supply, the Authority has not so far provided a precise delimitation in terms of goods and geography, leaving the definition of the relevant market open. With reference, instead, to the downstream activity of collection, based on the differentiations observed from the demand side, in terms of penetration of games and...</w:t>
      </w:r>
    </w:p>
    <w:p>
      <w:r>
        <w:rPr>
          <w:b/>
        </w:rPr>
        <w:t>[Pages 61–63]</w:t>
      </w:r>
    </w:p>
    <w:p>
      <w:r>
        <w:t>BULLETIN NO. 46 OF 27 DECEMBER 2022</w:t>
      </w:r>
    </w:p>
    <w:p>
      <w:r>
        <w:t>63. In terms of user profiles, as well as in relation to the peculiarities in the offering, concerning the characteristics of the products and the impact of regulation on the competitive levers used by operators, the Authority, on the occasion of the concentration operation C12371 - GAMENET GROUP/LOTTOMATICA VIDEOLOT RETE-LOTTOMATICA SCOMMESSE, deemed there to be sufficient elements to identify the following relevant markets, distinct for the different gaming products, all three of national dimensions: i) the market for revenue from amusement and entertainment machines AWP and VLT; ii) the market for revenue from betting, which includes both physical agencies and online, and the following types of bets: sports, horse racing, and virtual events; and iii) the market for revenue from online games, which includes all the different categories of online gaming: Online Casino, Online Poker, Online Bingo, and Online Skill Games.</w:t>
      </w:r>
    </w:p>
    <w:p>
      <w:r>
        <w:t>15. The operation in question has effects both in relation to the production, development, and supply of games and betting and lottery services, and in relation to the collection of games and bets, with particular regard to the collection of bets and that from online games, as Betflag, unlike the Lottomatica group, is not active in the collection from amusement and entertainment machines AWP and VLT.</w:t>
      </w:r>
    </w:p>
    <w:p>
      <w:r>
        <w:t>IV.I. Production, Development, and Supply of Games and Betting and Lottery Services</w:t>
      </w:r>
    </w:p>
    <w:p>
      <w:r>
        <w:t>16. Regarding the market for the production, development, and supply of games and betting and lottery services, including the underlying technological solutions and services, it should be noted that, while Betflag is not active in this market, Lottomatica is active based on the following. In the first half of 2022, Lottomatica acquired 60% of the share capital of Giocaonline S.r.l. (hereinafter, "Giocaonline"), which develops and produces casino games and skill games (but not poker games) that it then supplies to numerous concessionaires of online gaming collection in Italy, including Betflag and the Lottomatica group itself.</w:t>
      </w:r>
    </w:p>
    <w:p>
      <w:r>
        <w:t>17. However, the vertical relationship that will exist between Giocaonline and Betflag following the operation will not result in any anti-competitive foreclosure effects at the input level and at the customer level, given that, according to Lottomatica's statements:</w:t>
        <w:br/>
        <w:t>(a) Giocaonline will continue to supply its games to the numerous concessionaires to whom it currently supplies them. Moreover, Betflag in the downstream market of online gaming collection is a small operator (see infra), whereas Giocaonline supplies its products to all the main operators in the online gaming collection market, namely in addition to Lottomatica, Flutter/Sisal, Entain Plc, Snaitech S.p.A., SKS365 Malta Ltd, etc.;</w:t>
        <w:br/>
        <w:t>(b) post-operation, Betflag will continue to "source" new games also from competitors of Giocaonline. In any case, even if Betflag were to meet its gaming needs solely from Giocaonline (which it does not), Giocaonline's competitors would still have access to all the numerous remaining concessionaires of online gaming collection, or to the vast majority of demand.</w:t>
      </w:r>
    </w:p>
    <w:p>
      <w:r>
        <w:t xml:space="preserve">10 See. Boll. n. 21/2021, provv. n. 29652.  </w:t>
        <w:br/>
        <w:t xml:space="preserve">11 This was a below-threshold operation, which was therefore not notified to the Authority pursuant to Article 16, paragraph 1, of Law No. 287/1990.  </w:t>
        <w:br/>
        <w:t xml:space="preserve">12 Entain Plc refers to the following brands and websites: "Eurobet," "Bwin," "Gioco Digitale," and "Party Poker."  </w:t>
        <w:br/>
        <w:t>13 SKS365 Malta Ltd refers to the brand and website "PlanetWin365."</w:t>
      </w:r>
    </w:p>
    <w:p>
      <w:r>
        <w:t>64. In any case, it does not appear necessary to proceed with the definition from a product and geographic perspective of the market in question, since, based on the aforementioned considerations, the operation is not likely to raise significant vertical competition issues, regardless of the definition of the relevant market adopted.</w:t>
      </w:r>
    </w:p>
    <w:p>
      <w:r>
        <w:t>IV.II. Collection Activities from Games and Bets</w:t>
      </w:r>
    </w:p>
    <w:p>
      <w:r>
        <w:t>A) Betting Collection Activities</w:t>
      </w:r>
    </w:p>
    <w:p>
      <w:r>
        <w:t>19. In the national market for betting collection, the operation in question involves a horizontal overlap in the following terms.</w:t>
      </w:r>
    </w:p>
    <w:p>
      <w:r>
        <w:t>20. Lottomatica and Betflag are, in fact, both active in this market, and the estimated market shares held in 2021 are for Lottomatica equal to [15-20%] and for Betflag equal to [1-5%]. Therefore, the post-merger share will be equal to [20-25%].</w:t>
      </w:r>
    </w:p>
    <w:p>
      <w:r>
        <w:t>21. This share, in itself not particularly high, does not appear to be detrimental to competition, as there are other operators with significant market shares, such as Bet365 Group Ltd (with [15-20%]), Flutter/Sisal (with [10-15%]), Snaitech S.p.A. (with [10-15%]), and subsequently the competitors: Entain Plc and SKS365 Malta Ltd.</w:t>
      </w:r>
    </w:p>
    <w:p>
      <w:r>
        <w:t>22. Furthermore, it should also be considered that the increase compared to the position held by Lottomatica before the operation is minimal, equal to only about [1-5%] and mostly related to the segment represented by horse racing bets, which represents just over [1-5%] of the total betting collection in Italy.</w:t>
      </w:r>
    </w:p>
    <w:p>
      <w:r>
        <w:t>23. Betflag, in fact, is a small operator in the betting collection market, primarily operating in the horse racing segment and through the online channel. Moreover, the combined share of the Parties over the last three years (2019-2020-2021) has remained virtually constant and is around [20-25%].</w:t>
      </w:r>
    </w:p>
    <w:p>
      <w:r>
        <w:t>24. Finally, it is also important to note that in the market in question, Lottomatica's market share is declining compared to the previous year (2020), equal to [20-25%], with reference to betting collection values in Italy that significantly increased from about €12.9 billion in 2020 to about €16.3 billion in 2021.</w:t>
      </w:r>
    </w:p>
    <w:p>
      <w:r>
        <w:t>25. In light of the above considerations, the operation in question does not appear likely to produce detrimental effects on competition, as it does not result in substantial changes to the structure of the betting collection market.</w:t>
      </w:r>
    </w:p>
    <w:p>
      <w:r>
        <w:t>B) Online Gaming Collection Activities</w:t>
      </w:r>
    </w:p>
    <w:p>
      <w:r>
        <w:t>26. In the national market for online gaming collection, the operation results in a horizontal overlap between the Parties. In fact, Lottomatica and Betflag are both active in this market, and the market shares held in 2021 are for Lottomatica equal to [10-15%] and for Betflag equal to [1-5%]. Therefore, the post-merger share will be equal to [10-15%].</w:t>
      </w:r>
    </w:p>
    <w:p>
      <w:r>
        <w:t>27. Following the operation, Lottomatica will continue to compete with numerous other significant and qualified operators active in online gaming collection with shares equal to or similar to Lottomatica, such as Flutter/Sisal (with [20-25%]), the leading operator in the market in question, Entain Plc (with [10-15%]), Snaitech S.p.A. (with [5-10%]), 888 Holdings Plc (with [5-10%]), and SKS365 Malta Ltd (with [1-5%]) and with a wide range of national and multinational operators, with smaller shares compared to the aforementioned competitors, but which will also exert a strong competitive constraint on the Parties.</w:t>
      </w:r>
    </w:p>
    <w:p>
      <w:r>
        <w:t>28. Therefore, the post-merger market share of Lottomatica in the national online gaming market does not seem critical for competition as there are other operators with market shares greater than or similar to that of Lottomatica, and there are numerous operators present in the market in question.</w:t>
      </w:r>
    </w:p>
    <w:p>
      <w:r>
        <w:t>29. In fact, there is a high number of authorized remote gaming concessionaires active in providing online games in Italy.</w:t>
      </w:r>
    </w:p>
    <w:p>
      <w:r>
        <w:t>30. To operate in the online gaming sector, no sophisticated technology is required, and it is relatively easy to launch a new online gaming offer or expand an existing gaming offer. There are many software providers that provide the necessary basic technology and allow new operators to enter the online gaming collection market quickly and easily, at low costs.</w:t>
      </w:r>
    </w:p>
    <w:p>
      <w:r>
        <w:t>31. Furthermore, the online gaming market in Italy is characterized by competitive dynamics also for the following reasons:</w:t>
        <w:br/>
        <w:t>i. switching from one operator to another is easy and quick. Opening online accounts with online gaming operators is free and easy, and customers are incentivized to open new accounts due to a wide range of offers available in the market;</w:t>
        <w:br/>
        <w:t>ii. there are high levels of customer "churn" in favor of competing operators. Online gaming operators are vulnerable to high churn rates of their customer base in favor of other competing operators. Losing customers to competitors stimulates strong competition among online gaming operators to acquire, retain, and reacquire customers;</w:t>
        <w:br/>
        <w:t>iii. there is intense rivalry based on price and non-price parameters. Price is an important factor in customers' decision-making processes: price competition in online gaming occurs, among other things, in the context of promotions. Promotions or offers often rank among the main criteria considered by customers when choosing an operator, but product quality is also a key factor in acquiring, reacquiring, and retaining customers. In fact, most operators compete strongly on product, and the best ideas are widely replicated in the market.</w:t>
      </w:r>
    </w:p>
    <w:p>
      <w:r>
        <w:t>32. Therefore, based on the evidence gathered and the preceding considerations, the operation in question is not suitable to produce significant effects from a competitive perspective in the online gaming collection market.</w:t>
      </w:r>
    </w:p>
    <w:p>
      <w:r>
        <w:t>33. In light of the preceding considerations, the concentration in question does not appear to significantly hinder effective competition in the upstream market.</w:t>
      </w:r>
    </w:p>
    <w:p>
      <w:r>
        <w:rPr>
          <w:b/>
        </w:rPr>
        <w:t>[Pages 64–66]</w:t>
      </w:r>
    </w:p>
    <w:p>
      <w:r>
        <w:t>66 BULLETIN NO. 46 OF 27 DECEMBER 2022</w:t>
        <w:br/>
        <w:t>of the activity of production, development, and provision of games and betting services and lotteries and in the national markets downstream of the collection from betting and online gaming, nor suitable to determine the establishment or strengthening of a dominant position.</w:t>
        <w:br/>
        <w:t>CONSIDERED, therefore, that the operation in question does not significantly impede, pursuant to Article 6, paragraph 1, of Law No. 287/90, effective competition in the relevant markets and does not involve the establishment or strengthening of a dominant position;</w:t>
        <w:br/>
        <w:t>CONSIDERED, furthermore, that the non-competition agreement and the non-solicitation and hiring clauses imposed on the Seller as well as the extensions of the duration of certain specific licensing and supply agreements present in the Contract are deemed ancillary to this operation only within the aforementioned commodity and temporal limits and that the Authority reserves the right to evaluate, where the prerequisites exist, the aforementioned clauses that exceed those limits;</w:t>
        <w:br/>
        <w:t>CONSIDERED, moreover, that the non-solicitation and hiring clauses imposed on the Buyer present in the Contract do not constitute the subject of this resolution as they are not ancillary to the concentration under examination and that the Authority, therefore, reserves the right to evaluate them, where the prerequisites exist;</w:t>
        <w:br/>
        <w:t>RESOLVES</w:t>
        <w:br/>
        <w:t>not to initiate the investigation referred to in Article 16, paragraph 4, of Law No. 287/90.</w:t>
        <w:br/>
        <w:t>The above conclusions will be communicated, pursuant to Article 16, paragraph 4, of Law No. 287/90, to the interested companies and to the Minister of Enterprises and Made in Italy.</w:t>
        <w:br/>
        <w:t>This provision will be published in the Bulletin of the Antitrust Authority.</w:t>
        <w:br/>
        <w:t>THE SECRETARY GENERAL THE PRESIDENT</w:t>
        <w:br/>
        <w:t>Guido Stazi Roberto Rustichelli</w:t>
      </w:r>
    </w:p>
    <w:p>
      <w:r>
        <w:t>BULLETIN NO. 46 OF 27 DECEMBER 2022 67</w:t>
        <w:br/>
        <w:t>ACTIVITY OF REPORTING AND CONSULTATION</w:t>
        <w:br/>
        <w:t>AS1871 – MUNICIPALITY OF MONTIERI (GR) - SPIN-OFF OF THE BUSINESS BRANCH</w:t>
        <w:br/>
        <w:t>"SIXTH LAB" FROM THE PARTICIPATED COMPANY COSVIG AND ITS TRANSFER</w:t>
        <w:br/>
        <w:t>TO A NEWLY ESTABLISHED COMPANY</w:t>
        <w:br/>
        <w:t>Rome, November 25, 2022</w:t>
        <w:br/>
        <w:t>Municipality of Montieri</w:t>
        <w:br/>
        <w:t>The Antitrust Authority, in its meeting of November 22, 2022, resolved to express an opinion, pursuant to Article 21-bis of Law No. 287 of October 10, 1990, regarding the Resolution of the Municipal Council of Montieri No. 26 of September 28, 2022, concerning the "Extraordinary operation of the participated company Co.Svi.G S.c.r.l. aimed at the spin-off of the business branch 'Sixth Lab' and its transfer to a newly established company - Acquisition of indirect participation pursuant to Article 42, paragraph 2, letter e) of Legislative Decree No. 267/2000" (hereinafter also Resolution or Resolution No. 26/2022), transmitted to the Authority on September 29, pursuant to Article 5, paragraph 3, of Legislative Decree No. 175/2016 (Consolidated Law on public participation – TUSPP).</w:t>
        <w:br/>
        <w:t>The Consortium for the Development of Geothermal Areas Limited Liability Consortium Company (Co.Svi.G s.c.r.l., hereinafter also COSVIG), a company fully publicly controlled, is participated by the Municipality of Montieri, other municipalities in the Tuscan geothermal area, the relevant Unions of Municipalities, the provinces of Siena and Grosseto, and the Tuscany Region. COSVIG provides services of general interest to promote the development of the territory in economic, social, cultural, and tourist fields and has played the role of an active subject in technological transfer in the fields of renewable and sustainable energy, especially geothermal energy, and energy efficiency.</w:t>
        <w:br/>
        <w:t>In 2014, COSVIG acquired from Enel Ricerca e Innovazione the business branch related to the management of the Laboratory - Experimental Area in the locality of Sesta in the Municipality of Radicondoli (SI), called "Sixth Lab," which carries out research and experimental development activities in the field of natural sciences and engineering, for the applied development of energy generation from gas turbines. According to the Feasibility Study attached to the Resolution, Sixth Lab serves as a testing area for the combustion chambers of gas turbines, simulating their operation, allowing the largest global manufacturers to carry out designs based on quick and reliable test results to then compete in the Oil &amp; Gas, Power Generation, and aerospace markets.</w:t>
        <w:br/>
        <w:t>With significant investments in recent years, Sixth Lab is aimed at further increasing its revenue, with the prospect of expanding the services offered in third-party analysis, artificial intelligence, and other auxiliary services, as well as developing its own technology in the energy field.</w:t>
        <w:br/>
        <w:t>COSVIG has therefore assumed over time both institutional activities for the management of geothermal resources (of purely public interest and strictly necessary for pursuing the institutional purposes of the participating public administrations) and research and experimentation activities of the Sixth Lab business branch, which, while also being of public interest, are nonetheless offered on the market in a regime of free competition also in favor of local businesses. According to the Feasibility Study, they account for over 23% of COSVIG's revenues.</w:t>
        <w:br/>
        <w:t>The same Municipality, in the Feasibility Study, therefore recognizes that, with the loss of the requirement of predominance of activities in favor of the members, one of the three cumulative conditions allowing a subject to receive direct assignments from the members and to operate as an in-house company pursuant to Article 5, paragraph 1, letter b), of Legislative Decree No. 50/2016 and Article 16 of the TUSPP is missing. This therefore undermines the link of the service provided by the participated company to the institutional activity of the participating entity, which is instead required by Article 4, paragraph 2, of the TUSPP.</w:t>
        <w:br/>
        <w:t>Additionally, it should be noted that, according to the Feasibility Study, it appears that Sixth Lab carries out activities that "seem not to fully fall" within any of the hypotheses listed in Article 4, paragraph 2, TUSPP and it is also considered a "probable forcing" to include the activity of the business branch within the notion of general interest service referred to in Article 2, paragraph 1, letter h), TUSPP, as the research activity can be fully carried out by private entities in a free market regime, under conditions at least similar to those practiced by Sixth Lab.</w:t>
        <w:br/>
        <w:t>Therefore, the Municipality believes that the operation could only fall within the exception referred to in the subsequent paragraph 8, which allows for the acquisition of participations (also indirect, in this case through COSVIG) in companies "with characteristics similar to research entities, thus allowing them to freely participate in companies that have research as a defining element of their corporate purpose" (emphasis added)1.</w:t>
        <w:br/>
        <w:t>The operation therefore proposes a spin-off of the Sixth Lab business branch, to be transferred to a new company (the Newco Sixth Lab), of which COSVIG will be the sole member, and which will operate autonomously, from an organizational and legal point of view, and in a more streamlined manner, allowing for the enhancement of the laboratory, also in view of a potential future sale to third parties. This would be necessary, according to the Municipality of Montieri, to avoid compromising the provision of funds for activities of purely public interest, due to the mixing with research services that can be provided in a competitive regime. The operation is subject to similar resolutions from the other local member entities and is resolutely conditioned on the potential failure to comply with any observations from the Authority or the Court of Auditors.</w:t>
        <w:br/>
        <w:t>1 According to the Municipality, this solution would also be consistent both with the qualification of Sixth Lab as a strategic research infrastructure to support technological innovation in the Oil &amp; Gas sector attributed by Resolution of the Tuscany Region No. 998/2013, and with the addition of Article 4-bis of the TUSPP which allows participations in instrumental research companies for the implementation of interventions included in the PNRR. Pursuant to this provision, "Special provisions for carrying out research activities within the National Recovery and Resilience Plan," the research activities carried out by public participation companies and public research entities referred to in Article 1, paragraph 1, of Legislative Decree No. 218 of November 25, 2016, for the implementation of interventions included in the framework of the PNRR fall among those pursued by public administrations pursuant to paragraph 2 of Article 4 of this decree."</w:t>
      </w:r>
    </w:p>
    <w:p>
      <w:r>
        <w:rPr>
          <w:b/>
        </w:rPr>
        <w:t>[Pages 67–69]</w:t>
      </w:r>
    </w:p>
    <w:p>
      <w:r>
        <w:t>BULLETIN NO. 46 OF 27 DECEMBER 2022</w:t>
      </w:r>
    </w:p>
    <w:p>
      <w:r>
        <w:t>69. The statute of Newco, also produced as an annex to the Resolution, provides that it may generate profits (Article 20), must report to COSVIG every three months on the management performance, and submit the three-year programmatic plan, the budget, etc. (Article 8). Article 2, paragraph 4, of the current Statute also refers to a specific deliberative act for the regulation of the modalities of exercising joint analogous control by the members. This Regulation, adopted by the COSVIG members' Assembly on July 16, 2020, assigns the exercise of analogous control to a specific committee of 3 members, one for each geothermal area identified therein (Article 7).</w:t>
      </w:r>
    </w:p>
    <w:p>
      <w:r>
        <w:t>With all this in mind, the Authority intends to make the following considerations.</w:t>
      </w:r>
    </w:p>
    <w:p>
      <w:r>
        <w:t>Preliminarily, it is noted that Article 4, paragraph 8, of Legislative Decree No. 175/2016 preserves the possibility of establishing companies with characteristics of spin-offs or university start-ups pursuant to the sector regulations regarding Universities and research (Legislative Decree No. 297/1999 and Law No. 240/2010), as well as those for the management of agricultural enterprises by Universities with educational functions and those with "analogous characteristics of research entities." In other words, paragraph 8 anchors the exceptions to the prohibition of participations established therein to research activities carried out in the university context or by research entities.</w:t>
      </w:r>
    </w:p>
    <w:p>
      <w:r>
        <w:t>Given that the research activity in question is not carried out even indirectly by a University, as in the scenario hypothesized by the legislator, it is necessary to verify whether, beyond the corporate purpose of Sesta Lab, which also includes research in the energy field, it can be considered that the spun-off business branch has "analogous characteristics of research entities." In fact, as indicated by the same Feasibility Study, the only element for which Sesta Lab would fall within the exception referred to in Article 4, paragraph 8, according to the Municipality, would be the research activity provided for in the corporate purpose.</w:t>
      </w:r>
    </w:p>
    <w:p>
      <w:r>
        <w:t xml:space="preserve">To this end, it should be considered that, unlike research entities (public), Sesta Lab: </w:t>
        <w:br/>
        <w:t xml:space="preserve">i) is not a non-profit entity, but a company that, by Statute, pursues profit maximization, without providing for the obligation to reinvest them in the institutional activities of the member entity; </w:t>
        <w:br/>
        <w:t xml:space="preserve">ii) based on the Feasibility Study and its own Statute, provides its research services to the largest gas turbine producers worldwide, has a significant investment plan aimed at extending its activities to other fields (optics, artificial intelligence, etc.) and enhancing the laboratory for a possible future sale to third parties; </w:t>
        <w:br/>
        <w:t xml:space="preserve">iii) is not included among the subjects recognized in the specific list of research entities; </w:t>
        <w:br/>
        <w:t>iv) is not subject to the supervision of the MIUR or other sector ministries, but responds exclusively to the controlling COSVIG, from which it receives objectives and to which it reports periodically.</w:t>
      </w:r>
    </w:p>
    <w:p>
      <w:r>
        <w:t>Nor does the connection with the implementation of research interventions of the PNRR (taken up by Article 4, paragraph 4-bis, of the TUSPP as an additional derogatory hypothesis to the general prohibition) assist, given that the sector interventions considered in the PNRR concern energy produced from renewable sources for at least 70% by 2030, without, however, considering that produced from the heat normally present in the subsoil, or so-called geothermal energy, which instead represents the core of the research ensured by Sesta Lab.</w:t>
      </w:r>
    </w:p>
    <w:p>
      <w:r>
        <w:t>70. Furthermore, it should be emphasized that the role of the controlling entity performed by COSVIG, which acts as a link between public member entities and NewCo/Sesta Lab, is not compatible with the activity of an in-house company, to the extent that it finds itself controlling a commercial company in every respect, over which the member entities of COSVIG cannot exercise the necessary analogous control. Moreover, the TUSPP prohibits companies referred to in paragraph 2, letter d), controlled by local entities, from establishing new companies and acquiring new participations in companies (Article 4, paragraph 5).</w:t>
      </w:r>
    </w:p>
    <w:p>
      <w:r>
        <w:t>Additionally, the Council of State (judgments No. 7752/2019 and No. 6459/2018) has stated that in the case of subjects (in this case COSVIG) with the dual vocation of instrumental company for the provision of public services for the member entities and at the same time a market operator (through the research activity of Sesta Lab), compliance with the quantitative limit set by Article 5, paragraph 1, letter b), of Legislative Decree No. 50/2016, which safeguards the principles and rules of public evidence and, in turn, the principles for the protection of competition, must be verified with reference to the turnover generated by the entire corporate group, in order to capture from a substantial point of view the actual market operation of the instrumental company. In this case, it is decisive what emerges from the COSVIG financial statements of the last two years, namely the clear predominance of revenues from the commercial research activity carried out by Sesta Lab (moreover, with structures built with regional funds) compared to the instrumental activity of COSVIG for wind and geothermal funds.</w:t>
      </w:r>
    </w:p>
    <w:p>
      <w:r>
        <w:t>In conclusion, the operation, as a result of which the research activity of Sesta Lab will be offered on the market to third parties, to whom it could also be sold, is likely to alter the structures of the market for applied research services for the development of geothermal energy, as it grants Sesta Lab an undue competitive advantage, thanks to the public resources it possesses.</w:t>
      </w:r>
    </w:p>
    <w:p>
      <w:r>
        <w:t>Finally, based on the above, the communicated operation does not fall within the scope of application of Article 4, paragraph 8, of the TUSPP, being a provision of strict interpretation as it regulates exceptions to the general principle of the prohibition of acquiring or maintaining participations not strictly functional to the purposes and institutional activities of the entity. The provision in question, therefore, is not susceptible to analogical application.</w:t>
      </w:r>
    </w:p>
    <w:p>
      <w:r>
        <w:t>In light of the preceding considerations, it is believed that the Resolution of the Municipal Council of Montieri No. 26 of September 28, 2022, violates Articles 4, 5, and 16 of the TUSPP and 5 of Legislative Decree No. 50/2016.</w:t>
      </w:r>
    </w:p>
    <w:p>
      <w:r>
        <w:t>Pursuant to Article 21-bis, paragraph 2, of Law No. 287/90, this Administration must communicate to the Authority, within sixty days from the receipt of this opinion, the initiatives adopted to remove the above-mentioned competition violation. If within the aforementioned term such initiatives do not prove to be compliant with the competition principles expressed above, the Authority may file an appeal within the subsequent thirty days.</w:t>
      </w:r>
    </w:p>
    <w:p>
      <w:r>
        <w:t>This opinion will be published in the Bulletin of the Antitrust Authority.</w:t>
      </w:r>
    </w:p>
    <w:p>
      <w:r>
        <w:t xml:space="preserve">THE PRESIDENT </w:t>
        <w:br/>
        <w:t>Roberto Rustichelli</w:t>
      </w:r>
    </w:p>
    <w:p>
      <w:r>
        <w:t>BULLETIN NO. 46 OF 27 DECEMBER 2022</w:t>
      </w:r>
    </w:p>
    <w:p>
      <w:r>
        <w:t>71. Announcement regarding the adjustment of the Municipality of Montieri (Grosseto) to the reasoned opinion expressed by the Authority pursuant to Article 21-bis of Law No. 287/1990 regarding the extraordinary operation of the participating company Co.Svi.G s.c.r.l. aimed at the spin-off of the business branch "Sesta Lab" and its conferment into a newly established company.</w:t>
      </w:r>
    </w:p>
    <w:p>
      <w:r>
        <w:t>In its meeting of November 22, 2022, the Authority decided to send to the Municipality of Montieri (hereinafter also Municipality) a reasoned opinion pursuant to Article 21-bis of Law No. 287 of October 10, 1990, published above this communication, regarding the Resolution of the Municipal Council No. 26 of September 28, 2022, concerning the "Extraordinary operation of the participating company Co.Svi.G s.c.r.l. aimed at the spin-off of the business branch 'Sesta Lab' and its conferment into a newly established company - Acquisition of indirect participation pursuant to Article 42, paragraph 2, letter e) Legislative Decree 267/2000" (hereinafter also Resolution or Resolution No. 26/2022).</w:t>
      </w:r>
    </w:p>
    <w:p>
      <w:r>
        <w:t>The Authority noted that the operation, as a result of which the research activity of Sesta Lab will be offered on the market to third parties, to whom it could also be sold, is likely to alter the structures of the market for applied research services for the development of geothermal energy, as it grants Sesta Lab an undue competitive advantage, thanks to the public resources it possesses. Always interpreting exceptions to the application of general principles (the prohibition of acquiring or maintaining participations not strictly functional to the purposes and institutional activities of the entity) restrictively, the Authority deemed that such an operation could not fall within Article 4, paragraph 8, of the TUSPP, as Sesta Lab does not present "analogous characteristics of research entities" and the Region cannot exercise analogous control over NewCo, which it controls only indirectly through COSVIG. Therefore, the Resolution of the Municipal Council of Montieri No. 26 of September 28, 2022, violates Articles 4, 5, and 16 of the TUSPP and 5 of Legislative Decree No. 50/2016.</w:t>
      </w:r>
    </w:p>
    <w:p>
      <w:r>
        <w:t>In the same meeting of November 22, for reasons of economy and effectiveness of administrative action on one hand and due to the uniqueness and contemporaneity of the operation on the other, the Authority decided to send to seven other COSVIG members who had meanwhile submitted similar communication pursuant to the TUSPP an opinion pursuant to Article 22 on the competitive criticalities of the operation, inviting them to take into account the observations made to the Municipality of Montieri in the reasoned opinion. This opinion, deliberated in the meeting of November 30, was communicated to the interested municipalities, and for information to the Municipality of Montieri, on December 1, 2022.</w:t>
      </w:r>
    </w:p>
    <w:p>
      <w:r>
        <w:t>The Municipality of Montieri, without waiting for the expiration of the legally prescribed term, promptly represented on December 2, 2022, that, following the observations made by the Court of Auditors and the Authority and taking into account the willingness to comply with such opinions, it will not proceed with the completion of the extraordinary operation in question.</w:t>
      </w:r>
    </w:p>
    <w:p>
      <w:r>
        <w:t>Acknowledging the adjustment of the Administration to the reasoned opinion of November 22, 2022, pursuant to Article 21-bis of Law No. 287/1990, the Antitrust Authority, in its meeting of December 20, 2022, decided not to file an appeal against the aforementioned Resolution No. 26/2022.</w:t>
      </w:r>
    </w:p>
    <w:p>
      <w:r>
        <w:rPr>
          <w:b/>
        </w:rPr>
        <w:t>[Pages 70–72]</w:t>
      </w:r>
    </w:p>
    <w:p>
      <w:r>
        <w:t xml:space="preserve">72 BULLETIN NO. 46 OF 27 DECEMBER 2022  </w:t>
        <w:br/>
        <w:t xml:space="preserve">AS1872 - VARIOUS MUNICIPALITIES OF THE PROVINCES OF GROSSETO, PISA, AND SIENA -  </w:t>
        <w:br/>
        <w:t xml:space="preserve">SPIN-OFF OF THE BUSINESS BRANCH "SESTA LAB" FROM THE PARTICIPATED COMPANY COSVIG AND ITS TRANSFER TO A NEWLY ESTABLISHED COMPANY  </w:t>
        <w:br/>
        <w:t xml:space="preserve">Rome, December 1, 2022  </w:t>
        <w:br/>
        <w:t xml:space="preserve">Municipality of Monteverdi Marittimo  </w:t>
        <w:br/>
        <w:t xml:space="preserve">Municipality of Pomarance  </w:t>
        <w:br/>
        <w:t xml:space="preserve">Municipality of Montecatini Val di Cecina  </w:t>
        <w:br/>
        <w:t xml:space="preserve">Municipality of Castelnuovo Val di Cecina  </w:t>
        <w:br/>
        <w:t xml:space="preserve">Union of Mountain Municipalities Amiata Grossetana  </w:t>
        <w:br/>
        <w:t xml:space="preserve">Municipality of Radicondoli  </w:t>
        <w:br/>
        <w:t xml:space="preserve">Municipality of Chiusdino  </w:t>
        <w:br/>
        <w:t xml:space="preserve">The Authority for the Protection of Competition and Market received on September 29, 2022, pursuant to Article 5, paragraph 3, of Legislative Decree No. 175/2016 (Consolidated Law on Publicly Held Companies – TUSPP), the Resolution of the Municipal Council of Montieri No. 26 of September 28, 2022, concerning the “Extraordinary operation of the participated company Co.Svi.G S.c.r.l. aimed at the spin-off of the business branch 'Sesta Lab' and its transfer to a newly established company - Acquisition of indirect participation pursuant to Article 42, paragraph 2, letter e) Legislative Decree 267/2000” (hereinafter also Resolution or Resolution No. 26/2022), transmitted together, in particular, with the Feasibility Study of the Consortium for the Development of Geothermal Areas Limited Liability Consortium Company (Co.Svi.G S.c.r.l., hereinafter also COSVIG), an appraisal on the value of the business branch subject to transfer, and the Statute of the business branch Sesta Lab.  </w:t>
        <w:br/>
        <w:t xml:space="preserve">Between October 4 and November 10, 2022, the Authority also received similar communications pursuant to the TUSPP regarding the deliberative acts of other local entities that are members of COSVIG related to the same operation. These include the Resolutions of the Municipal Council of the Municipality of Monteverdi Marittimo No. 35 of September 27, 2022 (S4541B), of the Municipality of Pomarance No. 38 of September 30, 2022 (S4541C), of the Municipality of Montecatini Val di Cecina No. 43 of September 28, 2022 (S4541D), of the Municipality of Castelnuovo Val di Cecina No. 30 of September 29, 2022 (S4541E), of the Union of Mountain Municipalities Amiata Grossetana No. 26 of October 13, 2022 (S4541F), of the Municipality of Radicondoli No. 41 of September 28, 2022 (S4541G), and of the Municipality of Chiusdino No. 47 of October 29, 2022 (S4541H). All deliberative acts received present the same documentary attachments.  </w:t>
        <w:br/>
        <w:t xml:space="preserve">In the meeting of November 22, 2022, the Authority resolved to express a reasoned opinion, pursuant to Article 21-bis of Law No. 287 of October 10, 1990, communicated to the Municipality of Montieri on November 25, 2022. The interested administration, within sixty days from the receipt of this reasoned opinion, must communicate the initiatives adopted to remove the competition violation outlined therein. If within the aforementioned period such initiatives do not conform to the competitive principles expressed above, the Authority may file an appeal within the subsequent thirty days.  </w:t>
        <w:br/>
        <w:t xml:space="preserve">In the same meeting, for reasons of economy and effectiveness of administrative action, on the one hand, and due to the uniqueness and simultaneity of the operation, on the other hand, the Authority also resolved to send to the other local entities that are members of COSVIG in address, which have transmitted deliberative acts including identical attachments to those subject to the reasoned opinion to the Municipality of Montieri, an opinion pursuant to Article 22 of Law No. 287 of October 10, 1990, in which to present the same competitive observations, so that the other members also adopt suitable measures to overcome the issues outlined below.  </w:t>
        <w:br/>
        <w:t xml:space="preserve">In detail, COSVIG, a wholly publicly controlled company, is participated by the Municipality of Montieri, by other municipalities in the Tuscan geothermal area, by the relevant Unions of Municipalities, by the provinces of Siena and Grosseto, and by the Tuscany Region. COSVIG provides services of general interest to promote the development of the territory in economic, social, cultural, and tourist fields and has played the role of an active subject in technological transfer in the fields of renewable and sustainable energy, especially geothermal energy, and energy efficiency.  </w:t>
        <w:br/>
        <w:t xml:space="preserve">In 2014, COSVIG acquired from Enel Ricerca e Innovazione the business branch related to the management of the Laboratory - Experimental Area in the locality of Sesta in the Municipality of Radicondoli, called “Sesta Lab,” which carries out experimental research and development activities in the field of natural sciences and engineering, for the applied development of energy generation from gas turbines. According to the Feasibility Study transmitted as an attachment to the Resolution, Sesta Lab serves as a testing area for the combustion chambers of gas turbines, simulating their operation, allowing the largest global manufacturers to carry out designs based on rapid and reliable test results to then compete in the Oil &amp; Gas, Power Generation, and aerospace markets.  </w:t>
        <w:br/>
        <w:t xml:space="preserve">With the significant investments of recent years, Sesta Lab is aimed at further increasing its revenue, with the prospect of expanding the services offered to third parties in optical analysis, artificial intelligence, and other auxiliary services, as well as developing its own technology in the energy field.  </w:t>
        <w:br/>
        <w:t xml:space="preserve">COSVIG has therefore over time undertaken both institutional activities for the management of geothermal resources (of purely public interest and strictly necessary for the pursuit of the institutional purposes of the participating public administrations) and research and experimentation activities of the business branch Sesta Lab, which, although also of public interest, are nonetheless offered on the market in a regime of free competition also in favor of local businesses. According to the Feasibility Study, they account for over 23% of COSVIG's revenues.  </w:t>
        <w:br/>
        <w:t xml:space="preserve">The same Feasibility Study therefore recognizes that, as the requirement for the prevalence of activities in favor of the members is lacking, one of the three cumulative conditions that allow a subject to receive direct assignments from the members and to operate as an in-house company pursuant to Article 5, paragraph 1, letter b), of Legislative Decree No. 50/2016 and Article 16 of the TUSPP is missing. This therefore removes the link of the service activity provided by the participated company to the institutional activity of the participating entity, instead required by Article 4, paragraph 2, of the TUSPP.  </w:t>
        <w:br/>
        <w:t xml:space="preserve">Furthermore, it should be added that, according to the Feasibility Study, it appears that Sesta Lab carries out activities that “seem not to fully fall” within any of the hypotheses listed in Article 4, paragraph 2, TUSPP and it is also considered a “probable stretching” to include the activity of the business branch within the notion of service of general interest referred to in Article 2, paragraph 1, letter h), TUSPP, as the research activity can be fully carried out by private subjects in a free market regime, under conditions at least similar to those practiced by Sesta Lab.  </w:t>
        <w:br/>
        <w:t xml:space="preserve">Therefore, the operation is solely included in the exception referred to in the subsequent paragraph 8, which allows for the acquisition of participations (also indirect, in this case through COSVIG) in companies “with characteristics similar to research entities, thus allowing them to freely participate in companies that have research as a characteristic element of their corporate purpose” (emphasis added).  </w:t>
        <w:br/>
        <w:t xml:space="preserve">The operation therefore proposes a spin-off of the business branch Sesta Lab, to be transferred to a new company (the Newco Sesta Lab), of which COSVIG will be the sole member, and which will operate autonomously, from an organizational and legal point of view, and in a more streamlined manner, allowing for the enhancement of the laboratory, also in view of a future possible sale to third parties. This would be necessary, according to the local member entities, to avoid compromising the provision of funds for activities of purely public interest, due to the mixing with research services that can be provided in a competitive regime. The operation is subject in the Feasibility Study to similar resolutions of the other local member entities and is resolutely conditioned on the possible failure to comply with any observations from the Authority or the Court of Auditors.  </w:t>
        <w:br/>
        <w:t xml:space="preserve">The statute of the Newco, also produced as an attachment to the Resolution, provides that it may generate profits (Article 20), that it must report to COSVIG every three months on the management performance, submit the three-year programmatic plan, the budget, etc. annually (Article 8). Article 2, paragraph 4, of the current Statute also refers to a specific deliberative act for the regulation of the modalities of joint analogous control by the members. This Regulation, adopted by the Assembly of members of COSVIG on July 16, 2020, entrusts the exercise of analogous control to a specific committee of 3 members, one for each geothermal area identified therein (Article 7).  </w:t>
        <w:br/>
        <w:t xml:space="preserve">In relation to the above, the Authority intends to make the following considerations.  </w:t>
        <w:br/>
        <w:t xml:space="preserve">Preliminarily, it is recalled that Article 4, paragraph 8, of Legislative Decree No. 175/2016 preserves the possibility of establishing companies with characteristics of spin-off or university start-ups pursuant to the sector regulations on Universities and research (Legislative Decree No. 297/1999 and Law No. 240/210), as well as those for the management of agricultural enterprises by Universities with educational functions and those with “characteristics similar to research entities.” In other words, paragraph 8 anchors the exceptions to the prohibition of participations established therein to research activities carried out in the university field or by research entities.  </w:t>
        <w:br/>
        <w:t xml:space="preserve">Given that the research activity in question is not carried out even indirectly by a University, as in the scenario hypothesized by the legislator, it is necessary to verify whether, beyond the corporate purpose of Sesta Lab also including research in the energy field, it can be considered that the business branch  </w:t>
        <w:br/>
        <w:t>1 According to the Municipality, this solution would also be consistent with the qualification of Sesta Lab as a Strategic Research Infrastructure to support technological innovation in the Oil &amp; Gas sector attributed by Resolution of the Tuscany Region No. 998/2013, as well as with the addition of Article 4-bis of the TUSPP which allows participations in instrumental research companies for the implementation of interventions included in the PNRR. According to this provision, “Special provisions for carrying out research activities within the National Recovery and Resilience Plan,” the research activities carried out by publicly held companies and public research entities referred to in Article 1, paragraph 1, of Legislative Decree No. 25 November 2016, No. 218, for the realization of the interventions included in the implementation framework of the PNRR fall within those pursued by public administrations pursuant to paragraph 2 of Article 4 of this decree.”</w:t>
      </w:r>
    </w:p>
    <w:p>
      <w:r>
        <w:rPr>
          <w:b/>
        </w:rPr>
        <w:t>[Pages 73–75]</w:t>
      </w:r>
    </w:p>
    <w:p>
      <w:r>
        <w:t>BULLETIN NO. 46 OF 27 DECEMBER 2022</w:t>
      </w:r>
    </w:p>
    <w:p>
      <w:r>
        <w:t>75. The unbundled entity has the "similar characteristics of research entities." In fact, as indicated by the same Feasibility Study, the only element for which Sesta Lab would fall under the exception referred to in Article 4, paragraph 8, according to the Municipality, would be the research activity provided for in its corporate purpose. To this end, it should be noted that, unlike research entities (public), Sesta Lab:</w:t>
        <w:br/>
        <w:t>i) is not a non-profit entity, but a company that, by its Statute, pursues profit maximization, without providing for the obligation to reinvest profits in the institutional activities of the member entity;</w:t>
        <w:br/>
        <w:t>ii) based on the Feasibility Study and its own Statute, provides its research services to the largest gas turbine producers worldwide, has a significant investment plan aimed at extending its activities to other fields (optics, artificial intelligence, etc.) and enhancing the laboratory for a possible future sale to third parties;</w:t>
        <w:br/>
        <w:t>iii) is not included among the subjects recognized in the specific list of research entities2;</w:t>
        <w:br/>
        <w:t>iv) is not subject to the supervision of the MIUR or other sectoral ministries, but responds exclusively to the controlling entity COSVIG, from which it receives objectives and to which it reports periodically.</w:t>
      </w:r>
    </w:p>
    <w:p>
      <w:r>
        <w:t>Nor does the connection with the implementation of research interventions of the PNRR (taken on by Article 4, paragraph 4-bis, of the TUSPP as an additional derogatory hypothesis to the general prohibition) assist, given that the sectoral interventions considered in the PNRR concern energy produced from renewable sources for at least 70% by 2030, without considering that produced from the heat normally present underground, or so-called geothermal energy, which instead represents the core of the research ensured by Sesta Lab.</w:t>
      </w:r>
    </w:p>
    <w:p>
      <w:r>
        <w:t>Furthermore, it should be emphasized that the role of the controlling entity performed by COSVIG, which acts as a link between public member entities and NewCo/Sesta Lab, is not compatible with the activity of an in-house company, as it finds itself controlling a commercial company in every respect, over which the member entities of COSVIG cannot exercise the necessary analogous control. Moreover, the TUSPP prohibits companies referred to in paragraph 2, letter d), controlled by local entities, from establishing new companies and acquiring new stakes in companies (Article 4, paragraph 5).</w:t>
      </w:r>
    </w:p>
    <w:p>
      <w:r>
        <w:t>Additionally, the Council of State (judgments no. 7752/2019 and no. 6459/2018) has stated that in the case of subjects (in this case COSVIG) with the dual vocation of instrumental company for the provision of public services for the member entities and at the same time market operator (through the research activity of Sesta Lab), compliance with the quantitative limit set by Article 5, paragraph 1, letter b), of Legislative Decree no. 50/2016, which safeguards the principles and rules of public evidence and in turn the principles protecting competition, must be verified with reference to the turnover generated by the entire corporate group, in order to substantively capture the actual market operation of the instrumental company. In this specific case, it is decisive what emerges from the COSVIG financial statements of the last two years, namely the clear predominance of revenues from the commercial research activity carried out by Sesta Lab (moreover, with structures built with regional funds) compared to the instrumental activity of COSVIG for wind and geothermal funds.</w:t>
      </w:r>
    </w:p>
    <w:p>
      <w:r>
        <w:t>In conclusion, the operation, as a result of which the research activity of Sesta Lab will be offered on the market to third parties, to whom it could also be sold, is likely to alter the market structures of applied research services for the development of geothermal energy, as it grants Sesta Lab an undue competitive advantage, thanks to the public resources it has.</w:t>
      </w:r>
    </w:p>
    <w:p>
      <w:r>
        <w:t>Lastly, based on the above, the communicated operation does not fall within the scope of application referred to in Article 4, paragraph 8, of the TUSPP, as it is a provision of strict interpretation since it regulates exceptions to the general principle of the prohibition of acquiring or maintaining stakes not strictly functional to the purposes and institutional activities of the entity. The provision in question, therefore, is not susceptible to analogical application.</w:t>
      </w:r>
    </w:p>
    <w:p>
      <w:r>
        <w:t>In light of the preceding considerations, as already noted in the reasoned opinion sent to the Municipality of Montieri regarding the Resolution of the Municipal Council no. 26 of September 28, 2022, it is believed that the deliberative acts transmitted are in conflict with Articles 4, 5, and 16 of the TUSPP and 5 of Legislative Decree no. 50/2016.</w:t>
      </w:r>
    </w:p>
    <w:p>
      <w:r>
        <w:t>The Authority hopes that these observations will be duly considered by the addressed administrations, which are invited to communicate, within sixty days from the receipt of this opinion, the initiatives taken to remove the identified competition violation.</w:t>
      </w:r>
    </w:p>
    <w:p>
      <w:r>
        <w:t>This opinion will be published in the Bulletin of the Antitrust Authority.</w:t>
      </w:r>
    </w:p>
    <w:p>
      <w:r>
        <w:t>THE PRESIDENT</w:t>
        <w:br/>
        <w:t>Roberto Rustichelli</w:t>
      </w:r>
    </w:p>
    <w:p>
      <w:r>
        <w:t>BULLETIN NO. 46 OF 27 DECEMBER 2022</w:t>
      </w:r>
    </w:p>
    <w:p>
      <w:r>
        <w:t>77. AS1873 – ASL 6 OF MEDIO CAMPIDANO – CRITERIA ADOPTED FOR THE INTEGRATION OF A LIST OF LAWYERS TO BE USED FOR ASSIGNING CONSULTING AND LEGAL REPRESENTATION TASKS</w:t>
      </w:r>
    </w:p>
    <w:p>
      <w:r>
        <w:t>Rome, December 5, 2022</w:t>
      </w:r>
    </w:p>
    <w:p>
      <w:r>
        <w:t>ASL 6 Medio Campidano</w:t>
      </w:r>
    </w:p>
    <w:p>
      <w:r>
        <w:t>In exercising the powers referred to in Article 22 of Law October 10, 1990, no. 287, the Antitrust Authority, in its meeting of November 30, 2022, intended to formulate some observations regarding the competitive issues encountered in the formation of the list of professionals to whom professional assignments are to be entrusted.</w:t>
      </w:r>
    </w:p>
    <w:p>
      <w:r>
        <w:t>The Authority has indeed become aware of: i) the public notice of July 15, 2022 "for the integration of the list of lawyers, already approved by the resolution of the Extraordinary Commissioner ATS Sardegna no. 747 of 04.10.21, to be used for the assignment of external professional tasks for legal consulting and judicial and extrajudicial representation in favor of ASL 6 of Medio Campidano and its employees," which provides among the requirements for admission to the selection that of "having one's office in the regional territory," in Sardinia; ii) the note of September 19, in which ASL 6 communicated to a professional the inadmissibility of their application "due to the lack of the following requirement requested by point A of the public notice: 'having one's office in the regional territory.'"</w:t>
      </w:r>
    </w:p>
    <w:p>
      <w:r>
        <w:t>The Authority intends to make the following considerations in this regard.</w:t>
      </w:r>
    </w:p>
    <w:p>
      <w:r>
        <w:t>The assessment of the competitive restrictiveness of territorial limitations on access/exercise to economic-professional activities finds its explicit foundation in Legislative Decree no. 59/2010, which implements Directive 2006/123/EC (so-called Services Directive), according to which "access to and exercise of service activities constitute an expression of economic initiative freedom and cannot be subject to unjustified or discriminatory limitations" (Article 10). The legislator has considered such territorial discriminations linked to citizenship, the location of the business (or professional) or residence (Article 11, in particular letters a), b) and g)) to be prohibited. Also, due to subsequent liberalization interventions, residency obligations violate the principles outlined above (Article 34 of Decree Law December 6, 2011, no. 201, converted into Law December 22, 2011, no. 214).</w:t>
      </w:r>
    </w:p>
    <w:p>
      <w:r>
        <w:t>The Authority has repeatedly criticized in numerous advocacy interventions provisions of public acts that introduced unjustified and anachronistic territorial access/exercise requirements, highlighting that imposing residency requirements to access or exercise economic activities (or to obtain authorization to exercise where prescribed) means introducing a criterion...</w:t>
      </w:r>
    </w:p>
    <w:p>
      <w:r>
        <w:rPr>
          <w:b/>
        </w:rPr>
        <w:t>[Pages 76–78]</w:t>
      </w:r>
    </w:p>
    <w:p>
      <w:r>
        <w:t>78 BULLETIN NO. 46 OF 27 DECEMBER 2022</w:t>
        <w:br/>
        <w:t>unjustifiably burdensome for the actual conduct of various economic activities, as such, detrimental to a proper competitive process in the market, as it is likely to significantly limit the access opportunities for operators.1 Similar conclusions have been expressed regarding the exercise of economic activities subject to the possession of a secondary establishment in a given territorial area.2 These principles were recently represented in a reasoned opinion concerning the formation of a list reserved for lawyers registered with the Orders of Perugia and Spoleto for the possible assignment of professional tasks by ASL Umbria.3 Moreover, the ANAC Guidelines No. 12/2018 on "Assignment of Legal Services" pursuant to the Public Contracts Code (hereinafter also Guidelines and Code) do not contemplate similar requirements among those to be used for assigning legal services or for establishing lists of professionals by the administration through a transparent and open procedure.</w:t>
      </w:r>
    </w:p>
    <w:p>
      <w:r>
        <w:t>Although, in this case, the selection is open to members of any professional order, it is nonetheless considered that the requirement to have an office in a territory different from that of normal operation may be disproportionate and excessively burdensome. The need for immediate assistance from one's consultant can indeed be satisfied through alternative means (such as domiciliation, videoconferences, phone calls, etc.) or by relying on other offices or spaces.</w:t>
      </w:r>
    </w:p>
    <w:p>
      <w:r>
        <w:t>1 See the reports AS460 – Regulation of the profession of mountain guide (framework law of January 2, 1989, No. 6 and regional laws), in Bulletin No. 22/2008; AS541 – Regulation of the profession of ski instructor and ski schools in Valle d'Aosta, in Bulletin No. 23/2009; AS553 – Municipality of Endine Gaiano (BG) - Municipal regulation for the car rental service with driver by means of car, in Bulletin No. 26/2009; AS1135 – Provisions contained in some regional and provincial laws regarding tourism professions, in Bulletin No. 27/2014; AS1213 – Marche Region - Lists of professionals for microzonation and analysis of the limit condition for emergencies, in Bulletin No. 36/2015; AS1350 – Distortive profiles of competition in the regulation of travel agencies and the technical directors operating therein, in Bulletin No. 6/2017; the reasoned opinion AS1649 – Municipality of Genga (AN) - Tender for the completion of urgent interventions for the mitigation of hydrogeological risk and former provincial road Gola di Frasassi, in Bulletin No. 9/2020.</w:t>
      </w:r>
    </w:p>
    <w:p>
      <w:r>
        <w:t>2 See, for example, the reasoned opinions pursuant to Article 21-bis of 2021, AS1744 – Sardinia Region - Contributions for organizations operating in the cinema and audiovisual sectors, in Bulletin No. 20/2021; of 2013, AS1090 – Veneto Region. Methods of use of the guarantee fund, which was followed by the adjustment of the concerned Region that eliminated the reference to the territorial requirement linked to the operational headquarters, in Bulletin No. 43/2013; the reasoned opinion of 2012, AS920 – Abruzzo Region – Implementation provisions for the granting of interest contributions for the integration of risk funds, related to the provision of the territorial requirement of only the legal headquarters in the Region, in Bulletin No. 11/2012; the report AS553 of 2009 – Municipality of Endine Gaiano (BG) - Municipal regulation for the car rental service with driver by means of car, in Bulletin No. 29/2009.</w:t>
      </w:r>
    </w:p>
    <w:p>
      <w:r>
        <w:t>3 See the reasoned opinion of 2022, AS1835 – ASL Umbria 1 – Regulation for the assignment of external legal tasks – Reserve for members of two orders, in Bulletin No. 19/2022. The concerned administration has complied, without the need to proceed to the contentious phase.</w:t>
      </w:r>
    </w:p>
    <w:p>
      <w:r>
        <w:t>79 BULLETIN NO. 46 OF 27 DECEMBER 2022</w:t>
        <w:br/>
        <w:t>The Authority therefore hopes that the addressed Administration will adequately consider the observations made, in order to eliminate territorial requirements for the exercise of the activity in question and invites communication, within a period of 45 days from the receipt of this opinion, of the determinations that will be taken in this regard.</w:t>
      </w:r>
    </w:p>
    <w:p>
      <w:r>
        <w:t>This opinion will be published in the Bulletin of the Antitrust Authority.</w:t>
      </w:r>
    </w:p>
    <w:p>
      <w:r>
        <w:t xml:space="preserve">THE PRESIDENT </w:t>
        <w:br/>
        <w:t>Roberto Rustichelli</w:t>
      </w:r>
    </w:p>
    <w:p>
      <w:r>
        <w:t xml:space="preserve">80 BULLETIN NO. 46 OF 27 DECEMBER 2022 </w:t>
        <w:br/>
        <w:t xml:space="preserve">UNFAIR COMMERCIAL PRACTICES </w:t>
        <w:br/>
        <w:t xml:space="preserve">IP361 - AGM GROUP - SUPERBONUS ADVERTISING </w:t>
        <w:br/>
        <w:t xml:space="preserve">Provision No. 30406 </w:t>
        <w:br/>
        <w:t xml:space="preserve">THE ANTITRUST AUTHORITY </w:t>
        <w:br/>
        <w:t xml:space="preserve">IN ITS MEETING of December 6, 2022; </w:t>
        <w:br/>
        <w:t xml:space="preserve">HEARD the Rapporteur Professor Michele Ainis; </w:t>
        <w:br/>
        <w:t xml:space="preserve">VIEWING Part II, Title III, of Legislative Decree No. 206 of September 6, 2005, containing the "Consumer Code" and subsequent amendments (hereinafter, Consumer Code); </w:t>
        <w:br/>
        <w:t xml:space="preserve">NOTING in particular Article 27, paragraph 12, of the Consumer Code, pursuant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activities for a period not exceeding thirty days; </w:t>
        <w:br/>
        <w:t xml:space="preserve">VIEWING Law No. 689 of November 24, 1981; </w:t>
        <w:br/>
        <w:t xml:space="preserve">VIEWING the "Regulation on investigative procedures regarding misleading and comparative advertising, unfair commercial practices, violation of consumer rights in contracts, violation of the prohibition of discrimination and unfair clauses," adopted by the Authority by resolution of April 1, 2015; </w:t>
        <w:br/>
        <w:t xml:space="preserve">VIEWING its provision No. 30289 of August 4, 2022, by which the Authority established the unfairness of the commercial practice carried out by AGM Group S.r.l. in relation to the services offered by the same company concerning the so-called "110% building superbonus" (the tax incentive governed by Article 119 of Decree Law No. 34/2020 – so-called Relaunch Decree) and consisting of a misleading representation of the contents and characteristics of such services and the omission of essential information regarding the related economic conditions; </w:t>
        <w:br/>
        <w:t xml:space="preserve">VIEWING the documentation on file; </w:t>
        <w:br/>
        <w:t xml:space="preserve">CONSIDERING the following: </w:t>
        <w:br/>
        <w:t xml:space="preserve">I. THE PARTIES </w:t>
        <w:br/>
        <w:t xml:space="preserve">AGM Group S.r.l. (hereinafter AGM Group), with its registered office in Conegliano (TV), as a professional, pursuant to Article 18, letter b), of the Consumer Code. The company is active in the retail trade through demonstrators of products related, in particular, to renewable energies, boilers, heat pumps, photovoltaics. </w:t>
        <w:br/>
        <w:t xml:space="preserve">II. THE AUTHORITY'S PROVISION OF AUGUST 4, 2022 </w:t>
        <w:br/>
        <w:t>By provision No. 30289 of August 4, 2022, communicated to the professional on August 9, 2022, the Authority resolved that the commercial practice described in points II letters A) and B) of the same provision, carried out by AGM Group, constitutes an unfair commercial practice...</w:t>
      </w:r>
    </w:p>
    <w:p>
      <w:r>
        <w:rPr>
          <w:b/>
        </w:rPr>
        <w:t>[Pages 79–81]</w:t>
      </w:r>
    </w:p>
    <w:p>
      <w:r>
        <w:t>BULLETIN NO. 46 OF 27 DECEMBER 2022</w:t>
      </w:r>
    </w:p>
    <w:p>
      <w:r>
        <w:t>81</w:t>
        <w:br/>
        <w:t>unfair under Articles 21 and 22 of the Consumer Code. The professional, in relation to the services offered concerning the so-called "110% building Superbonus," made a misleading representation of their contents and characteristics (the information provided regarding the management by AGM Group of the entire process related to the Superbonus, from the initial feasibility study to the execution of the works, up to assistance in the transfer of the tax credit, and the "guarantee" offered to the consumer to benefit from the Superbonus through its services, was indeed found to be untrue), and omitted essential information regarding the related economic conditions (AGM Group represented in its commercial communications the transfer of the tax credit as the only form of payment for the services it offered, to be incurred at the end of the works, failing to inform consumers of the immediate request for a fee for the feasibility verification of the intervention).</w:t>
      </w:r>
    </w:p>
    <w:p>
      <w:r>
        <w:t>In light of the above, the Authority prohibited the further dissemination of the commercial practice, granting AGM Group a period of 60 days from the notification of the provision to communicate the initiatives taken by the company in compliance with the aforementioned warning.</w:t>
      </w:r>
    </w:p>
    <w:p>
      <w:r>
        <w:t>III. FURTHER ELEMENTS EMERGED</w:t>
      </w:r>
    </w:p>
    <w:p>
      <w:r>
        <w:t>As no communication was received from AGM Group within the assigned timeframe, on November 2, 2022, the Authority urged the company to communicate the measures adopted to comply with what was established in provision no. 30289 of August 4, 2022. On November 3, 2022, AGM Group - in response to the aforementioned reminder - stated that, having appealed to the Lazio Administrative Court against provision no. 30289, it intends to temporarily suspend, until the conclusion of the proceedings, the fulfillment of what was requested in the provision.</w:t>
      </w:r>
    </w:p>
    <w:p>
      <w:r>
        <w:t>Based on the information acquired ex officio by the Authority on November 22, 2022, the continuation of the commercial practice subject to the aforementioned provision was confirmed; in particular, on AGM Group's website (https://www.agmgroup.it/) the claims "AGM Group follows the customer step by step at 360° for the Superbonus 110% process" and "AGM Group takes care of its customers throughout the entire duration of the process" are still found, which in provision no. 30289 were deemed to misleadingly represent to the consumer the fact that AGM Group handles the entire process related to the Superbonus.</w:t>
      </w:r>
    </w:p>
    <w:p>
      <w:r>
        <w:t>From the set of elements acquired and described above, it would emerge that AGM Group has failed to comply with the prohibition on further dissemination of the practice deemed unfair. Indeed, documentary evidence shows that the practice continued after August 9, 2022. Therefore, the conditions for initiating the procedure provided for by Article 27, paragraph 12, of the Consumer Code, aimed at imposing an administrative monetary penalty from €10,000 to €5,000,000, are met.</w:t>
      </w:r>
    </w:p>
    <w:p>
      <w:r>
        <w:t>CONSIDERING, therefore, that the facts described above could constitute a case of non-compliance with the Authority's resolution no. 30289 of August 4, 2022, pursuant to Article 27, paragraph 12, of the Consumer Code;</w:t>
      </w:r>
    </w:p>
    <w:p>
      <w:r>
        <w:t>82 BULLETIN NO. 46 OF 27 DECEMBER 2022</w:t>
      </w:r>
    </w:p>
    <w:p>
      <w:r>
        <w:t>RESOLVES</w:t>
      </w:r>
    </w:p>
    <w:p>
      <w:r>
        <w:t xml:space="preserve">a) to contest to AGM Group S.r.l. the violation referred to in Article 27, paragraph 12, of the Consumer Code, for failing to comply with the Authority's resolution no. 30289 of August 4, 2022; </w:t>
        <w:br/>
        <w:t xml:space="preserve">b) to initiate the procedure for the possible imposition of the penalty provided for by Article 27, paragraph 12, of the Consumer Code; </w:t>
        <w:br/>
        <w:t xml:space="preserve">c) that the person responsible for the procedure is Dr. Angela Mauro; </w:t>
        <w:br/>
        <w:t xml:space="preserve">d) that the legal representatives of AGM Group S.r.l., or persons delegated by it, may view the documents of the procedure at Directorate B, of the Directorate General for Consumer Protection, of the Authority; </w:t>
        <w:br/>
        <w:t xml:space="preserve">e) that within thirty days from the communication of this provision, interested parties may submit defensive writings and documents to the Authority, as well as request to be heard; </w:t>
        <w:br/>
        <w:t>f) that the procedure must be concluded within one hundred twenty days from the date of communication of this provision.</w:t>
      </w:r>
    </w:p>
    <w:p>
      <w:r>
        <w:t>For the purposes of quantifying the possible monetary penalty provided for by Article 27, paragraph 12, of the Consumer Code, AGM Group S.r.l. is requested to provide a copy of the latest financial statements or suitable accounting documentation certifying the economic conditions in the last year.</w:t>
      </w:r>
    </w:p>
    <w:p>
      <w:r>
        <w:t>This provision will be communicated to the interested parties and published in the Bulletin of the Authority for Competition and the Market.</w:t>
      </w:r>
    </w:p>
    <w:p>
      <w:r>
        <w:t xml:space="preserve">THE SECRETARY GENERAL THE PRESIDENT </w:t>
        <w:br/>
        <w:t>Guido Stazi Roberto Rustichelli</w:t>
      </w:r>
    </w:p>
    <w:p>
      <w:r>
        <w:t>BULLETIN NO. 46 OF 27 DECEMBER 2022</w:t>
      </w:r>
    </w:p>
    <w:p>
      <w:r>
        <w:t>83</w:t>
      </w:r>
    </w:p>
    <w:p>
      <w:r>
        <w:t>VARIOUS</w:t>
      </w:r>
    </w:p>
    <w:p>
      <w:r>
        <w:t>COMMUNICATION REGARDING THE APPLICATION OF ARTICLE 16, PARAGRAPH 1-BIS, OF LAW NO. 287 OF OCTOBER 10, 1990</w:t>
      </w:r>
    </w:p>
    <w:p>
      <w:r>
        <w:t>Provision no. 30407</w:t>
      </w:r>
    </w:p>
    <w:p>
      <w:r>
        <w:t>THE AUTHORITY FOR COMPETITION AND THE MARKET</w:t>
      </w:r>
    </w:p>
    <w:p>
      <w:r>
        <w:t>IN ITS MEETING of December 13, 2022;</w:t>
      </w:r>
    </w:p>
    <w:p>
      <w:r>
        <w:t>HAVING REGARD to Law No. 287 of October 10, 1990;</w:t>
      </w:r>
    </w:p>
    <w:p>
      <w:r>
        <w:t>HAVING REGARD to Article 32 of Law No. 118 of August 5, 2022, containing the Annual Law for the Market and Competition 2021;</w:t>
      </w:r>
    </w:p>
    <w:p>
      <w:r>
        <w:t>CONSIDERING the need to define the scope and procedures for the application of Article 16, paragraph 1-bis, of Law No. 287 of October 10, 1990, introduced by Article 32, paragraph 1, letter b), no. 1) of Law No. 118 of August 5, 2022;</w:t>
      </w:r>
    </w:p>
    <w:p>
      <w:r>
        <w:t>HAVING REGARD to the observations received during the public consultation;</w:t>
      </w:r>
    </w:p>
    <w:p>
      <w:r>
        <w:t>CONSIDERING therefore to adopt the "Communication regarding the application of Article 16, paragraph 1-bis, of Law No. 287 of October 10, 1990"</w:t>
      </w:r>
    </w:p>
    <w:p>
      <w:r>
        <w:t>RESOLVES</w:t>
      </w:r>
    </w:p>
    <w:p>
      <w:r>
        <w:t>to adopt the "Communication regarding the application of Article 16, paragraph 1-bis, of Law No. 287 of October 10, 1990," the text of which is attached and forms an integral part of this provision.</w:t>
      </w:r>
    </w:p>
    <w:p>
      <w:r>
        <w:t>This provision and the related Communication will be published in the Bulletin referred to in Article 26 of Law No. 287 of October 10, 1990.</w:t>
      </w:r>
    </w:p>
    <w:p>
      <w:r>
        <w:t xml:space="preserve">THE SECRETARY GENERAL THE PRESIDENT </w:t>
        <w:br/>
        <w:t>Guido Stazi Roberto Rustichelli</w:t>
      </w:r>
    </w:p>
    <w:p>
      <w:r>
        <w:rPr>
          <w:b/>
        </w:rPr>
        <w:t>[Pages 82–84]</w:t>
      </w:r>
    </w:p>
    <w:p>
      <w:r>
        <w:t xml:space="preserve">84 BULLETIN NO. 46 OF 27 DECEMBER 2022  </w:t>
        <w:br/>
        <w:t xml:space="preserve">COMMUNICATION REGARDING THE APPLICATION OF ARTICLE 16, PARAGRAPH 1-BIS, OF LAW 10 OCTOBER 1990, NO. 287  </w:t>
        <w:br/>
        <w:t xml:space="preserve">1. Premise  </w:t>
        <w:br/>
        <w:t xml:space="preserve">With this Communication, the Authority defines, in accordance with the European Union legal framework, the procedural rules for the application of Article 16, paragraph 1-bis, of Law 10 October 1990, No. 287, introduced by Article 32 of Law 5 August 2022, No. 118, and provides some clarifications regarding its temporal and substantive scope of application.  </w:t>
        <w:br/>
        <w:t xml:space="preserve">Article 32, paragraph 1, letter b), no. 1) of Law 5 August 2022, No. 118 makes some amendments to the regulations concerning the control of concentration operations by the Authority.  </w:t>
        <w:br/>
        <w:t xml:space="preserve">Pursuant to this article, it is indeed provided that the following paragraph 1-bis be inserted into Article 16 of Law 10 October 1990, No. 287 (the "law"): "The Authority may require the interested companies to notify within thirty days a concentration operation even in the case where only one of the two turnover thresholds referred to in paragraph 1 is exceeded, or in the case where the total turnover achieved worldwide by the group of interested companies exceeds 5 billion euros, if there are concrete risks to competition in the national market, or in a relevant part of it, also taking into account the detrimental effects on the development and dissemination of small-sized enterprises characterized by innovative strategies, and no more than six months have passed since the completion of the operation. The Authority shall define by its own general provision, in accordance with the European Union legal framework, the procedural rules for the application of this paragraph. In case of failure to notify, the sanctions referred to in Article 19, paragraph 2 shall apply. The provisions of this paragraph do not apply to concentration operations completed before the date of its entry into force."  </w:t>
        <w:br/>
        <w:t xml:space="preserve">2. Preconditions for the application of Article 16, paragraph 1-bis, of the law  </w:t>
        <w:br/>
        <w:t xml:space="preserve">The cited norm recognizes a limited intervention power to the Authority for operations that cumulatively meet the following preconditions:  </w:t>
        <w:br/>
        <w:t xml:space="preserve">(a) no more than six months have passed since their completion;  </w:t>
        <w:br/>
        <w:t xml:space="preserve">(b) only one of the two turnover thresholds referred to in Article 16, paragraph 11, of the law has been exceeded, or the total turnover achieved worldwide by the group of interested companies exceeds 5 billion euros; and  </w:t>
        <w:br/>
        <w:t xml:space="preserve">(c) the Authority, based on the information in its possession, identifies the existence of concrete competitive risks in the national market (or in a relevant part of it), also taking into account the detrimental effects on the development and dissemination of small-sized enterprises characterized by innovative strategies.  </w:t>
        <w:br/>
        <w:t xml:space="preserve">Clearly defining the scope of application of the new power is particularly important in order to reduce the legal uncertainty that could arise for companies undertaking concentration operations. Before proceeding to regulate procedural issues, therefore, the Authority considers it appropriate to provide some preliminary clarifications on the temporal and substantive scope of the norm.  </w:t>
        <w:br/>
        <w:t xml:space="preserve">(i) Temporal scope of application  </w:t>
        <w:br/>
        <w:t xml:space="preserve">The text of the article clarifies that the norm does not apply to concentration operations completed before the date of entry into force of the provision. At the same time, as highlighted, the Authority's power to request notification of certain concentration operations is limited to operations that have been completed within the last six months at most. In this regard, it is therefore possible to refer to the principles already stated by this Authority in the Communication of 14 November 2012, concerning the New regulations regarding the obligation of prior notification of concentration operations, namely that a concentration operation is considered completed at the moment when the effect of acquiring control occurs. In light of this general criterion, where a concentration is carried out through a complex negotiation sequence, the maximum time limit within which it would be possible to request notification to the Authority of a concentration operation is six months from the date of conclusion of the definitive contract (so-called closing), or from when the transfer of control occurs.  </w:t>
        <w:br/>
        <w:t xml:space="preserve">(ii) Existence of concrete competitive risks  </w:t>
        <w:br/>
        <w:t xml:space="preserve">The norm may concern concentration operations of various natures that, if the preconditions are met, may pose concrete risks to competition in the national market (or in a relevant part of it). The analysis may be based on evidence of the prima facie existence of such risks. For example, the norm may apply to the acquisition by a large national and/or global company of a company with limited or non-existent national turnover, but also to concentrations between small/medium-sized national companies.  </w:t>
        <w:br/>
        <w:t xml:space="preserve">In general, the Authority may assess the existence of concrete risks to competition taking into account all relevant characteristics of the interested companies and the markets in which they operate, considering, where available, elements such as:  </w:t>
        <w:br/>
        <w:t xml:space="preserve">1. the structure of the markets;  </w:t>
        <w:br/>
        <w:t xml:space="preserve">2. the characteristics of the operators involved;  </w:t>
        <w:br/>
        <w:t xml:space="preserve">3. the nature of the activity carried out by the interested companies and its relevance for consumers and/or other companies;  </w:t>
        <w:br/>
        <w:t xml:space="preserve">4. the relevance of the innovative activity carried out;  </w:t>
        <w:br/>
        <w:t xml:space="preserve">5. the competitive constraint exerted by one or more companies beyond the market share.  </w:t>
        <w:br/>
        <w:t xml:space="preserve">Market shares and the degree of concentration—measured, for example, through the Herfindahl-Hirschman Index (“HHI”)—often provide a useful initial indication of the market power and competitive significance of both the participants in the concentration and their competitors.  </w:t>
        <w:br/>
        <w:t xml:space="preserve">For example, it is unlikely that the Authority will request notification of a horizontal concentration operation where, after the concentration, the market share of the group of interested companies is below 25%.2 Furthermore, it is unlikely that, within the context of a horizontal concentration, the Authority will consider that a concrete risk to competition exists:  </w:t>
        <w:br/>
        <w:t xml:space="preserve">1. in a market where, after the concentration, the HHI index is below 1,000;  </w:t>
        <w:br/>
        <w:t xml:space="preserve">2. if, after the concentration, the HHI index is between 1,000 and 2,000 and the delta is below 250;  </w:t>
        <w:br/>
        <w:t xml:space="preserve">3. if, after the concentration, the HHI index is above 2,000 and the delta is below 150, unless there are particular circumstances.  </w:t>
        <w:br/>
        <w:t xml:space="preserve">Also by way of example, it is also unlikely that the Authority will request notification of a non-horizontal concentration operation where, after the concentration, the market share of the new company in each of the relevant markets is below 30% and the HHI index is below 2,000.3  </w:t>
        <w:br/>
        <w:t xml:space="preserve">In any case—especially where turnover is not indicative of the competitive constraint that a company exerts or may exert in the national market or in a relevant part of it—the Authority may take into account further elements such as, for example, the circumstance that a company:  </w:t>
        <w:br/>
        <w:t xml:space="preserve">1. is a start-up or a new operator with significant competitive potential that has yet to develop or adopt a business model that generates significant revenues (or is still in the early stages of implementing such a model);  </w:t>
        <w:br/>
        <w:t xml:space="preserve">2. is a significant innovator or is conducting potentially important research activities;  </w:t>
        <w:br/>
        <w:t xml:space="preserve">3. is a significant competitive force, current or potential;  </w:t>
        <w:br/>
        <w:t xml:space="preserve">4. has access to significant competition-relevant assets (such as raw materials, infrastructure, data, or intellectual property rights); and/or  </w:t>
        <w:br/>
        <w:t xml:space="preserve">5. provides products or services that are key inputs/components for other sectors.  </w:t>
        <w:br/>
        <w:t xml:space="preserve">The Authority may also consider whether the value of the consideration received by the seller is particularly high compared to the current turnover of the acquired company.  </w:t>
        <w:br/>
        <w:t xml:space="preserve">As noted above, paragraph 1-bis of Article 16 of the law, however, provides that the Authority may request to notify the concentration operation only if there are concrete risks to competition "in the national market, or in a relevant part of it."  </w:t>
        <w:br/>
        <w:t xml:space="preserve">In the event that the companies involved in the concentration operation generate turnover in Italy, it can be presumed that the effects of the operation may occur in the national market, or in a relevant part of it.  </w:t>
        <w:br/>
        <w:t xml:space="preserve">In the event that none of the companies involved in the concentration operation generate turnover in Italy, the Authority will assess whether, in light of the specific characteristics of the operation and the interested companies, the concentration still appears destined to affect competition in the national market, or in a relevant part of it, considering, for example:  </w:t>
        <w:br/>
        <w:t xml:space="preserve">a) the spread in Italy of the activities concerned among users/consumers of the services of the involved companies, even if these are services that are not provided for monetary compensation: in the digital sector, for example, reference may be made to the daily or monthly number of users of such digital services residing in Italy or the number of accesses by individual users residing in Italy to a specific website;  </w:t>
        <w:br/>
        <w:t xml:space="preserve">b) the location in the national territory of the headquarters of the company, production plants, and/or research or experimentation laboratories;  </w:t>
        <w:br/>
        <w:t>3 See Guidelines on the assessment of non-horizontal concentrations pursuant to the Council Regulation on the control of concentrations between undertakings (OJ C 265, 18.10.2008).</w:t>
      </w:r>
    </w:p>
    <w:p>
      <w:r>
        <w:rPr>
          <w:b/>
        </w:rPr>
        <w:t>[Pages 85–87]</w:t>
      </w:r>
    </w:p>
    <w:p>
      <w:r>
        <w:t>BULLETIN NO. 46 OF 27 DECEMBER 2022 87</w:t>
        <w:br/>
        <w:t>c) the conduct of R&amp;D activities potentially relevant to the national market: for example, it may be relevant that the research results are marketable in the national territory, the ownership of a particular patent, or having initiated the approval process for a drug to be distributed in the national territory;</w:t>
        <w:br/>
        <w:t>d) the existence of a plan to enter the national market: consideration will be given, for example, to the prospect of opening production facilities, the hiring of personnel that has occurred or is imminent, the processes for obtaining trade authorizations, or the expectation of concluding sales contracts, always in Italy;</w:t>
        <w:br/>
        <w:t>e) any other significant connection with the national market or a relevant part thereof that emerges from the characteristics of the operation.</w:t>
        <w:br/>
        <w:t>3. Procedural aspects</w:t>
        <w:br/>
        <w:t>In order to ascertain the existence and scope of a concentration operation relevant under Article 16, paragraph 1-bis, of the law, the Authority may avail itself of the investigative powers provided for in Article 16-bis, paragraph 1, of the law. In case of non-compliance, the sanctions provided for in paragraph 2 of that article shall apply.</w:t>
        <w:br/>
        <w:t>When the Authority becomes aware of a concentration operation that prima facie meets the conditions indicated in paragraph 2 of this Communication, it may request, with justification, each of the companies involved to notify the operation. This request is made pursuant to Article 16, paragraph 1-bis, and Article 16-bis, paragraph 1, of the law.</w:t>
        <w:br/>
        <w:t>For the notion of "interested company," reference is made to the consolidated Communication of the Commission on the criteria for jurisdictional competence pursuant to Council Regulation (EC) No. 139/2004 on the control of concentrations between undertakings (paragraphs 129-153).</w:t>
        <w:br/>
        <w:t>The notification must occur within thirty days from the receipt of the request by the recipient. The Authority reserves the possibility, in exceptional cases, based on a reasoned and timely request from the interested companies, to extend the aforementioned term by up to an additional thirty days. In cases of acquisition of control, if the recipient of the Authority's request does not coincide with the company acquiring control, the communication of the operation may also be made by the latter company.</w:t>
        <w:br/>
        <w:t>The notification must be made in accordance with the procedures set out in Article 5 of the D.P.R. 30 April 1998, No. 217.</w:t>
        <w:br/>
        <w:t>If the notification does not occur within the term indicated in the Authority's request, the recipient of the request shall be subject to the sanctions provided for in Article 19, paragraph 2, of the law. If, in the communication of the operation, the companies omit, even partially, to provide the requested information or documents, or provide untruthful information or documents, the sanctions provided for in Article 16-bis, paragraph 2, of the law shall apply.</w:t>
        <w:br/>
        <w:t>If the Authority believes that the communicated concentration operation may be prohibited under Article 6 of the law, it shall initiate the investigation within thirty days from the receipt of the complete notification.</w:t>
        <w:br/>
        <w:t>The operations notified pursuant to Article 16, paragraph 1-bis, of the law are subject to the provisions of the law regarding the assessment of concentration operations, as well as the relevant provisions of the D.P.R. 30 April 1998, No. 217.</w:t>
      </w:r>
    </w:p>
    <w:p>
      <w:r>
        <w:t>88 BULLETIN NO. 46 OF 27 DECEMBER 2022</w:t>
        <w:br/>
        <w:t>The formulation of the request pursuant to Article 16, paragraph 1-bis, of the law does not preclude the exercise of the referral power provided for in Article 22 of Regulation (EC) No. 139/2004, if the requirements are met.</w:t>
        <w:br/>
        <w:t>The Authority shall publish on its website (www.agcm.it) a notice regarding the communication made pursuant to Article 16, paragraph 1-bis, of the law, of the operations mentioned above. To this end, the interested companies must provide, at the time of submission of the formal communication, prior consent to the publication of the notice.</w:t>
        <w:br/>
        <w:t>Voluntary communication of operations under Article 16, paragraph 1-bis, of the law</w:t>
        <w:br/>
        <w:t>If the interested companies believe that a concentration operation that does not need to be notified either to the European Commission or to the Authority falls within the scope of the provision of Article 16, paragraph 1-bis, of the law, they may voluntarily inform the Authority.</w:t>
        <w:br/>
        <w:t>Although such communication may occur even before the completion of the operation, it is necessary that the parties have already reached an agreement on the essential elements of the transaction, so as to allow the Authority a complete assessment.</w:t>
        <w:br/>
        <w:t>In this case, the companies may submit to the Authority a document containing at least the following information:</w:t>
        <w:br/>
        <w:t>− indication of the parties proceeding with the operation;</w:t>
        <w:br/>
        <w:t>− brief description of the modalities of the operation, including the indication of the date on which the transfer of control occurred (or will occur);</w:t>
        <w:br/>
        <w:t>− indication of the surpassing of one of the two turnover thresholds referred to in Article 16, paragraph 1, of the law and/or the surpassing of the threshold of 5 billion euros in terms of total turnover achieved worldwide by the group of interested companies;</w:t>
        <w:br/>
        <w:t>− brief description of the markets affected by the operation;</w:t>
        <w:br/>
        <w:t>− position of the parties in the identified markets;</w:t>
        <w:br/>
        <w:t>− reasons why the operation could pose concrete risks to competition in the national market or in a relevant part thereof;</w:t>
        <w:br/>
        <w:t>− whether the operation has been or must be communicated to the competent authorities of other countries.</w:t>
        <w:br/>
        <w:t>The Authority, having evaluated the information provided, will communicate to the companies whether it intends to request the notification of the operation pursuant to Article 16, paragraph 1-bis, of the law within sixty days from the receipt of the complete voluntary communication.</w:t>
        <w:br/>
        <w:t>The Authority reserves the right to modify or supplement this communication after one year from the date of its publication in light of practical experience.</w:t>
      </w:r>
    </w:p>
    <w:p>
      <w:r>
        <w:t>BULLETIN NO. 46 OF 27 DECEMBER 2022 89</w:t>
        <w:br/>
        <w:t>BUDGET FORECAST FOR THE FINANCIAL YEAR 2023 AND MULTIYEAR</w:t>
        <w:br/>
        <w:t>2023-2025</w:t>
        <w:br/>
        <w:t>Provision No. 30413</w:t>
        <w:br/>
        <w:t>THE COMPETITION AND MARKET AUTHORITY</w:t>
        <w:br/>
        <w:t>IN ITS MEETING of 30 November 2022;</w:t>
        <w:br/>
        <w:t>HAVING REGARD to paragraph 7 of Article 10 of Law No. 287 of 10 October 1990;</w:t>
        <w:br/>
        <w:t>HAVING REGARD to the Regulation concerning the discipline of the accounting autonomy of the Authority published in the Special Edition of the Bulletin - supplement to No. 40/2015 of 9 November 2015, and in particular Article 17;</w:t>
        <w:br/>
        <w:t>HAVING REGARD to paragraph 7-ter of Article 10 of Law No. 287/90, introduced by paragraph 1 of Article 5-bis of Decree-Law No. 1 of 24 January 2012, as amended by the conversion law of 24 March 2012, No. 27, which establishes that the burden arising from the operation of the Competition and Market Authority is covered by a contribution equal to 0.08 per thousand of the turnover resulting from the last approved financial statement of capital companies with total revenues exceeding 50 million euros;</w:t>
        <w:br/>
        <w:t>HAVING REGARD to the resolution of the Authority of 22 February 2022 No. 30033 which confirmed for the year 2022, pursuant to Article 10, paragraph 7-quater of Law No. 287/90, the reduction of the contribution by 0.025 per thousand compared to the rate established by law, setting it at 0.055 per thousand of the turnover resulting from the last approved financial statement, as of the date of the same resolution, of capital companies with total revenues exceeding 50 million euros, without prejudice to the criteria established by paragraph 2 of Article 16 of Law No. 287/90;</w:t>
        <w:br/>
        <w:t>HAVING REGARD to the provisions for containing public spending introduced by Law No. 160 of 27 December 2019 "State budget forecast for the financial year 2020 and multiannual budget for the three-year period 2020-2022";</w:t>
        <w:br/>
        <w:t>HAVING REGARD to Article 53, paragraph 6, letter b), of Decree-Law No. 77 of 31 May 2021, concerning the Governance of the National Recovery and Resilience Plan and initial measures to strengthen administrative structures and accelerate and streamline procedures, converted into law No. 108 of 29 July 2021, which repealed paragraphs 610, 611, 612, and 613 of Article 1 of Law No. 160 of 27 December 2019;</w:t>
        <w:br/>
        <w:t>HAVING REGARD to the draft annual budget forecast for 2023 and multiannual budget for 2023-2025 prepared by the General Administration Directorate – Budget and Accounting Directorate and presented by the Secretary General;</w:t>
        <w:br/>
        <w:t>HAVING REGARD to the report of the Board of Auditors attached to minutes No. 223 of 29 November 2022, which expressed a favorable opinion on the approval of the draft annual budget forecast for 2023 and multiannual budget for 2023-2025;</w:t>
        <w:br/>
        <w:t>ON THE PROPOSAL of the Secretary General;</w:t>
      </w:r>
    </w:p>
    <w:p>
      <w:r>
        <w:rPr>
          <w:b/>
        </w:rPr>
        <w:t>[Pages 88–89]</w:t>
      </w:r>
    </w:p>
    <w:p>
      <w:r>
        <w:t>90 BULLETIN NO. 46 OF 27 DECEMBER 2022</w:t>
        <w:br/>
        <w:t>RESOLUTION</w:t>
        <w:br/>
        <w:t>1. to approve the annual budget forecast for 2023 and the multi-year budget for 2023-2025 in the attached version, which is an integral part of this resolution;</w:t>
        <w:br/>
        <w:t>2. to publish this resolution and the draft budget forecast for the year 2023 in the Official Gazette of the Italian Republic and on the institutional website of the Authority.</w:t>
        <w:br/>
        <w:t>THE SECRETARY GENERAL THE PRESIDENT</w:t>
        <w:br/>
        <w:t>Guido Stazi Roberto Rustichelli</w:t>
      </w:r>
    </w:p>
    <w:p>
      <w:r>
        <w:t>Antitrust Authority Weekly Bulletin</w:t>
        <w:br/>
        <w:t>of Competition and Market Year XXXII - No. 46 - 2022</w:t>
        <w:br/>
        <w:t>Editorial Coordination Giulia Antenucci</w:t>
        <w:br/>
        <w:t>Editorial Staff Valerio Ruocco, Simonetta Schettini, Manuela Villani</w:t>
        <w:br/>
        <w:t>Antitrust Authority</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