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https://www.agcm.it/dotcmsdoc/bollettini/2023/46-23.pdf</w:t>
      </w:r>
    </w:p>
    <w:p>
      <w:r>
        <w:t>Pages translated : 55</w:t>
      </w:r>
    </w:p>
    <w:p/>
    <w:p>
      <w:r>
        <w:rPr>
          <w:b/>
        </w:rPr>
        <w:t>[Pages 1–3]</w:t>
      </w:r>
    </w:p>
    <w:p>
      <w:r>
        <w:t>Bulletin</w:t>
        <w:br/>
        <w:t>Weekly</w:t>
        <w:br/>
        <w:t>Year XXXIII - No. 46</w:t>
        <w:br/>
        <w:t>Published on the website www.agcm.it</w:t>
        <w:br/>
        <w:t>December 4, 2023</w:t>
      </w:r>
    </w:p>
    <w:p>
      <w:r>
        <w:t>SUMMARY</w:t>
        <w:br/>
        <w:t>AGREEMENTS AND ABUSE OF DOMINANT POSITION 5</w:t>
        <w:br/>
        <w:t>I801AB - TAXI TRANSPORT BOOKING SERVICES - ROME - NON-COMPLIANCE</w:t>
        <w:br/>
        <w:t>Provision No. 30880 5</w:t>
        <w:br/>
        <w:t>I859 - PROCUREMENT AND SUPPLY OF RADIOPHARMACEUTICALS</w:t>
        <w:br/>
        <w:t>Provision No. 30881 7</w:t>
        <w:br/>
        <w:t>CONCENTRATION OPERATIONS 8</w:t>
        <w:br/>
        <w:t>C12566 - X3G MERGECO/PRELIOS</w:t>
        <w:br/>
        <w:t>Provision No. 30877 8</w:t>
        <w:br/>
        <w:t>C12577 - UNIEURO/COVERCARE</w:t>
        <w:br/>
        <w:t>Provision No. 30878 14</w:t>
        <w:br/>
        <w:t>C12578 - ADECCO HOLDING FRANCE/IZIWORK</w:t>
        <w:br/>
        <w:t>Provision No. 30879 24</w:t>
        <w:br/>
        <w:t>REPORTING AND CONSULTATIVE ACTIVITIES 25</w:t>
        <w:br/>
        <w:t>AS1927 – PORT SYSTEM AUTHORITY OF THE IONIAN SEA - ESTABLISHMENT OF THE AGENCY</w:t>
        <w:br/>
        <w:t>25</w:t>
        <w:br/>
        <w:t>FOR TEMPORARY WORK</w:t>
        <w:br/>
        <w:t>AS1928 - MUNICIPALITY OF BAGNOLI IRPINO (AV) - MUNICIPAL REGULATION FOR THE RENTAL</w:t>
        <w:br/>
        <w:t>31</w:t>
        <w:br/>
        <w:t>OF VARIOUS VEHICLES WITHOUT A DRIVER</w:t>
        <w:br/>
        <w:t>UNFAIR COMMERCIAL PRACTICES 34</w:t>
        <w:br/>
        <w:t>PS12502 - LE STYLE DE PARIS - ONLINE SALES</w:t>
        <w:br/>
        <w:t>Provision No. 30883 34</w:t>
        <w:br/>
        <w:t>PS12660 - INTESA SANPAOLO/ISYBANK - TRANSFER OF CURRENT ACCOUNTS</w:t>
        <w:br/>
        <w:t>Provision No. 30884 42</w:t>
      </w:r>
    </w:p>
    <w:p>
      <w:r>
        <w:t>BULLETIN NO. 46 OF DECEMBER 4, 2023 5</w:t>
        <w:br/>
        <w:t>AGREEMENTS AND ABUSE OF DOMINANT POSITION</w:t>
        <w:br/>
        <w:t>I801AB - TAXI TRANSPORT BOOKING SERVICES - ROME - NON-COMPLIANCE</w:t>
        <w:br/>
        <w:t>Provision No. 30880</w:t>
        <w:br/>
        <w:t>THE ITALIAN COMPETITION AUTHORITY</w:t>
        <w:br/>
        <w:t>IN ITS MEETING of November 14, 2023;</w:t>
        <w:br/>
        <w:t>HEARD the Rapporteur, Saverio Valentino;</w:t>
        <w:br/>
        <w:t>HAVING REGARD to Law No. 287 of October 10, 1990;</w:t>
        <w:br/>
        <w:t>HAVING REGARD, in particular, to Article 15, paragraph 2, of the aforementioned law, in the part that provides that, in case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by which the payment of the sanction must be made;</w:t>
        <w:br/>
        <w:t>HAVING REGARD to Law No. 689 of November 24, 1981;</w:t>
        <w:br/>
        <w:t>HAVING REGARD to the decree of the President of the Republic No. 217 of June 30, 1998;</w:t>
        <w:br/>
        <w:t>HAVING REGARD to its provision No. 27244 of June 27, 2018, confirmed by the Council of State with judgment No. 7991 of December 14, 2020, with which the Authority found that the companies Radiotaxi 3570 - Società Cooperativa, Cooperativa Pronto Taxi 6645 - Società Cooperativa and Samarcanda - Società Cooperativa have engaged in restrictive agreements of competition with reference to the provision, in the acts governing the relationships between the aforementioned companies and the taxi drivers adhering to them, of clauses that identify specific non-competition obligations, which, taken together, are capable of producing anti-competitive effects by preventing or hindering the entry of competing companies into the market for the provision of demand collection and routing services for the taxi service in the Municipality of Rome.</w:t>
        <w:br/>
        <w:t>HAVING REGARD to its provision No. 30716 of July 18, 2023, with which it was resolved to contest to Radiotaxi 3570 - Società Cooperativa the violation referred to in Article 15, paragraph 2, of Law No. 287/1990 for non-compliance with the aforementioned Authority provision No. 27244 of June 27, 2018;</w:t>
        <w:br/>
        <w:t>HAVING REGARD to the request for an extension of the deadline for concluding the proceeding for a period of no less than one month, submitted by the Società Cooperativa Radiotaxi 3570 on November 7, 2023, in order to have the necessary time to implement the measures to achieve compliance and to exercise its rights of defense through access to the investigation file;</w:t>
        <w:br/>
        <w:t>CONSIDERING the need to ensure the Party the broadest exercise of the right of defense in order to fully guarantee the right to adversarial proceedings;</w:t>
      </w:r>
    </w:p>
    <w:p>
      <w:r>
        <w:rPr>
          <w:b/>
        </w:rPr>
        <w:t>[Pages 4–6]</w:t>
      </w:r>
    </w:p>
    <w:p>
      <w:r>
        <w:t>6 BULLETIN NO. 46 OF DECEMBER 4, 2023</w:t>
        <w:br/>
        <w:t>CONSIDERING also the complexity of the case subject to the proceeding and the elements acquired during the investigation;</w:t>
        <w:br/>
        <w:t>CONSIDERING, therefore, in order to guarantee the full exercise of the defense rights of the Party and to thoroughly evaluate the aspects subject to the proceeding, that it is necessary to extend the deadline for the conclusion of the proceeding, which must currently be concluded within one hundred eighty days from the notification of provision No. 30716/2023 and, therefore, by January 14, 2024;</w:t>
        <w:br/>
        <w:t>RESOLVES</w:t>
        <w:br/>
        <w:t>to extend the deadline for the conclusion of the proceeding to February 28, 2024.</w:t>
        <w:br/>
        <w:t>This provision will be notified to the interested party and published in the Bulletin of the Italian Competition Authority.</w:t>
        <w:br/>
        <w:t>THE SECRETARY GENERAL THE PRESIDENT</w:t>
        <w:br/>
        <w:t>Guido Stazi Roberto Rustichelli</w:t>
      </w:r>
    </w:p>
    <w:p>
      <w:r>
        <w:t>BULLETIN NO. 46 OF DECEMBER 4, 2023 7</w:t>
        <w:br/>
        <w:t>I859 - PROCUREMENT AND SUPPLY OF RADIOPHARMACEUTICALS</w:t>
        <w:br/>
        <w:t>Provision No. 30881</w:t>
        <w:br/>
        <w:t>THE ITALIAN COMPETITION AUTHORITY</w:t>
        <w:br/>
        <w:t>IN ITS MEETING of November 14, 2023;</w:t>
        <w:br/>
        <w:t>HEARD the Rapporteur Saverio Valentino;</w:t>
        <w:br/>
        <w:t>HAVING REGARD to Article 101 of the Treaty on the Functioning of the European Union (TFEU);</w:t>
        <w:br/>
        <w:t>HAVING REGARD to Council Regulation No. 1/2003 of December 16, 2002, concerning the application of the competition rules laid down in Articles 101 and 102 of the TFEU;</w:t>
        <w:br/>
        <w:t>HAVING REGARD to Law No. 287 of October 10, 1990;</w:t>
        <w:br/>
        <w:t>HAVING REGARD to Presidential Decree No. 217 of April 30, 1998;</w:t>
        <w:br/>
        <w:t>HAVING REGARD to its provision of March 29, 2022, No. 30089, which initiated an investigation, pursuant to Article 14 of Law No. 287/1990, against the companies Novartis AG, Advanced Accelerator Applications S.r.l., Curium Netherlands Holding B.V., Curium Italy S.r.l., ITEL Telecomunicazioni S.r.l., GE Healthcare International B.V., GE Healthcare Italia S.r.l., ACOM - Advanced Center Oncology Macerata – S.r.l. and the Italian Association of Nuclear Medicine and Molecular Imaging (AIMN), to ascertain the existence of any violations of Article 101 TFEU;</w:t>
        <w:br/>
        <w:t>HAVING REGARD to its provision of May 2, 2023, No. 30627, which extended the final deadline of the proceeding to November 30, 2023;</w:t>
        <w:br/>
        <w:t>HAVING REGARD to all the acts of the proceeding;</w:t>
        <w:br/>
        <w:t>CONSIDERING the complexity of the case under analysis and the need to conduct further investigative deepening, as well as the necessity to carry out a complete analysis of the numerous evidence collected;</w:t>
        <w:br/>
        <w:t>CONSIDERING the need to ensure the Parties the broadest exercise of their defense rights and the right to be heard;</w:t>
        <w:br/>
        <w:t>THEREFORE, CONSIDERING it necessary to extend the deadline for the conclusion of the proceeding, currently set for November 30, 2023;</w:t>
        <w:br/>
        <w:t>RESOLVES</w:t>
        <w:br/>
        <w:t>to extend the deadline for the conclusion of the proceeding to July 1, 2024.</w:t>
        <w:br/>
        <w:t>This provision will be notified to the interested parties and published in the Bulletin of the Italian Competition Authority.</w:t>
        <w:br/>
        <w:t>THE SECRETARY GENERAL THE PRESIDENT</w:t>
        <w:br/>
        <w:t>Guido Stazi Roberto Rustichelli</w:t>
      </w:r>
    </w:p>
    <w:p>
      <w:r>
        <w:t>8 BULLETIN NO. 46 OF DECEMBER 4, 2023</w:t>
        <w:br/>
        <w:t>CONCENTRATION OPERATIONS</w:t>
        <w:br/>
        <w:t>C12566 - X3G MERGECO/PRELIOS</w:t>
        <w:br/>
        <w:t>Provision No. 30877</w:t>
        <w:br/>
        <w:t>THE ITALIAN COMPETITION AUTHORITY</w:t>
        <w:br/>
        <w:t>IN ITS MEETING of November 14, 2023;</w:t>
        <w:br/>
        <w:t>HEARD the Rapporteur, Professor Elisabetta Iossa;</w:t>
        <w:br/>
        <w:t>HAVING REGARD to Regulation (EC) No. 139/2004;</w:t>
        <w:br/>
        <w:t>HAVING REGARD to Law No. 287 of October 10, 1990;</w:t>
        <w:br/>
        <w:t>HAVING REGARD to Presidential Decree No. 217 of April 30, 1998;</w:t>
        <w:br/>
        <w:t>HAVING REGARD to the communication from X3G Mergeco S.p.A., received on September 14, 2023;</w:t>
        <w:br/>
        <w:t>HAVING REGARD to the request for information pursuant to Article 16-bis of Law No. 287/1990, sent on October 11, 2023, resulting in the interruption of deadlines pursuant to Article 5, paragraph 3, of Presidential Decree No. 217 of April 30, 1998;</w:t>
        <w:br/>
        <w:t>HAVING REGARD to the additional information sent by X3G Mergeco S.p.A., received on October 17, 2023;</w:t>
        <w:br/>
        <w:t>CONSIDERING the following:</w:t>
        <w:br/>
        <w:t>I. THE PARTIES</w:t>
        <w:br/>
        <w:t>1. X3G Mergeco S.p.A. (hereinafter, “X3G”) is a company under Italian law whose capital is wholly and indirectly held by ION Investment Corporation S.à.r.l. (hereinafter, “ION”). ION is a permanent capital investment holding company that, through its operating subsidiaries, serves numerous global financial institutions, central banks, and capital companies, and invests in three main areas: financial technology, software automation, and data and analytics. In particular, in Italy, ION operates, among others, through its subsidiaries: i. Cerved Group S.p.A. (hereinafter, “Cerved”), a company active in the provision of corporate and commercial information services (data and analytics), in the evaluation and management of credits and other problematic assets on behalf of third parties, as well as in the offering of specific information, market analysis, and other consulting services and customized projects1; and ii. Cedacri S.p.A. (hereinafter, “Cedacri”), a company active in the market for the development of Information Technology (hereinafter, “IT”) solutions for the banking, financial, and insurance services sector2. The share capital of ION is held by a natural person.</w:t>
        <w:br/>
        <w:t>1 See provision No. 28616 of March 23, 2021, C12366 - Castor/Cerved Group, in Bulletin No. 15/2021.</w:t>
        <w:br/>
        <w:t>2 See Provision No. 28615 of March 23, 2021, C12365 - DGB Bidco Holdings/Cerved Group, in Bulletin No. 15/2021.</w:t>
      </w:r>
    </w:p>
    <w:p>
      <w:r>
        <w:rPr>
          <w:b/>
        </w:rPr>
        <w:t>[Pages 7–9]</w:t>
      </w:r>
    </w:p>
    <w:p>
      <w:r>
        <w:t>BULLETIN NO. 46 OF DECEMBER 4, 2023 9</w:t>
        <w:br/>
        <w:t>In 2022, the revenue of the companies controlled by the individual who holds control of ION was approximately [3-4]* billion globally, of which approximately [1-2] billion in the European Union and approximately [1-2] billion in Italy.</w:t>
        <w:br/>
        <w:t>2. Prelios S.p.A. (hereinafter, “Prelios”) is the holding company of the eponymous group active in the management of alternative assets, credit servicing, and specialized real estate services. The group's managed assets include, in particular, non-performing loans, unlikely to pay exposures, and real estate funds. A residual part of Prelios' capital is held by a trust company acting in the interest and on behalf of certain managers of the group, while the vast majority of the share capital is held by the company Lavaredo S.r.l., whose capital is held by Lavaredo UK Holdings S.à.r.l., which in turn is held by the Irish law companies Beaumont Summit Finance DAC and Bluestack Capital DAC, two vehicles attributable to the Davidson Kempner Capital Management group, which thus indirectly controls Prelios. This group is not active directly or indirectly in the markets affected by the present transaction.</w:t>
        <w:br/>
        <w:t>In 2022, the revenue generated by Prelios was approximately [100-532] million euros globally, of which approximately [100-532] million in Europe and approximately [100-532] in Italy.</w:t>
        <w:br/>
        <w:t>II. DESCRIPTION OF THE TRANSACTION</w:t>
        <w:br/>
        <w:t>3. The notified transaction concerns the acquisition of the entire share capital and, therefore, the exclusive control of the company Prelios by X3G. The terms and conditions of the transaction are governed by a specific sale and purchase agreement. Furthermore, an investment agreement has been signed which includes, among other things, certain rules regarding the governance of the post-merger entity, which govern, inter alia, certain rights of minority shareholders and define certain limited veto rights on non-strategic matters. The transaction is subject to certain suspensive conditions, including obtaining the necessary authorizations from the Authority.</w:t>
        <w:br/>
        <w:t>4. From a substantive perspective, according to the notifying Party, the transaction represents a financial investment for X3G/ION aimed at ensuring continuity and further enhancing the current industrial project of Prelios.</w:t>
        <w:br/>
        <w:t>5. The transaction also includes a non-competition clause whereby certain individuals who were previously managers of the Prelios group, for a period of 5 years, will not be able to: i. [omitted]; ii. [omitted].</w:t>
        <w:br/>
        <w:t>III. QUALIFICATION OF THE TRANSACTION</w:t>
        <w:br/>
        <w:t>6. The notified transaction, as it involves the acquisition of control of a company, constitutes a concentration pursuant to Article 5, paragraph 1, letter b), of Law No. 287/1990. It falls within the scope of application of Law No. 287/1990, as the conditions set out in Article 1 of Regulation (EC) 139/2004 do not apply, and is subject to the obligation of prior notification provided for by Article 16, paragraph 1, of the same law, as the total revenue generated in the last financial year at the national level by the group of companies involved was over 532 million euros and the total revenue generated, in the last financial year at the national level, individually by at least two of the companies involved was over 32 million euros3.</w:t>
        <w:br/>
        <w:t>7. The non-competition clause described above can be qualified as ancillary to the extent that it contains restrictions directly related and necessary for the realization of the notified transaction, as it is functional to safeguarding the value of the acquired company, provided that it is limited in time to a period of two years and does not prevent the seller from acquiring or holding shares solely for financial investment purposes4.</w:t>
        <w:br/>
        <w:t>IV. ASSESSMENT OF THE CONCENTRATION</w:t>
        <w:br/>
        <w:t>a) The relevant markets</w:t>
        <w:br/>
        <w:t>8. Due to the activities carried out by the company subject to acquisition, the transaction in question concerns, from a commodity perspective, the following markets: i. credit management and collection services on behalf of third parties; ii. real estate services; and iii. management of mutual investment funds.</w:t>
        <w:br/>
        <w:t>9. With regard to the first market, in line with the Authority's decision-making practice, credit management and collection services on behalf of third parties consist of activities aimed at recovering debts from third parties and include all operations necessary for debt collection, from telephone reminders to legal action, home visits, and the preparation and sending of the notice of default5.</w:t>
        <w:br/>
        <w:t>Regarding the geographical relevance, the market in question has a national dimension, considering the specific competitive conditions existing in this area and the factors that affect telephone solicitation activities (language barriers, national telephone rates, and geographical proximity for home visits).</w:t>
        <w:br/>
        <w:t>10. In relation to the real estate services market, according to the Authority's precedents, it includes the following activities: (a) property management, related to the management of properties (definition and renegotiation of lease contracts, administration of security deposits, monitoring of ordinary maintenance activities charged to tenants); (b) project management, i.e., the coordination and direction of extraordinary works on properties; and (c) agency services, concerning the sale and rental of properties, as well as related promotional and marketing initiatives6.</w:t>
        <w:br/>
        <w:t>The geographical dimension of this market can initially be considered local; however, from the perspective of an investor in the buying and managing of commercial properties, a certain degree of substitutability can be found between real estate complexes with the same intended use located in different Italian provinces. In fact, what determines the choice of investment is the profitability of the properties, which depends on multiple factors, including, but not limited to, the location in one province or another. In this perspective, also in light of some precedents of the Authority7, the relevant geographical area could be multi-provincial or national.</w:t>
        <w:br/>
        <w:t>11. With reference to the activity of managing mutual investment funds, it falls, according to the consolidated practice of the Authority, within the sector of asset management, in relation to which an upstream management phase and a downstream distribution phase are distinguished, each of which leads to the identification of distinct markets along the supply chain, both in geographical and product terms8. Furthermore, a distinction can be made between open-end mutual funds, which allow for subscriptions or redemptions at any time, and closed-end funds, in which the capital is fixed and contributed at the time of their establishment. Mutual funds (both closed and open) can also be distinguished based on the main types of assets in which the fund invests; in this regard, a first distinction can be made, for example, between equity funds and real estate funds. According to the information provided by the Parties, Prelios is active in managing closed-end real estate funds reserved for qualified investors, while ION does not operate in this market.</w:t>
        <w:br/>
        <w:t>From the geographical dimension perspective, considering that the transaction in question concerns closed-end mutual funds reserved for qualified investors active at least throughout the national territory, in this specific case, the market for "distribution" appears to have a geographical dimension coinciding with that of "production," i.e., national9.</w:t>
        <w:br/>
        <w:t>12. Lastly, as communicated by the Parties in the Form, it is noted that there are some supply relationships between Prelios, as the buyer, and Cerved and Cedacri, as suppliers, respectively for the provision of commercial information services and IT and back-office services. These supply relationships would have limited economic relevance, would not be characterized by exclusive relationships, and would not involve a significant input for Prelios' activities.</w:t>
        <w:br/>
        <w:t>b) Effects of the transaction</w:t>
        <w:br/>
        <w:t>13. In the market for credit management and collection services on behalf of third parties, both Prelios and Cerved are active, with a revenue share of approximately [5-10%] and [5-10%], respectively; post-transaction, the combined share will thus be [10-15%]. Considering the assets under management, Prelios and Cerved hold approximately [5-10%] and [5-10%], respectively, with a post-merger share of approximately [15-20%] (2022 data estimated by the Parties).</w:t>
        <w:br/>
        <w:t>7 See ibidem and decision No. 16444 of February 1, 2007, C8256 - Giovanni Agnelli and c./Cushman&amp;Wakefield, in Bulletin No. 5/2007, as well as decision No. 16985 of June 21, 2007, C8560 - Pirelli &amp; c. Real Estate-Intesa Sanpaolo/Pirelli re facility management, in Bulletin No. 25/2007.</w:t>
        <w:br/>
        <w:t>8 More specifically, the production phase has a national geographical dimension, being normally centralized and homogeneous throughout the Italian territory. Regarding the distribution market, however, considering the limited mobility of demand, the geographical dimension has been defined by the Authority as being, in the first approximation, provincial.</w:t>
        <w:br/>
        <w:t>9 See decision No. 27888 of September 4, 2019, C12251 - Oaktree Capital Group Holdings/Castello SGR, in Bulletin No. 38/2019 and decision No. 28282 of June 23, 2020, C12303 - Fortezza Re/Torre SGR, in Bulletin No. 28/2020.</w:t>
      </w:r>
    </w:p>
    <w:p>
      <w:r>
        <w:rPr>
          <w:b/>
        </w:rPr>
        <w:t>[Pages 10–12]</w:t>
      </w:r>
    </w:p>
    <w:p>
      <w:r>
        <w:t>12 BULLETIN NO. 46 OF DECEMBER 4, 2023</w:t>
        <w:br/>
        <w:t>14. As a result of the transaction, therefore, given the presence of numerous and qualified competitors and the absence of significant barriers to entry, ION will not hold a market share that raises competitive concerns at least in terms of horizontal overlaps. In the market in question, in fact, there are, among others, doValue, the main operator with a share of approximately [20-25%] in revenues and [15-20%] in assets under management, AMCO, with a share of [15-20%] in revenues and approximately [5-10%] in assets under management, Intrum, with a share of approximately [5-10%] in revenues and [5-10%] in assets under management10 (market shares estimated by the Parties based on market studies). It should also be noted that the market is characterized by the absence of significant barriers to entry, limited to the requirement for the necessary regulatory authorizations and the acquisition of assets to be managed, as evidenced by the numerous operators present and the constant entry of new companies.</w:t>
        <w:br/>
        <w:t>15. In the market for real estate services considered as a whole, according to the estimates provided by the Parties, the joint national share would be below 1%11 (2021 data). Even if the post-merger positioning of the distinct activities of property management, project management, and agency were considered, the Parties would still hold shares below [1-5%]. The offering of real estate services, even when examining each of the different activities described above separately, is very fragmented and characterized by the presence of multiple and qualified competitors, also active at the international level. In light of the Parties' contained shares, and given the presence of numerous competitors, the transaction will not produce appreciable effects in the markets under consideration.</w:t>
        <w:br/>
        <w:t>16. Finally, as described above, in the management of closed-end real estate funds reserved for qualified investors, only Prelios is effectively active. The transaction, therefore, resulting in the substantial replacement of one operator with another, does not appear capable of causing any modification to the pre-existing competitive structures.</w:t>
        <w:br/>
        <w:t>17. Regarding the possible vertical effects resulting from the acquisition of Prelios by X3G, further information has been provided on the role of ION in the credit management and collection supply chain on behalf of third parties, as well as on the management of sensitive commercial information acquired by the group companies, specifically Cerved and Cedacri, through the services offered to their respective clients active in this area.</w:t>
        <w:br/>
        <w:t>18. In particular, the information provided regarding the type and functionalities of the services developed by Cedacri and Cerved accounts for a wide and varied offering, aimed at a broad range of operators, such as financial institutions, banks, insurance companies, financial intermediaries, payment institutions, public administration, securities brokerage firms, asset management companies, and businesses. These services are only partially dedicated to the management and collection of credits on behalf of third parties, whose relevance within the activities of the two companies remains contained. Even with specific reference to the management and collection of credits on behalf of third parties, the services of the two companies are directed towards a diversified clientele and are offered indiscriminately to the entire market, in which other qualified operators are also active.</w:t>
        <w:br/>
        <w:t>10 There are also operators such as Gardant, IFIS NPL Servicing, Crif, and iQera Italia and MBCredit Solutions with shares ranging from 2% to 6%.</w:t>
        <w:br/>
        <w:t>11 The Parties specify that this share also includes asset management activities.</w:t>
      </w:r>
    </w:p>
    <w:p>
      <w:r>
        <w:t>BULLETIN NO. 46 OF DECEMBER 4, 2023 13</w:t>
        <w:br/>
        <w:t>19. Regarding the management of sensitive commercial information acquired from Cerved and Cedacri through the services offered to their clientele, the Party has provided evidence regarding the adoption of confidentiality obligations and data processing in line with market standards, clarifying that the information remains the property of the clients and is not shared either within the company or at the group level.</w:t>
        <w:br/>
        <w:t>20. For these reasons, based on the information communicated, there are currently no vertical effects arising from the transaction that would allow ION to alter market dynamics.</w:t>
        <w:br/>
        <w:t>21. In light of the considerations outlined above, the transaction in question does not appear, as a whole, to be capable of producing harmful effects on competition, as it does not result in substantial changes in the affected markets.</w:t>
        <w:br/>
        <w:t>CONSIDERING, therefore, that the transaction in question does not significantly impede effective competition in the affected markets, pursuant to Article 6, paragraph 1, of Law No. 287/1990, and does not lead to the establishment or strengthening of a dominant position;</w:t>
        <w:br/>
        <w:t>CONSIDERING, furthermore, that the non-competition clause can be considered ancillary to the present transaction only within the limits indicated above and that the Authority reserves the right to assess, where the conditions exist, the aforementioned clause that extends beyond those limits;</w:t>
        <w:br/>
        <w:t>RESOLVES</w:t>
        <w:br/>
        <w:t>not to initiate the investigation referred to in Article 16, paragraph 4, of Law No. 287/1990.</w:t>
        <w:br/>
        <w:t>The conclusions mentioned above will be communicated, pursuant to Article 16, paragraph 4, of Law No. 287/90, to the interested companies and to the Minister of Enterprises and Made in Italy.</w:t>
        <w:br/>
        <w:t>The provision will be published in the Bulletin of the Italian Competition Authority.</w:t>
        <w:br/>
        <w:t>THE SECRETARY GENERAL THE PRESIDENT</w:t>
        <w:br/>
        <w:t>Guido Stazi Roberto Rustichelli</w:t>
      </w:r>
    </w:p>
    <w:p>
      <w:r>
        <w:t>14 BULLETIN NO. 46 OF DECEMBER 4, 2023</w:t>
        <w:br/>
        <w:t>C12577 - UNIEURO/COVERCARE</w:t>
        <w:br/>
        <w:t>Decision No. 30878</w:t>
        <w:br/>
        <w:t>THE ITALIAN COMPETITION AUTHORITY</w:t>
        <w:br/>
        <w:t>IN ITS MEETING of November 14, 2023;</w:t>
        <w:br/>
        <w:t>HEARD the Rapporteur, Professor Elisabetta Iossa;</w:t>
        <w:br/>
        <w:t>HAVING REGARD to Regulation (EC) No. 139/2004 of the Council, of January 20, 2004, concerning the control of concentrations between undertakings;</w:t>
        <w:br/>
        <w:t>HAVING REGARD to Law No. 287 of October 10, 1990;</w:t>
        <w:br/>
        <w:t>HAVING REGARD to the Presidential Decree No. 217 of April 30, 1998;</w:t>
        <w:br/>
        <w:t>HAVING REGARD to the communication made by the company Unieuro S.p.A., received on October 17, 2023;</w:t>
        <w:br/>
        <w:t>CONSIDERED the following</w:t>
        <w:br/>
        <w:t>I. THE PARTIES</w:t>
        <w:br/>
        <w:t>1. Unieuro S.p.A. (hereinafter, “Unieuro”) is a company primarily active in the retail and wholesale distribution of electronic products and household appliances, including air conditioning devices, as well as drones, electric bicycles, scooters, and related mobility accessories. Unieuro also offers a range of after-sales services, among which the warranty extension services appear relevant for the purposes of this decision. Unieuro markets these products through stores directly managed by the company, some located at major public transport hubs, and affiliated stores managed by third parties1. Unieuro is also active, directly or through its subsidiaries, in the online channel, through the websites unieuro.it and monclick.it2.</w:t>
        <w:br/>
        <w:t xml:space="preserve">2. In the fiscal year ending February 28, 2023, Unieuro achieved a consolidated worldwide revenue of approximately €2,884.3 million, of which €2,881 million from sales in Italy3. Sales of so-called Grey4, White5, and Brown6 products represent 47.6%, respectively, of total revenues. </w:t>
        <w:br/>
        <w:t>1 The retail channel (68.2% of total revenues), as of February 28, 2023, consisted of 278 directly managed stores, including Unieuro by Iper shop-in-shops and stores located at some of the main public transport hubs such as airports, train stations, and subways. The Indirect channel (8.4% of total revenues) includes the network of affiliated stores totaling 255 stores as of February 28, 2023. The B2B channel (3.7% of total revenues) targets professional clients, including foreign ones, operating in sectors different from those of Unieuro, such as hotel chains and banks, as well as operators who need to purchase electronic products to distribute to their regular customers or employees during loyalty programs, prize competitions, or incentive plans (see the consolidated financial statements as of February 28, 2023, of Unieuro S.p.A., pp. 35-36).</w:t>
        <w:br/>
        <w:t>2 The online channel represents 19.7% of the total revenues generated by the Unieuro group (see the consolidated financial statements as of February 28, 2023, of Unieuro S.p.A., p. 36).</w:t>
        <w:br/>
        <w:t>3 See the consolidated financial statements as of February 28, 2023, of Unieuro S.p.A., p. 126.</w:t>
        <w:br/>
        <w:t>4 Telephony, tablets, information technology, telephony accessories, cameras.</w:t>
        <w:br/>
        <w:t>5 Large household appliances (MDA) such as washing machines, dryers, refrigerators or freezers, and stoves, as well as small appliances (SDA) such as vacuum cleaners, food processors, coffee machines, in addition to the air conditioning segment.</w:t>
        <w:br/>
        <w:t>6 Televisions and related accessories, audio devices, smart TV devices, car accessories, and memory systems.</w:t>
      </w:r>
    </w:p>
    <w:p>
      <w:r>
        <w:rPr>
          <w:b/>
        </w:rPr>
        <w:t>[Pages 13–15]</w:t>
      </w:r>
    </w:p>
    <w:p>
      <w:r>
        <w:t>BULLETIN NO. 46 OF DECEMBER 4, 2023 15</w:t>
        <w:br/>
        <w:t>27.6% and 14.8% of total revenue, while the sale of services represents 5.2% of the revenue generated in the fiscal year 2022-20237.</w:t>
        <w:br/>
        <w:t>3. Covercare S.p.A. (hereinafter, “Covercare”) is a company that offers: (i) repair and maintenance services for consumer electronics (mainly smartphones), largely under warranty extension; (ii) installation and maintenance services for air conditioning systems, boilers, and, to a lesser extent, photovoltaic systems; (iii) maintenance and repair services for the home for multi-utility customers; and (iv) trading activities involving the purchase and resale of electronic products for corporate clients. Covercare also operates through its subsidiary Wifix S.r.l. (hereinafter, “Wifix”), providing repair services for electronic products and ancillary activities (configuration of electronic devices and related consulting) at corners located in some Unieuro retail outlets. The capital of Covercare is held by two individuals (hereinafter, “Sellers”).</w:t>
        <w:br/>
        <w:t>4. In 2022, Covercare achieved a consolidated global revenue of approximately [32-100]* million euros, of which approximately [32-100] million euros were from sales in Italy. Overall, the activity provided for Unieuro represents [40-60%] of Covercare's revenue related to the repair and maintenance of products covered by extended warranty, as well as installation services and artisan services, and [20-40%] of the total revenue of the Target.</w:t>
        <w:br/>
        <w:t>II. DESCRIPTION OF THE TRANSACTION</w:t>
        <w:br/>
        <w:t>5. The transaction consists of the exclusive acquisition of control of Covercare by Unieuro through the acquisition of 100% of its share capital. The completion of the transaction is conditionally suspended upon the occurrence of certain conditions, including obtaining the necessary authorizations pursuant to and for the purposes of antitrust regulations.</w:t>
        <w:br/>
        <w:t>6. The contract entered into between the parties provides, for a period of five years, that the Sellers and an individual who holds a key role in Covercare shall not engage in any part of the territory, in any manner, in activities that coincide or are otherwise in competition with the activities carried out by Covercare, nor hold the role of administrator, employee, consultant, collaborator, partner with limited or unlimited liability, or associate, except for financial investments in investment funds or in companies listed on regulated markets and not exceeding 2% of their share capital.</w:t>
        <w:br/>
        <w:t>III. QUALIFICATION OF THE TRANSACTION</w:t>
        <w:br/>
        <w:t>7. The notified transaction, as it involves the acquisition of exclusive control over part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fiscal year at the national level by the group of companies involved exceeded 532 million euros and the revenue generated individually at the national level by at least two of the involved companies exceeded 32 million euros.</w:t>
        <w:br/>
        <w:t>8. The non-competition agreement signed by the parties and described in the previous paragraph can be considered directly connected and necessary for the realization of the concentration transaction in question, as it is functional to safeguarding the value of the acquired company, provided that it is geographically limited to the area of activity of the acquired company, temporally to a period of two years, and does not prevent the seller from purchasing or holding shares solely for financial investment purposes, without this resulting, directly or indirectly, in the assignment of management roles or substantial influence in the competing company, including in companies other than those listed on regulated markets or investment funds and/or for financial holdings exceeding 2% of the share capital8.</w:t>
        <w:br/>
        <w:t>IV. EVALUATION OF THE CONCENTRATION</w:t>
        <w:br/>
        <w:t>IV.1. RELEVANT MARKETS</w:t>
        <w:br/>
        <w:t>IV.1.1. Introduction</w:t>
        <w:br/>
        <w:t>9. For the purposes of defining the markets affected by this decision, the entirety of the activities carried out by the target company must be considered. In particular, the main area of activity of Covercare concerns the provision of maintenance services for electronic products (primarily mobile phones and outside the legal warranty), both within agreements with large business clients (for example, Unieuro itself) and directly to consumers through WiFix-branded corners located in some Unieuro retail outlets.</w:t>
        <w:br/>
        <w:t>10. Covercare also offers warranty extension services, although to a very limited extent, and additional services consisting of: (i) installation and maintenance of air conditioning systems, boilers, and photovoltaic systems; (ii) maintenance and repair for the home for multi-utility customers; and (iii) trading (purchase and resale) of electronic products for corporate clients. Unieuro, in turn, sells electronic products, appliances, and heating and energy products through various sales channels, and offers warranty extension services on such products.</w:t>
        <w:br/>
        <w:t>11. Due to the vertical links between the services provided by the companies involved in the concentration, it is useful to define the following relevant markets affected by the transaction:</w:t>
        <w:br/>
        <w:t>i. retail market for warranty extension services and protection for the repair and maintenance of electronic products;</w:t>
        <w:br/>
        <w:t>ii. market for the maintenance and repair of electronic products and its possible sub-markets, identifiable in relation to the type of product, type of customer (business and consumer), and type of assistance (under warranty, out of warranty);</w:t>
        <w:br/>
        <w:t>iii. market for the distribution of air conditioning devices for residential use;</w:t>
        <w:br/>
        <w:t>iv. market for the installation of air conditioning devices for residential use;</w:t>
        <w:br/>
        <w:t>v. market for the installation of photovoltaic systems;</w:t>
        <w:br/>
        <w:t>8 Communication from the Commission on restrictions directly connected and necessary for concentration operations (2005/C 56/03), published in the Official Journal of the European Union on March 5, 2005.</w:t>
      </w:r>
    </w:p>
    <w:p>
      <w:r>
        <w:t>BULLETIN NO. 46 OF DECEMBER 4, 2023 17</w:t>
        <w:br/>
        <w:t>vi. market for maintenance and repair services for the home and its possible sub-markets related to individual types of services (plumbing, electrical, etc.);</w:t>
        <w:br/>
        <w:t>vii. wholesale market for consumer electronics products.</w:t>
        <w:br/>
        <w:t>IV.1.2. Retail market for warranty extension services and protection for the repair and maintenance of electronic products</w:t>
        <w:br/>
        <w:t>12. Warranty extension services (or protection services) for the repair and maintenance of electronic products are offered to consumers to provide assistance for malfunctions and/or accidental damage to the electronic products they have purchased, outside the legal warranty period.</w:t>
        <w:br/>
        <w:t>13. In addition to retailers of electronic products9, such services may also be offered by manufacturers, specialized operators, or financial or insurance companies. These services currently appear to be sold primarily through offline sales channels and only residual through online channels.</w:t>
        <w:br/>
        <w:t>14. Warranty extension services could theoretically be segmented according to the type of product (smartphones, audio-video, PCs, appliances, electric scooters, etc.). However, for the purposes of this decision, it is possible to leave the definition of the relevant market open regarding this aspect, as even with the aforementioned segmentations, competitive assessments would not change.</w:t>
        <w:br/>
        <w:t>15. Regarding the definition of the relevant market from a geographical perspective, it is believed that this market could be national10.</w:t>
        <w:br/>
        <w:t>16. In this market, Unieuro is active, with an estimated market share between 10% and 15% both in the broader definition of the market and considering a distinction by product categories subject to warranty extension (mobile phones, scooters, etc.). Covercare is also active in this market, although with negligible revenue and a market share of [less than 1%]. Other qualified competitors are active in this market, such as other retail chains of electronic products (Mediaworld, Euronics, Comet, etc.), specialized operators (for example, Estendo), and insurance companies.</w:t>
        <w:br/>
        <w:t>IV.1.3. Market for the maintenance and repair of electronic products and its possible sub-markets</w:t>
        <w:br/>
        <w:t>17. Maintenance and repair services for consumer electronics products consist of activities related to the repair and restoration of the functioning of certain products. This particularly involves service/repair centers for the products. In addition to product maintenance, operators in this market carry out a series of additional activities related to the main one, particularly concerning the procurement of parts and products, staging services involving the customization of products with accessories (headphones, protective glasses, chargers, covers, etc.), logistics (pickup and delivery, including in large volumes, of products), management of</w:t>
        <w:br/>
        <w:t>9 The European Commission has highlighted that “large retailers sell their after-sales services to customers and offer warranty extensions…” (see case No. COMP.M.2703 - Merloni / GE, para. 14).</w:t>
        <w:br/>
        <w:t>10 See case No. COMP.M.2703 - Merloni / GE, cited.</w:t>
      </w:r>
    </w:p>
    <w:p>
      <w:r>
        <w:rPr>
          <w:b/>
        </w:rPr>
        <w:t>[Pages 16–18]</w:t>
      </w:r>
    </w:p>
    <w:p>
      <w:r>
        <w:t>18 BULLETIN NO. 46 OF DECEMBER 4, 2023</w:t>
        <w:br/>
        <w:t>of the warehouse, help desk services, and customer care. These are activities related to the main activity of maintenance and repair11.</w:t>
        <w:br/>
        <w:t>18. In its precedents, the European Commission has “always considered that maintenance services constitute a distinct product market from that of production, retailing, etc. of the product”12.</w:t>
        <w:br/>
        <w:t>19. Different relevant markets could be defined in relation to different aspects of the service. Firstly, there could be a distinction depending on the type of product (for example, white goods, televisions, smartphones, etc.) for which the service is provided, due to, for example, the skills required for repair, the type of tools needed, the type of spare parts, and the electronics of the product. Covercare is primarily active in the repair of mobile phones and scooters. However, for the purposes of this assessment, it is possible to leave the definition of the market open as competitive assessments would not change.</w:t>
        <w:br/>
        <w:t>20. A second distinction could concern the services provided to consumers (B2C) compared to the services provided to other businesses (B2B). In particular, there may be differences in the manner of service delivery and the prices applied depending on the type of customer. Specifically, unlike the services provided to consumers, which may be provided on a one-off basis when the customer requests maintenance, the services provided to other businesses appear to be delivered under framework contracts and with types of remuneration that may also be independent of the number of interventions (flat rates).</w:t>
        <w:br/>
        <w:t>21. B2B services could be further segmented into services provided within the legal warranty period, compared to those provided outside the legal warranty period. In fact, service centers may enter into contracts with manufacturers-sellers to carry out maintenance interventions under the legal warranty of conformity. Outside the legal conformity period, service centers may enter into contracts with sellers of warranty extensions and protection services in order to perform the service - consisting of repair - in the event that one of the cases provided for by the warranty extension contract or the accidental damage protection contract occurs. With reference to this last segment (B2B), therefore, there is a vertical link with the first market indicated above.</w:t>
        <w:br/>
        <w:t>22. The party believes that maintenance services offered within the warranty period should be separated from those under warranty extension. However, it is noted that - from the supply side - there may be substitutability between service centers that offer their services under warranty, compared to those that offer their services under warranty extension or accidental damage coverage. In particular, it is noted that [omissis]13. However, for the purposes of this assessment, it is possible to leave the definition of the market open as competitive assessments would not change.</w:t>
        <w:br/>
        <w:t>11 Cf. case no. COMP./M.4727 - Segulah/Capman/JV.</w:t>
        <w:br/>
        <w:t>12 Cf. case no. COMP./M.4727 - Segulah/Capman/JV, para. 8.</w:t>
        <w:br/>
        <w:t>13 Cf. [omissis].</w:t>
      </w:r>
    </w:p>
    <w:p>
      <w:r>
        <w:t>BULLETIN NO. 46 OF DECEMBER 4, 2023 19</w:t>
        <w:br/>
        <w:t>23. Regarding the definition of the relevant market from a geographical perspective, it is believed that this market could be, at least in the first approximation, national14.</w:t>
        <w:br/>
        <w:t>24. In this market, Covercare is exclusively active, primarily offering maintenance services, mainly for mobile phones and scooters, to Unieuro and some mobile operators (B2B), exclusively outside the legal warranty. The activity provided by Covercare for Unieuro represents [40-60%] of Covercare's revenue related to the repair and maintenance of products under warranty extension.</w:t>
        <w:br/>
        <w:t>25. Furthermore, Covercare offers services to consumers (B2C) through WiFix counters present exclusively as corners in some Unieuro retail locations.</w:t>
        <w:br/>
        <w:t>26. Considering a relevant market for the maintenance and repair of individual types of products, without considering further distinctions by type of service (B2C vs B2B and under warranty vs outside warranty), the market share of Covercare estimated by the notifying party is below 5%. This estimate is consistent when comparing Covercare's revenues with Eurostat data related to maintenance services15.</w:t>
        <w:br/>
        <w:t>27. Considering a narrower segment, namely that in favor of B2B customers and related only to interventions outside the legal warranty, the market share estimated by the notifying parties is below 20%. This value represents the highest estimate of market share across all possible definitions of relevant markets. In the market, and in possible sub-markets, there are numerous qualified competitors, both active as B2B operators (such as Service Trade S.p.A., Video Pacini S.r.l.), and as a network of retail points in the B2C channel (iRiparo, WeFix, Clinica iPhone, etc.).</w:t>
        <w:br/>
        <w:t>IV.1.4. Market for the distribution of air conditioning units for residential use</w:t>
        <w:br/>
        <w:t>28. According to the Authority's precedents, the market for the distribution of air conditioning units for residential use is distinct from the market for the distribution of air conditioning units for commercial and industrial use16.</w:t>
        <w:br/>
        <w:t>29. In some precedents of the Authority, the relevant market has been defined as having a national geographical scope due to the type of clientele and the resulting characteristics of demand, pricing conditions, and the fact that distribution is carried out through retailers operating on a national scale17. However, it should be noted that, considering consumer purchasing behaviors and the importance they attribute to the proximity of retail points,</w:t>
        <w:br/>
        <w:t>14 It is noted that, however, with reference to B2C services - that is, the retail points where maintenance and repair services are offered - there could be a local dimension of the relevant market. However, due to the circumstance that there is no horizontal overlap in this segment between Covercare and Unieuro - as all WiFix corners are within Unieuro retail points - and that the relevant vertical link for the purposes of assessing this concentration transaction concerns that between warranty extension services and the sub-segment of B2B maintenance services outside the warranty, it is possible to leave the geographical definition of the relevant market open, approximating it to the national level.</w:t>
        <w:br/>
        <w:t>15 Annual detailed enterprise statistics for services (NACE Rev. 2 H-N and S95) [SBS_NA_1A_SE_R2__custom_7635133]. https://ec.europa.eu/eurostat/databrowser/view/SBS_NA_1A_SE_R2__custom_7635133/default/table</w:t>
        <w:br/>
        <w:t>16 Cf., inter alia, decision no. 22333 of April 20, 2011, C11020 - LG Electronics/LS Mtron Co, in Bulletin no. 16/2011.</w:t>
        <w:br/>
        <w:t>17 Cf. decision no. 11693 of February 6, 2003, C5712 - Nocivelli/AER.FI-RE.FI, in Bulletin no. 6/2003.</w:t>
      </w:r>
    </w:p>
    <w:p>
      <w:r>
        <w:t>20 BULLETIN NO. 46 OF DECEMBER 4, 2023</w:t>
        <w:br/>
        <w:t>the geographical scope of reference could be considered local, confined to an isochrone from the retail points. In any case, the geographical definition of the market could be left open as competitive assessments would not change.</w:t>
        <w:br/>
        <w:t>30. In this market, Unieuro is exclusively active. Considering only operators active on a national scale (and thus excluding all local operators), the estimated market share of Unieuro would be between 20% and 25%.</w:t>
        <w:br/>
        <w:t>IV.1.5. Market for the installation of air conditioning units for residential use</w:t>
        <w:br/>
        <w:t>31. The market for the installation of air conditioning units includes the services of installation, connection, and commissioning of air conditioning units. According to D.P.R. No. 146/2018, air conditioning installers must necessarily possess appropriate certification (so-called F-GAS license).</w:t>
        <w:br/>
        <w:t>32. The market for the installation of air conditioning units could be distinguished from the upstream market of the distribution of such units, considering some factors related to the service offer. In particular, the distribution of the product is distinct from the related installation activity such that the distributor often relies - based on contractual relationships - on third-party independent operators for this activity.</w:t>
        <w:br/>
        <w:t>33. According to the notifying party, the relevant market would have a national geographical scope. However, it is noted that the geographical proximity of the service provider to the consumer could lead to a narrower geographical market extension. There may, however, be differences between large chains of operators active throughout the national territory and small operators (often small and medium-sized enterprises, sole proprietorships) present exclusively in a local dimension. In any case, the geographical definition of the market could be left open, as competitive assessments would not change: in fact, in this market, Covercare is exclusively active, with market shares below 1%.</w:t>
        <w:br/>
        <w:t>IV.1.6. Market for the installation of photovoltaic systems</w:t>
        <w:br/>
        <w:t>34. The relevant market under examination consists of the installation services of photovoltaic systems. The Authority has previously distinguished the market for the installation and maintenance of photovoltaic systems from that of the retail sale of electricity18.</w:t>
        <w:br/>
        <w:t>35. Similarly to the previous market, the notifying party proposes a national geographical definition of the relevant market. In any case, the geographical definition of the market could be left open. In fact, on the one hand, a local extension of the relevant market could be considered due to the need for a certain geographical proximity of the service provider, while on the other hand, there could be a difference between (small) purely local operators and large chains of national service providers.</w:t>
        <w:br/>
        <w:t>36. In this market, Covercare is exclusively active, with very limited sales value and a market share below 1%.</w:t>
        <w:br/>
        <w:t>18 Cf. decision no. 28045 of December 20, 2019, C12270 - ENI/Evolvere, in Bulletin no. 1/2020, in which the Authority left the market definition open.</w:t>
      </w:r>
    </w:p>
    <w:p>
      <w:r>
        <w:rPr>
          <w:b/>
        </w:rPr>
        <w:t>[Pages 19–21]</w:t>
      </w:r>
    </w:p>
    <w:p>
      <w:r>
        <w:t>BULLETIN NO. 46 OF DECEMBER 4, 2023 21</w:t>
        <w:br/>
        <w:t>IV.1.7. Market for maintenance and repair services for the home and its possible sub-markets</w:t>
        <w:br/>
        <w:t>37. The market for maintenance and repair services for the home is represented by the maintenance and repair services of civil systems, such as electrical, plumbing, gas distribution, etc. The individual types of service (electrician, plumber, etc.) could constitute a separate relevant market. In any case, in this decision, the commodity definition of the market could be left open.</w:t>
        <w:br/>
        <w:t>38. The notifying party proposes a national scope for the relevant market, although, in analogy with what was expressed regarding the previous market, this could be narrower and have a local dimension. In any case, in this decision, the geographical definition of the market could be left open. In this market, only Covercare is active, with estimated shares below 1%.</w:t>
        <w:br/>
        <w:t>IV.1.8. Market for the wholesale distribution of consumer electronics products</w:t>
        <w:br/>
        <w:t>39. The notifying party observes that Covercare engages, in a completely secondary manner, in the trading of electronic items, which consists of the purchase and resale of electronic products exclusively to corporate clients. More specifically, following a request from a corporate client for the supply of certain volumes of electronic items, Covercare is responsible for sourcing such products in the market and, once identified, purchases them to then resell to the requesting party.</w:t>
        <w:br/>
        <w:t>40. In this regard, it is noted that this activity could be included in the market for the wholesale distribution of consumer electronics products. In particular, in some national and European precedents19, the possibility of defining a wholesale resale market for electronic products (wholesale), segmentable by type of product considered (at least by product categories: white, brown, etc.) has been considered. In the aforementioned precedents, the Commission left the geographical definition of the market open and, in particular, whether it is national or coincides with the European Economic Area (EEA).</w:t>
        <w:br/>
        <w:t>41. Covercare is active in this market with a very limited turnover and an estimated market share (national) below 1%20. It is also noted that Unieuro engages in similar activities to those proposed by the notifying party for Covercare. In fact, Unieuro is active in offering to professional clients, including foreign ones, operating in sectors different from those of Unieuro, such as hotel chains and banks, as well as to operators who need to purchase electronic products to distribute to their regular customers or employees. This sales channel represents 3.7% of Unieuro's total revenues21. Considering this turnover, the market share attributable to Unieuro would be between 5% and 10%.</w:t>
        <w:br/>
        <w:t>19 See, inter alia, decision No. 30322 of October 4, 2022, C12470 - Esprinet/Cellularline, in Bulletin No. 38/2022; case COMP/M.10364 - Eci / Bonak / Fast Group.</w:t>
        <w:br/>
        <w:t>20 The notifying party estimates that the size of the market is approximately 1.7 billion euros in 2022.</w:t>
        <w:br/>
        <w:t>21 See Consolidated Financial Statements as of February 28, 2023, of Unieuro S.p.A., pp. 35-36. Revenues from the B2B segment would amount to 107.1 million euros in the fiscal year 2022/23.</w:t>
      </w:r>
    </w:p>
    <w:p>
      <w:r>
        <w:t>22 BULLETIN NO. 46 OF DECEMBER 4, 2023</w:t>
        <w:br/>
        <w:t>IV.2. Effects of the operation</w:t>
        <w:br/>
        <w:t>42. The concentration operation in question concerns the acquisition of control of Covercare and the companies controlled by it, by Unieuro. Covercare is primarily active in offering maintenance services for certain electronic devices, also providing other installation, assistance, and maintenance services related to other types of products (air treatment systems, photovoltaic systems, electrical systems, etc.).</w:t>
        <w:br/>
        <w:t>43. The operation in question involves extremely limited horizontal overlaps between the parties:</w:t>
        <w:br/>
        <w:t>a. in the retail market for warranty extension and protection services for the repair and maintenance of electronic products, Unieuro is estimated to have a market share below 15% and Covercare a market share below 1%;</w:t>
        <w:br/>
        <w:t>b. in the wholesale distribution market for consumer electronics products, Unieuro is estimated to have a market share below 10% and Covercare a market share below 1%;</w:t>
        <w:br/>
        <w:t>44. Due to the limited horizontal overlaps and the presence of qualified competitors in these markets, the concentration does not appear to have adverse horizontal effects on competition.</w:t>
        <w:br/>
        <w:t>45. From a vertical perspective, it is noted that Covercare provides maintenance and repair services for electronic products, primarily for mobile phones and outside the warranty extension regime. Unieuro, at the same time, offers among its after-sales services warranty extensions for products purchased at its physical and online stores. However, the concentration in question does not seem to produce significant anti-competitive vertical effects of an exclusionary nature. In fact, Covercare has a limited position in the downstream market for maintenance services (and possible sub-markets) and already provides a large part of its maintenance services to Unieuro. Also with regard to Covercare's WiFix corners, it is noted that these are all located within some Unieuro stores. There are also other qualified competitors present in the market.</w:t>
        <w:br/>
        <w:t>46. Even concerning the other markets in which Covercare is active - such as the installation of air conditioning units, photovoltaic systems, and maintenance services for the home - which could have a vertical connection with some products sold by Unieuro (for example, air conditioners, boilers, photovoltaic panels, etc.), in light of Covercare's position and the presence of numerous other operators, it is not believed that there are significant exclusionary vertical effects.</w:t>
        <w:br/>
        <w:t>47. In light of the above considerations, it is believed that in the affected markets the operation will not have adverse effects on competition, not significantly altering effective competition therein and not leading to the establishment or strengthening of a dominant position.</w:t>
        <w:br/>
        <w:t>CONSIDERING, therefore, that the operation in question does not significantly impede effective competition in the affected markets, pursuant to Article 6, paragraph 1, of Law No. 287/1990, and does not lead to the establishment or strengthening of a dominant position;</w:t>
      </w:r>
    </w:p>
    <w:p>
      <w:r>
        <w:t>BULLETIN NO. 46 OF DECEMBER 4, 2023 23</w:t>
        <w:br/>
        <w:t>CONSIDERING, furthermore, that the non-competition obligations between the parties are ancillary to the present transaction only within the limits described above and that the Authority reserves the right to assess, where the conditions exist, the aforementioned agreements that extend beyond the limits indicated therein;</w:t>
      </w:r>
    </w:p>
    <w:p>
      <w:r>
        <w:t>RESOLVES</w:t>
      </w:r>
    </w:p>
    <w:p>
      <w:r>
        <w:t>not to initiate the investigation referred to in Article 16, paragraph 4, of Law No. 287/1990.</w:t>
      </w:r>
    </w:p>
    <w:p>
      <w:r>
        <w:t>The conclusions mentioned above will be communicated, pursuant to Article 16, paragraph 4, of Law No. 287/1990, to the interested companies and to the Minister of Enterprises and Made in Italy.</w:t>
      </w:r>
    </w:p>
    <w:p>
      <w:r>
        <w:t>This provision will be published in the Bulletin of the Italian Competition Authority.</w:t>
      </w:r>
    </w:p>
    <w:p>
      <w:r>
        <w:t>THE SECRETARY GENERAL THE PRESIDENT</w:t>
      </w:r>
    </w:p>
    <w:p>
      <w:r>
        <w:t>Guido Stazi Roberto Rustichelli</w:t>
      </w:r>
    </w:p>
    <w:p>
      <w:r>
        <w:rPr>
          <w:b/>
        </w:rPr>
        <w:t>[Pages 22–24]</w:t>
      </w:r>
    </w:p>
    <w:p>
      <w:r>
        <w:t>24 BULLETIN NO. 46 OF DECEMBER 4, 2023</w:t>
        <w:br/>
        <w:t>C12578 - ADECCO HOLDING FRANCE/IZIWORK</w:t>
        <w:br/>
        <w:t>Provision No. 30879</w:t>
        <w:br/>
        <w:t>THE ITALIAN COMPETITION AUTHORITY</w:t>
        <w:br/>
        <w:t>IN ITS MEETING of November 14, 2023;</w:t>
        <w:br/>
        <w:t>HEARD the Rapporteur, Saverio Valentino;</w:t>
        <w:br/>
        <w:t>HAVING REGARD to Council Regulation (EC) No. 139/2004 of January 20, 2004, concerning the control of concentrations between undertakings;</w:t>
        <w:br/>
        <w:t>HAVING REGARD to Law No. 287 of October 10, 1990;</w:t>
        <w:br/>
        <w:t>HAVING REGARD to Presidential Decree No. 217 of April 30, 1998;</w:t>
        <w:br/>
        <w:t>HAVING REGARD to the communication from Adecco Holding France, received on October 18, 2023, regarding the acquisition of Iziwork S.p.A. as well as some assets belonging to French companies of the Iziwork group, through the filing of a purchase offer with the Commercial Court of Nanterre (France) within the framework of an insolvency procedure initiated at the aforementioned Court;</w:t>
        <w:br/>
        <w:t>HAVING REGARD to the communication from Adecco Holding France, received on October 23, 2023, whereby the formal withdrawal of the notification of the transaction was communicated, due to the rejection by the aforementioned Court of the submitted purchase offer;</w:t>
        <w:br/>
        <w:t>CONSIDERING, therefore, that the notification form of the concentration transaction, received on October 18, 2023, has been formally withdrawn and that, consequently, there is no need to proceed in relation to it;</w:t>
        <w:br/>
        <w:t>RESOLVES</w:t>
        <w:br/>
        <w:t>that there is no need to proceed.</w:t>
        <w:br/>
        <w:t>The conclusions mentioned above will be communicated, pursuant to Article 16, paragraph 4, of Law No. 287/1990, to the interested companies and to the Minister of Enterprises and Made in Italy.</w:t>
        <w:br/>
        <w:t>This provision will be published in the Bulletin of the Italian Competition Authority.</w:t>
        <w:br/>
        <w:t>THE SECRETARY GENERAL THE PRESIDENT</w:t>
        <w:br/>
        <w:t>Guido Stazi Roberto Rustichelli</w:t>
      </w:r>
    </w:p>
    <w:p>
      <w:r>
        <w:t>BULLETIN NO. 46 OF DECEMBER 4, 2023 25</w:t>
        <w:br/>
        <w:t>ACTIVITY OF REPORTING AND CONSULTATION</w:t>
        <w:br/>
        <w:t>AS1927 – PORT SYSTEM AUTHORITY OF THE IONIAN SEA - ESTABLISHMENT OF THE AGENCY FOR TEMPORARY WORK</w:t>
        <w:br/>
        <w:t>Rome, October 5, 2023</w:t>
        <w:br/>
        <w:t>Port System Authority of the Ionian Sea</w:t>
        <w:br/>
        <w:t>The Italian Competition Authority, in its meeting of October 2, 2023, resolved to express an opinion, pursuant to Article 21-bis of Law No. 287 of October 10, 1990, regarding the resolution of the Management Committee of the Port System Authority of the Ionian Sea (“AdSP Mar Ionio”) No. 11 of August 4, 2023, concerning the “Establishment of an Agency pursuant to Article 17, paragraph 5 of Law No. 84/94,” transmitted on August 4, 2023.</w:t>
        <w:br/>
        <w:t>This resolution concerns the establishment of an agency for the provision of temporary work in the legal form of a limited liability company with mixed public-private participation pursuant to Article 17 of Legislative Decree No. 175/2016 (containing the “Consolidated Text on Public Participation Companies,” also “TUSPP”).</w:t>
        <w:br/>
        <w:t>The Authority intends to make some considerations regarding various competitive criticality profiles of the operation, particularly related to: (i) the undue controlling participation in the share capital of the newly established mixed company, which does not meet the institutional purposes of the AdSP Mar Ionio and (ii) the significant lack of motivation regarding the chosen form of assignment and the reasons for not resorting to the market.</w:t>
        <w:br/>
        <w:t>(i) On the undue controlling participation in the share capital of the newly established mixed company, which does not meet the institutional purposes of the AdSP Mar Ionio</w:t>
        <w:br/>
        <w:t>The resolution adopted by the AdSP Mar Ionio appears to be flawed in that the same AdSP Mar Ionio will proceed to establish the agency in violation of the prerequisites established by the special regulations for exercising such a faculty and, following the completion of the operation, will hold a controlling interest in the share capital of the newly established mixed company tasked with providing temporary work that does not meet its institutional purposes, as clearly delineated by the special regulations and specifically by Articles 6 and 17 of Law No. 84/1994, in violation of Article 4 of the TUSPP.</w:t>
        <w:br/>
        <w:t>Pursuant to Article 4 of the TUSPP, in fact, Public Administrations cannot, directly or indirectly, establish companies whose object is the production of goods and services not strictly necessary for the pursuit of their institutional purposes, nor acquire or maintain interests, even minority ones, in such companies.</w:t>
      </w:r>
    </w:p>
    <w:p>
      <w:r>
        <w:t>26 BULLETIN NO. 46 OF DECEMBER 4, 2023</w:t>
        <w:br/>
        <w:t>As for the institutional purposes pursued by port system authorities, Article 6 of Law No. 84/1994, in enumerating their competencies, also establishes the principle of separation between government functions and operational functions, expressly prohibiting such authorities from carrying out, directly or indirectly, through participated companies, port operations or activities closely related to them, precisely because of the institutional purpose attributed to them by the legislator, as public non-economic entities established to meet general interest needs, which have “the function of a regulatory subject and not a producer of port services”1.</w:t>
        <w:br/>
        <w:t>In other words, the legislator intended to avoid any commingling of interests even among the same controlled subjects in order to prevent possible distortions of competitive dynamics among port operators, as confirmed by the letter of Article 17 of Law No. 84/1994, according to which the company authorized to provide exclusive temporary port work must not directly or indirectly carry out port operations and services, nor be directly or indirectly held by companies that carry out port operations and services.</w:t>
        <w:br/>
        <w:t>This separation between regulatory functions and the direct or indirect conduct of entrepreneurial activities is clear for port system authorities and does not allow for exceptions, except in the cases, strict and exceptional, provided for by the legislator itself, such as in the case of promotion and participation in exceptional and temporary agencies referred to in Article 4, paragraphs 1 and 2, of Legislative Decree No. 243/2016, or in the case of promotion and external control of agencies for the provision of temporary port work pursuant to Article 17, paragraph 5, of Law No. 84/1994. In this context, the exception is therefore admissible only where the port system authority acts in full compliance with the legal prerequisites for the promotion of agencies for the provision of port work.</w:t>
        <w:br/>
        <w:t>Indeed, Article 17, paragraph 5, of Law No. 84/1994, provides that only in the event that it is not possible to authorize a selected company through a public evidence procedure, the port system authority may promote the establishment of an agency with the same purposes. In this context, it is appropriate to emphasize that the port system authority can only promote and control (from the outside) the agency for temporary port work, in compliance with the principle of separation between the regulatory function, of supervision and control, entrusted to the port system authority and the economic activity entrusted to companies, as established by Article 6, paragraph 11 of Law No. 84/1994.</w:t>
        <w:br/>
        <w:t>In this case, such interpretation is confirmed by the same “Regulation for the provision of temporary port work in the port of Taranto,” which in Article 6 expressly clarifies that “if what is provided for by Article 17, paragraph 2 of Law No. 84/94 cannot be realized due to the lack of a suitable subject, the Port Committee, having heard the Local Advisory Commission, mandates the President to promote the establishment of the Agency referred to in Article 17, paragraph 5 of the same regulation.”</w:t>
        <w:br/>
        <w:t xml:space="preserve">The Authority observes that the conduct of the activities of port system authorities expressly permitted by the legislator must clearly take place in compliance with the conditions provided for by the special regulations (that is, in the case of impossibility to identify a company through a public evidence procedure) and in accordance with the rationale of the same special regulations, which certainly has a pro-competitive value (that is, to avoid in every way dangerous and illegitimate comminglings, even indirect, between the role of public non-economic entity of the authorities. </w:t>
        <w:br/>
        <w:t>1 Lastly, see Cons. Stato, Section VII, August 11, 2023, No. 7746; in terms, Cons. Stato, Section VI, December 15, 2014, No. 6146; Cons. Stato, Section IV, May 8, 2013, ordinance No. 2492.</w:t>
      </w:r>
    </w:p>
    <w:p>
      <w:r>
        <w:rPr>
          <w:b/>
        </w:rPr>
        <w:t>[Pages 25–27]</w:t>
      </w:r>
    </w:p>
    <w:p>
      <w:r>
        <w:t>BULLETIN NO. 46 OF DECEMBER 4, 2023 27</w:t>
        <w:br/>
        <w:t xml:space="preserve">of the port system, aimed at the direct care of public interests and tasked with the function of directing and controlling port activities, and the performance of entrepreneurial activities, including the execution of port operations and services or the provision of temporary labor, reserved for companies)2. </w:t>
        <w:br/>
        <w:t xml:space="preserve">Therefore, with reference to the resolution under examination, it is believed that, on the one hand, the AdSP Mar Ionio has not demonstrated the impossibility of granting authorization to a company selected through a public evidence procedure, thus deviating from the conditions provided by the special regulations for the promotion of such agencies for the provision of temporary port labor, as well as from the provisions of its own "Regulation for the provision of temporary port labor in the port of Taranto" and, on the other hand, has provided for a controlling participation in the share capital of the newly established agency (with a 51% share in the share capital), thereby integrating a clear conflict of interest and lack of impartiality, in violation of the same rationale underlying the special regulations. </w:t>
        <w:br/>
        <w:t xml:space="preserve">It is therefore believed that the decision of the AdSP Mar Ionio of August 4, 2023, to proceed with the establishment of an agency for the provision of temporary labor in the form of a public-private mixed company, with the acquisition of a controlling stake in the related share capital, constitutes a violation of Article 4 of the TUSPP as it deviates from the regulatory framework outlined by Articles 17, paragraph 5, and 6, paragraph 11, of Law No. 84/1994, having implemented an operation that falls outside the institutional purposes of the same AdSP Mar Ionio. </w:t>
        <w:br/>
        <w:t xml:space="preserve">(ii) On the lack of motivation regarding the chosen form of assignment and the reasons for not resorting to the market </w:t>
        <w:br/>
        <w:t xml:space="preserve">Pursuant to Article 5 of the TUSPP, Public Administrations that choose to pursue the public interest through the corporate model must demonstrate the existence of the strict necessity of corporate participation through an analytical motivation3. In particular, it is required that the Administrations base their deliberative act on a feasibility analysis that accounts for the economic-financial elements justifying the necessity and convenience of the operation, as well as an analysis of the strengths and weaknesses of the chosen management model compared to the alternatives contemplated by law. </w:t>
        <w:br/>
        <w:t xml:space="preserve">The "Feasibility Plan for the establishment of an Agency for temporary labor pursuant to Article 17, paragraph 5, Law 84/1994" prepared by the AdSP Mar Ionio and attached to resolution No. 11 of August 4, 2023 (also "Feasibility Plan"), is found to be significantly lacking in motivation regarding the chosen form of assignment and the reasons for not resorting to the market. </w:t>
        <w:br/>
        <w:t xml:space="preserve">Firstly, the Feasibility Plan has justified the operation solely on the basis of the expiration (which occurred on April 22, 2023) of the authorization for the temporary labor supply service pursuant to Article 17, paragraph 2, of Law No. 84/1994 granted to the company Nuova Neptunia Soc. Cons. a r.l., the necessity to meet the demand for temporary port labor (through the redeployment of the small workforce of said company) and to gradually redeploy part of the personnel currently assigned to the Taranto Port Workers Agency S.r.l.4. </w:t>
        <w:br/>
        <w:t xml:space="preserve">Such reasoning cannot be considered satisfactory, as it does not provide any demonstration of the legitimizing prerequisites for resorting to the option of establishing an agency for the provision of temporary port labor pursuant to Article 17, paragraph 5, of Law No. 84/1994 (that is, the impossibility of authorizing the provision of temporary port labor to a company selected through a public evidence procedure), nor does it motivate regarding the feasibility of alternative solutions. </w:t>
        <w:br/>
        <w:t xml:space="preserve">The AdSP Mar Ionio, in fact, does not prove the impossibility of granting authorization to a third-party company selected through a tender, nor does it argue about any unsuccessful attempts at selective procedures, nor does it mention any reasons preventing the initiation of a selective procedure or renewal before the expiration of the previous assignment (on April 22, 2023), nor more generally, the evaluation of alternative solutions to the establishment of an agency pursuant to Article 17, paragraph 5. </w:t>
        <w:br/>
        <w:t xml:space="preserve">Indeed, in this case, the demonstration of the attempt of unsuccessful selective procedures would have been all the more necessary, considering that the previous contractor for the provision of temporary port labor, the company Nuova Neptunia soc. cons. a r.l., had been selected precisely through a public evidence procedure pursuant to Article 17, paragraph 2, of Law No. 84/1994. Nor can the tautological assertion of the AdSP Mar Ionio that the Taranto Port Workers Agency S.r.l. could not be transformed, at the end of the relevant duration, into an agency pursuant to Article 17, paragraph 5, of Law No. 84/1994 (for failing to redeploy the majority of the workers listed) be considered adequate to justify the (lack of) analysis regarding alternative solutions. Similarly, neither the references to examples of agencies established pursuant to Article 17, paragraph 5, of Law No. 84/1994 operating in the port of Livorno and in the port of Trieste, of which only the data relating to the employed personnel and the distribution of the related share capital are reported, can be understood as industry benchmarks, as they are companies with minority stakes held by the relevant port authorities (unlike the case at hand, where the AdSP Mar Ionio will hold 51% of the share capital of the newly established mixed company). </w:t>
        <w:br/>
        <w:t>4 The Taranto Port Workers Agency S.r.l. was established exceptionally and temporarily (with a duration until March 7, 2024) pursuant to the aforementioned Article 4 of Decree Law No. 243/2016 in order to carry out support activities for the requalification and redeployment of workers, including through vocational training, of the workers registered in its lists (in particular, of the surplus personnel of the company Taranto Container Terminal S.p.A., previously the concessionaire of the container terminal service, which was liquidated in 2016).</w:t>
      </w:r>
    </w:p>
    <w:p>
      <w:r>
        <w:t>BULLETIN NO. 46 OF DECEMBER 4, 2023 29</w:t>
        <w:br/>
        <w:t xml:space="preserve">From this derives the lack of motivation of the resolution under examination, given the absence of any evaluation regarding alternative management solutions to the creation of a new corporate entity. </w:t>
        <w:br/>
        <w:t xml:space="preserve">Furthermore, the Feasibility Plan reports the projected economic-financial values of the operation in a profit and loss account extended to the entire start-up phase, that is, the first five years of operation of the newly established company, and balance sheet and cash flow statements (direct and indirect) relating only to the year 2023. </w:t>
        <w:br/>
        <w:t xml:space="preserve">It is evident that such statements, due to the time horizon of reference, which lacks long-term projection, are unable to provide adequate information to assess the existence of the requirements of financial sustainability and economic convenience of the operation, especially considering that the Feasibility Plan does not contain any sensitivity analysis to show how the projected profit and loss account would change in the face of a possible change in the more stringent underlying assumptions, such as, in this case, the assumption of full employment, 12 months a year, of all temporary workers hired, from which the amount of revenues directly depends. </w:t>
        <w:br/>
        <w:t xml:space="preserve">For the aforementioned reasons, it is believed that the AdSP Mar Ionio has not adequately motivated the operation even in terms of the economic-financial sustainability and economic convenience of the operation. </w:t>
        <w:br/>
        <w:t xml:space="preserve">In conclusion, the Authority believes that the resolution of the AdSP Mar Ionio mentioned in the introduction, concerning the establishment of an agency for the provision of temporary labor pursuant to Article 17, paragraph 5, of Law No. 84/1994, in the form of a public-private mixed company is illegitimate for the following reasons: </w:t>
        <w:br/>
        <w:t xml:space="preserve">(i) the undue controlling participation in the share capital of the mixed company, not responding to the institutional purposes of the AdSP Mar Ionio, in violation of Article 4 of the TUSPP; </w:t>
        <w:br/>
        <w:t xml:space="preserve">(ii) the lack of analytical motivation regarding the chosen method of assignment and the reasons for not resorting to the market in violation of Article 5 of the TUSPP. </w:t>
        <w:br/>
        <w:t xml:space="preserve">The Authority believes that due to the described profiles of illegitimacy of the resolution, the described violations are likely to unjustifiably distort competition in the temporary port labor sector by granting an operator an undue competitive advantage, also thanks to the public resources it has and will have at its disposal. </w:t>
        <w:br/>
        <w:t>Pursuant to Article 21-bis, paragraph 2, of Law No. 287/1990, the Port System Authority of the Ionian Sea must communicate to the Authority, within sixty days from the receipt of this opinion, the initiatives taken to remove the aforementioned competition violations. If within the aforementioned term such initiatives do not prove to be compliant with the competitive principles underlying the violated regulations, the Authority may file an appeal within the following thirty days.</w:t>
      </w:r>
    </w:p>
    <w:p>
      <w:r>
        <w:rPr>
          <w:b/>
        </w:rPr>
        <w:t>[Pages 28–30]</w:t>
      </w:r>
    </w:p>
    <w:p>
      <w:r>
        <w:t>30 BULLETIN NO. 46 OF DECEMBER 4, 2023</w:t>
        <w:br/>
        <w:t>This opinion will be published in the Bulletin of the Italian Competition Authority.</w:t>
        <w:br/>
        <w:t>THE PRESIDENT</w:t>
        <w:br/>
        <w:t>Roberto Rustichelli</w:t>
        <w:br/>
        <w:t>__________________________________________________________</w:t>
        <w:br/>
        <w:t>Communication regarding the adjustment of the Port System Authority of the Ionian Sea to the motivated opinion expressed by the Authority pursuant to Article 21-bis of Law No. 287/1990, concerning the resolution of the Management Committee of the Port System Authority of the Ionian Sea No. 11 of August 4, 2023</w:t>
        <w:br/>
        <w:t>The Authority, on October 2, 2023, resolved to issue a motivated opinion, pursuant to Article 21-bis of Law No. 287/1990, on the resolution of the Management Committee of the Port System Authority of the Ionian Sea No. 11 of August 4, 2023, concerning the establishment of an agency for the provision of temporary work in the legal form of a limited liability company with mixed public-private participation pursuant to Article 17 of Legislative Decree No. 175/2016.</w:t>
        <w:br/>
        <w:t>The Authority deemed that this resolution was illegitimate for the following reasons: (i) the undue controlling participation in the share capital of the mixed company, which does not align with the institutional purposes of the Port System Authority of the Ionian Sea, in violation of Article 4 of Legislative Decree No. 175/2016; (ii) the significant lack of analytical motivation regarding the chosen method of assignment and the reasons for not resorting to the market, in violation of Article 5 of Legislative Decree No. 175/2016.</w:t>
        <w:br/>
        <w:t>In response to the opinion, the Port System Authority of the Ionian Sea adopted resolution No. 13 of October 23, 2023, by which it annulled the contested measure in self-defense.</w:t>
        <w:br/>
        <w:t>The Authority considered that the annulment of the contested measure by the Port System Authority of the Ionian Sea is sufficient to eliminate the violations identified in its motivated opinion.</w:t>
        <w:br/>
        <w:t>Therefore, having noted the adjustment of the Port System Authority of the Ionian Sea to the motivated opinion of October 2, 2023, the Authority resolved, in the meeting of November 28, 2023, not to appeal to the TAR Puglia - Lecce against the resolution in question.</w:t>
      </w:r>
    </w:p>
    <w:p>
      <w:r>
        <w:t>BULLETIN NO. 46 OF DECEMBER 4, 2023 31</w:t>
        <w:br/>
        <w:t>AS1928 - MUNICIPALITY OF BAGNOLI IRPINO (AV) - MUNICIPAL REGULATION FOR THE HIRE OF VEHICLES WITHOUT A DRIVER</w:t>
        <w:br/>
        <w:t>Rome, November 17, 2023</w:t>
        <w:br/>
        <w:t>Municipality of Bagnoli Irpino</w:t>
        <w:br/>
        <w:t>The Italian Competition Authority, in the meeting of November 14, 2023, following the request for a specific opinion received on October 19, 2023, from the Municipal Council of the Municipality of Bagnoli Irpino at the request of councilor [omissis], deemed it appropriate to make the following observations pursuant to Article 22 of Law No. 287/1990, in relation to the municipal regulation for the hire of cycles, mopeds, motorcycles, and quadricycles without a driver approved by resolution No. 27 of October 9, 2023, by the aforementioned Municipal Council (“Municipal Regulation”).</w:t>
        <w:br/>
        <w:t>With this Regulation, the Municipality of Bagnoli Irpino intended to regulate the exercise of the activity of hiring vehicles without a driver. In particular, Article 1, paragraph 4, introduces minimum distance constraints between establishments (provided both in the case of opening a new activity and in the case of relocating an existing activity). Additionally, Article 3, paragraph 1, imposes quantitative limits (maximum number) for each type of vehicle usable by each activity, thus determining the specific composition of the vehicle fleet of each establishment. This quantitative restriction applies exclusively to new establishments by virtue of an express exemption provided for operators already active at the time of the entry into force of the municipal regulation, who can “maintain the numerical and qualitative situation of the vehicles in use” (Article 3, paragraph 3). Furthermore, paragraph 4 of the same Article 3 then provides for a maximum overall number of quadricycles to be used for hire throughout the municipal territory. It is finally stipulated that such vehicles may be rented exclusively for “guided excursions carried out by the business owner, a collaborating family member, or an employee” (Article 3, paragraph 5 of the Municipal Regulation).</w:t>
        <w:br/>
        <w:t>In this regard, the Authority considers it appropriate to make the following considerations.</w:t>
        <w:br/>
        <w:t>It is first recalled that the activity of hiring vehicles without a driver is governed by D.P.R. No. 481/2001 containing the Regulation “for the simplification of the authorization procedure for the exercise of the activity of hiring vehicles without a driver,” published in G.U. No. 37 of February 13, 2002, and by Article 84 of Legislative Decree No. 285/1992 (“Highway Code”). In particular: (i) pursuant to Article 1 of D.P.R. No. 482/2001, the exercise of this activity is subject to a Certified Notification of Start of Activity (“SCIA”) to be presented, pursuant to Article 19 of Law No. 241/1990, to the Single Desk for Productive Activities of the municipality where the legal headquarters of the business is located and to the municipality where each individual commercial branch of the business itself (commercial or administrative headquarters, vehicle depot, etc.) is present, for which the SCIA is submitted; and (ii) pursuant to Article 84 of the Highway Code, a vehicle is considered to be used for hire without a driver “when the lessor, for a fee, undertakes to make the vehicle available to the lessee, for their needs.”</w:t>
        <w:br/>
        <w:t>The activity of hiring vehicles without a driver, as it is liberalized under the aforementioned state regulations, must therefore be evaluated in light of the principles of liberalization and competition set forth in Directive 2006/123/EC concerning services in the internal market and in Legislative Decree No. 59/2010, implementing the aforementioned Directive, later confirmed by D.L. No. 1/2012, converted into law, with modifications, by Article 1, paragraph 1, of Law No. 27/2012.</w:t>
        <w:br/>
        <w:t>Having said that, with reference to the previously mentioned provisions, it is highlighted that the municipal regulation in question introduces provisions that, by hindering access and the exercise of the activity of hiring vehicles without a driver based on criteria aimed at limiting supply, appear to be in contrast with the principles of liberalization and competition, both national and community, in force in this matter.</w:t>
        <w:br/>
        <w:t>In particular, with reference to Article 1, paragraph 4 of the Municipal Regulation, it is noted that Article 34, paragraph 2, of D.L. 201/2011 (so-called Save Italy) converted with modifications by Law No. 214/2011, provided, among other things, for the repeal “of minimum distances between the locations of the offices designated for the exercise of an economic activity;” and established in general that “the regulation of economic activities is based on the principle of freedom of access, organization, and conduct, subject to the imperative needs of general interest, constitutionally relevant and compatible with the community legal order, which may justify the introduction of prior administrative acts of consent or authorization or control, in compliance with the principle of proportionality.”</w:t>
        <w:br/>
        <w:t>In this sense, it is highlighted that the provision of minimum distances, on the basis of which to uniformly locate the hiring establishments of vehicles without a driver throughout the municipal territory, effectively prevents the market structure from adapting to the needs expressed by consumers. This, moreover, in the absence of needs to protect general interests, which are not even minimally identified in the regulation in question.</w:t>
        <w:br/>
        <w:t>With reference to the quantitative limits provided for by Article 3, paragraphs 1 to 4 of the Municipal Regulation, applicable exclusively to “new establishments” by virtue of the express exemption from compliance with such constraints for already active operators, it is represented that such restrictions cannot find justification except in a perspective of economically protecting this latter category of competitors.</w:t>
        <w:br/>
        <w:t>This constitutes a violation of the principles underlying the protection of competition and an evident competitive distortion: from this point of view, in fact, a Public Administration cannot operate an arbitrary and undue discrimination between economic operators active in the same market, unnecessarily violating, unjustified and disproportionate the principle of equal treatment.</w:t>
        <w:br/>
        <w:t>The ultimate effect of such provisions, in terms of non-compliance with competitive principles, equal treatment, and non-discrimination, is to unduly limit the competitive pressure that new establishments can exert against historical operators (as well as against operators active in the territories of neighboring municipalities), effectively creating a reserve in favor of the latter, to the detriment of the choices available to consumers.</w:t>
        <w:br/>
        <w:t>The Authority, therefore, believes that the provisions of the Regulation that introduce minimum distances for the activities of hiring vehicles without a driver, as well as those that provide for restrictions</w:t>
      </w:r>
    </w:p>
    <w:p>
      <w:r>
        <w:rPr>
          <w:b/>
        </w:rPr>
        <w:t>[Pages 31–33]</w:t>
      </w:r>
    </w:p>
    <w:p>
      <w:r>
        <w:t>BULLETIN NO. 46 OF DECEMBER 4, 2023 33</w:t>
        <w:br/>
        <w:t>quantitative restrictions on the maximum number of vehicles usable for new rental activities only (Article 3, paragraphs 1 to 4 of the municipal regulation), hindering access to the market and the exercise of the activity in question, are in contrast with the principles established to protect competition and, in particular, with Article 41 of the Constitution and with the freedom to provide services pursuant to Article 56 of the Treaty on the Functioning of the European Union (TFEU), as they unjustifiably and discriminatorily limit the exercise of economic initiative.</w:t>
        <w:br/>
        <w:t>Finally, with regard to Article 3, paragraph 5 of the municipal regulation, it is highlighted that this provision surreptitiously introduces a provision concerning rental with driver within a regulation aimed at regulating the exercise of rental activities of vehicles without driver. In fact, pursuant to this provision, the rental of motor quadricycles is allowed exclusively for guided excursions carried out by specific subjects (i.e., the owner of the business, a collaborating family member, or an employee). There is, therefore, the imposition of a specific purpose (guided excursion) for the rental of such a vehicle which, moreover, can only be carried out by the aforementioned identified subjects and, consequently, with a predetermined driver. This appears not only in contrast with the object of the municipal regulation, as well as with the aforementioned principles established to protect competition, but also with the cited Article 84 of the Highway Code which, in providing a definition of rental without driver, establishes that it can be understood as such exclusively the lease that occurs "for the needs" of the lessee of the vehicle, thus leaving that last subject free to decide the purpose of the rental.</w:t>
        <w:br/>
        <w:t>In conclusion, in light of all the above considerations, the Authority hopes that the City Council of the Municipality of Bagnoli Irpino will amend the legislation in question to make it compliant with the principles established to protect competition and the market and, in particular, with Article 41 of the Constitution, Article 56 of the TFEU, as well as Article 15 of the Services Directive.</w:t>
        <w:br/>
        <w:t>This opinion will be published in the Bulletin of the Italian Competition Authority.</w:t>
        <w:br/>
        <w:t>THE PRESIDENT</w:t>
        <w:br/>
        <w:t>Roberto Rustichelli</w:t>
      </w:r>
    </w:p>
    <w:p>
      <w:r>
        <w:t>34 BULLETIN NO. 46 OF DECEMBER 4, 2023</w:t>
        <w:br/>
        <w:t>UNFAIR TRADE PRACTICES</w:t>
        <w:br/>
        <w:t>PS12502 - LE STYLE DE PARIS - ONLINE SALES</w:t>
        <w:br/>
        <w:t>Provision No. 30883</w:t>
        <w:br/>
        <w:t>THE ITALIAN COMPETITION AUTHORITY</w:t>
        <w:br/>
        <w:t>IN ITS MEETING of November 14, 2023;</w:t>
        <w:br/>
        <w:t>HEARD the Rapporteur, Professor Elisabetta Iossa;</w:t>
        <w:br/>
        <w:t>HAVING REGARD to Part II, Title III, and Part III,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received on July 3, 2023, and definitively supplemented on September 25, 2023, whereby the company Le Style de Paris S.r.l.s. submitted commitments pursuant to Article 27, paragraph 7, of the Consumer Code and Article 9 of the Regulation;</w:t>
        <w:br/>
        <w:t>HAVING REGARD to its decision of September 12, 2023, whereby, pursuant to Article 7, paragraph 3, of the Regulation, the deadline for concluding the proceeding was extended for the evaluation of the commitments proposed by the Professional on July 3, 2023, pursuant to Article 27, paragraph 7, of the Consumer Code;</w:t>
        <w:br/>
        <w:t>HAVING REGARD to the documents of the proceeding;</w:t>
        <w:br/>
        <w:t>I. THE PARTY</w:t>
        <w:br/>
        <w:t>1. The company Le Style de Paris S.r.l.s. (hereinafter, SdP, Professional or Company), as a professional pursuant to Article 18, letter b), of the Consumer Code, is active in the retail trade of clothing and accessories. SdP manages the website https://www.lestyledeparis.com (hereinafter, Site) where the aforementioned goods can be purchased.</w:t>
        <w:br/>
        <w:t>II. THE CONDUCTS SUBJECT TO THE PROCEEDING</w:t>
        <w:br/>
        <w:t>2. The proceeding concerns the conducts carried out by SdP in the context of the sale of clothing items on the Site.</w:t>
        <w:br/>
        <w:t>3. In particular, starting from January 2023, the Professional allegedly engaged in certain commercial practices consisting of non-compliance with delivery times, failure to deliver ordered and paid products, failure to refund the amount paid following the cancellation of the order or the exercise of the right of withdrawal, and inadequate or absent provision of post-sale assistance service.</w:t>
        <w:br/>
        <w:t>4. In addition to the possible unfairness profiles outlined above, a lack of the legally required information regarding the conclusion of distance contracts has emerged on the Site,</w:t>
      </w:r>
    </w:p>
    <w:p>
      <w:r>
        <w:t>BULLETIN NO. 46 OF DECEMBER 4, 2023 35</w:t>
        <w:br/>
        <w:t>such as the indication of the professional's identity, the geographical address where they are established, the telephone number, the email address, the information on the method of exercising the right of withdrawal and the related form, the extrajudicial complaint and appeal mechanism and the conditions for accessing it, as well as the indication of the competent court.</w:t>
        <w:br/>
        <w:t>III. THE FINDINGS OF THE PROCEEDING: THE PRESENTATION OF COMMITMENTS</w:t>
        <w:br/>
        <w:t>1) The initiation and course of the proceeding</w:t>
        <w:br/>
        <w:t>5. From the reports received starting from January 2023 by some consumers as well as from the information acquired ex officio in the records of the proceeding1, certain behaviors by SdP have emerged that may potentially violate the provisions of the Consumer Code.</w:t>
        <w:br/>
        <w:t>6. Therefore, on May 16, 2023, an investigative proceeding was initiated against the Professional, hypothesizing that the aforementioned conducts could constitute distinct violations of Articles 20, 21, 22, 24, 25, 49, paragraph 1, letters b), c), h) and v), and 61 of the Consumer Code, as they are contrary to professional diligence and capable of appreciably distorting the economic behavior, in relation to the product, of the average consumer they reach, leading them to make commercial decisions they would not otherwise have made, as well as being misleading, considering the ambiguous representation of the sales conditions adopted and the consequent impossibility for consumers to avail themselves of the protections provided by the aforementioned Code.</w:t>
        <w:br/>
        <w:t>7. On May 18, 2023, an inspection was carried out at the Company's premises and a request for information was made to the Professional.</w:t>
        <w:br/>
        <w:t>8. On June 16, 2023, the Professional submitted commitments pursuant to Article 27, paragraph 7, of the Consumer Code and Article 9 of the Regulation (hereinafter, Commitments). The Commitments were then definitively supplemented on September 25, 2023.</w:t>
        <w:br/>
        <w:t>9. Furthermore, on July 3, 2023, the Professional transmitted a memorandum to present the measures promptly adopted following the initiation of the precautionary sub-proceeding, which took place on June 28, 2023, with the other party heard, for the possible provisional suspension of the practices.</w:t>
        <w:br/>
        <w:t>10. The Professional then requested to be heard in a hearing, which took place on July 6, 2023, to detail these measures.</w:t>
        <w:br/>
        <w:t>11. On July 10 and July 13, 2023, the Professional supplemented the measures adopted, transmitting a new version.</w:t>
        <w:br/>
        <w:t>12. On July 25, 2023, the Authority resolved not to adopt the precautionary measure pursuant to Article 27, paragraph 3, of the Consumer Code and Article 8 of the Regulation, considering that the measures implemented by the Professional were adequate to overcome the Authority's concerns, especially regarding the representation of the availability of products for sale on the Site and the moment when the corresponding price is charged to consumers.</w:t>
        <w:br/>
        <w:t>13. On September 12, 2023, the Authority extended the deadline for concluding the proceeding and, on September 13, 2023, communicated to the Company the date of conclusion of the investigative phase pursuant to Article 16, paragraph 1, of the Regulation.</w:t>
        <w:br/>
        <w:t>1 See minutes of document acquisition of April 30, 2023.</w:t>
      </w:r>
    </w:p>
    <w:p>
      <w:r>
        <w:rPr>
          <w:b/>
        </w:rPr>
        <w:t>[Pages 34–36]</w:t>
      </w:r>
    </w:p>
    <w:p>
      <w:r>
        <w:t>BULLETIN NO. 46 OF DECEMBER 4, 2023</w:t>
      </w:r>
    </w:p>
    <w:p>
      <w:r>
        <w:t>36</w:t>
        <w:br/>
        <w:t>14. On September 25, 2023, the Professional sent a consolidated version of the Commitments.</w:t>
        <w:br/>
        <w:t>15. On October 26, 2023, the opinion of the Authority for Communications Guarantees was received, requested on September 26, 2023, pursuant to Article 27, paragraph 6, of the Consumer Code and subsequently supplemented on November 9, 2023.</w:t>
        <w:br/>
        <w:t>2) The elements acquired, the commitments of the professional, and the precautionary sub-proceeding</w:t>
        <w:br/>
        <w:t>16. Based on the documents collected during the inspection and what was represented by the Professional on that occasion, it was found that SdP presented on the Site as "available" products for which it had only legal availability but not material availability, and, moreover, that SdP charged the fees for purchases at the moment the consumer placed the order, regardless of the actual availability of the product in its warehouses.</w:t>
        <w:br/>
        <w:t>17. On June 16, 2023, the Professional transmitted the requested information at the start and presented commitments pursuant to Article 27, paragraph 7, of the Consumer Code and Article 9 of the Regulation. These commitments were definitively supplemented on September 25, 2023, and consist of:</w:t>
        <w:br/>
        <w:t>i. modifying the terminology used regarding the availability of products and the payment system. More precisely:</w:t>
        <w:br/>
        <w:t>a) regarding the first aspect, SdP committed to using the wording "ready for delivery" for products present in its premises in Italy and the wording "orderable" for products not physically present in its warehouses, in order to remedy the confusion that the use of the term "available" could generate, as it was also used for products not present in its warehouses but located in third-party premises, even outside the European Union. In both cases, the moments of order, shipment, and delivery are clearly indicated to the consumer;</w:t>
        <w:br/>
        <w:t>b) regarding the second aspect, SdP committed to modifying its payment system, charging the consumer for the transaction only at the time of order fulfillment (thus, after verifying that it can make the supply) and not at the time the consumer places the order (as was previously the case);</w:t>
        <w:br/>
        <w:t>ii. processing and fulfilling orders in about 15-17 days, thus reducing the average times by 3-5 days;</w:t>
        <w:br/>
        <w:t>iii. agreeing with couriers on the possibility of integrating delivery even on holidays and pre-holidays. Furthermore, the Commitments provide that SdP, once the order is fulfilled, sends the consumer a shipping notification via email or SMS with a tracking code, through which all events related to the shipment can be verified, from the transmission of data to the successful delivery, and always have a geographical reference;</w:t>
        <w:br/>
        <w:t>iv. integrating an additional customer support platform ("Zendesk") to improve customer assistance and create a team dedicated to managing consumer requests that provides feedback and a first proposed solution within 15 working days for at least 70% of complaints received;</w:t>
        <w:br/>
        <w:t>v. adding the geographical address of the headquarters where the Company is established and a telephone contact on the Site and, furthermore, offering consumers the possibility to resolve any disputes in a simple, quick, and economical manner with access to "Alternative Dispute Resolution" procedures. To this end, SdP committed to highlighting on the Site, starting from September 2023, the possibility of connecting to the ODR (Online Dispute Resolution) telematic platform managed by the European Commission, reachable at the internet address https://webgate.ec.europa.eu/odr;</w:t>
        <w:br/>
        <w:t>vi. including a page on the Site to illustrate the functioning of the sales process;</w:t>
        <w:br/>
        <w:t>vii. publishing all the commitments undertaken on the Site within thirty days of the communication of the closure of the proceeding.</w:t>
        <w:br/>
        <w:t>18. The aforementioned Commitments are not subject to time limits. However, the Company will submit them for review by the Authority where regulatory developments or market circumstances justify a revocation of the Commitments or their modification.</w:t>
        <w:br/>
        <w:t>19. All Commitments will be fully implemented within sixty days from the notification of the decision that accepts and makes them binding.</w:t>
        <w:br/>
        <w:t>IV. OPINION OF THE AUTHORITY FOR COMMUNICATIONS GUARANTEES</w:t>
        <w:br/>
        <w:t>20. Since the commercial practice subject to this provision was disseminated via the internet, on September 26, 2023, an opinion was requested from the Authority for Communications Guarantees, pursuant to Article 27, paragraph 6, of the Consumer Code.</w:t>
        <w:br/>
        <w:t>21. The aforementioned Authority expressed its opinion on October 25, 2023, with resolution No. 259/23/CONS, subsequently supplemented on November 8, 2023, with resolution No. 287/23/CONS, limiting its assessments to the suitability of the specific means of communication used to disseminate the commercial practice to affect and amplify any misleading and/or unfairness of the same practice.</w:t>
        <w:br/>
        <w:t>22. In particular, the aforementioned Authority, "considering that, with reference to the case at hand, the means of communication used, in relation to the service offered by the Professional, appears suitable to develop a significant impact on consumers who, based on the information read on the site used by the Professional, could be induced to make a commercial decision that they otherwise would not have made, thus concretely developing the full promotional potential of the aforementioned communications," deemed that "given the documentation in the records, in this case, the Internet is a suitable tool to significantly influence the realization of the commercial practice for which an opinion is requested."</w:t>
        <w:br/>
        <w:t>V. EVALUATION OF THE COMMITMENTS</w:t>
        <w:br/>
        <w:t>23. The Authority believes that the Commitments proposed by the Professional - taking into account the circumstances of the case at hand - are suitable to remedy the possible profiles of illegitimacy of the conduct contested in the communication of initiation of May 16, 2023.</w:t>
        <w:br/>
        <w:t>24. With the measures taken during the sub-proceeding and reiterated in the Commitments, the Professional has committed to providing consumers with more precise and clear information regarding the availability of products. In this way, the consumer's willingness to purchase can be determined based on correct, non-misleading information in the phase prior to the conclusion of orders.</w:t>
        <w:br/>
        <w:t>25. Furthermore, the Company has committed to modifying the payment procedure so as not to charge consumers the price of the goods before the Professional fulfills the order; the Company has also committed to making consumers aware of the functioning of the sales process. This appears suitable to protect consumers, as it prevents the payment for the ordered products from being charged to them before the Professional fulfills the order and is, therefore, able to guarantee delivery times. At the same time, SdP has committed to adopting a series of initiatives aimed at improving order fulfillment times, thus reducing the waiting time for consumers.</w:t>
        <w:br/>
        <w:t>26. Regarding the post-sale phase, the measures that the Professional has committed to implementing appear suitable to ensure broad protection for the consumer: SdP has indeed committed to strengthening its post-sale assistance as well as complaint management. In addition, the Commitments provide that SdP offers consumers the possibility to resolve any disputes through "Alternative Dispute Resolution" procedures by including on the Site the link to the telematic platform on Online Dispute Resolution of the European Commission.</w:t>
        <w:br/>
        <w:t>27. Finally, the Professional has committed to completing the information on the Site by including the geographical address of the headquarters where it is established and a telephone contact.</w:t>
        <w:br/>
        <w:t>Commitment i) and vi) on product availability, the sales process, and related information</w:t>
        <w:br/>
        <w:t>28. With commitment i), specifically regarding the availability of goods, the Professional has committed to always providing immediate and updated information to consumers on the Site regarding the actual availability of products, indicating as "ready for delivery" those present in its warehouse in Italy and, instead, as "orderable" the products present in third-party premises. Furthermore, regarding the sales process, the Company has committed to modifying its payment system so that the consumer is charged for the transaction only at the time of order fulfillment: thus after verifying that it can make the supply. These measures have already been implemented.</w:t>
        <w:br/>
        <w:t>29. With commitment vi), SdP has committed to illustrating on a page of the Site the modalities of the sales process, thus modified. Furthermore, in relation to each purchased product, the moment of order, shipment, and delivery will be indicated, immediately updating the consumer on the progress of the order.</w:t>
        <w:br/>
        <w:t>Commitment ii) on order fulfillment times</w:t>
        <w:br/>
        <w:t>30. Regarding order fulfillment times, with commitment ii) SdP has committed - within two months from the date of notification of the decision accepting the commitments - to process and fulfill orders in a maximum of 17 days and to agree with couriers on the possibility of integrating delivery on holidays and pre-holidays.</w:t>
        <w:br/>
        <w:t>Commitment iii) on consumer information during shipping</w:t>
        <w:br/>
        <w:t>31. With commitment iii), the Professional has also committed - within two months from the date of notification of the decision accepting the commitments - to send the consumer a shipping notification via email or SMS at the moment the order is fulfilled, with a tracking code through which to verify all events related to the shipment until successful delivery.</w:t>
        <w:br/>
        <w:t>Commitments iv) and vii) on post-sale assistance</w:t>
        <w:br/>
        <w:t>32. With commitment iv), regarding the phases of post-sale assistance, the Professional has committed to integrating - within two months from the date of notification of the decision accepting the commitments -</w:t>
      </w:r>
    </w:p>
    <w:p>
      <w:r>
        <w:rPr>
          <w:b/>
        </w:rPr>
        <w:t>[Pages 37–39]</w:t>
      </w:r>
    </w:p>
    <w:p>
      <w:r>
        <w:t>BULLETIN NO. 46 OF DECEMBER 4, 2023 39</w:t>
        <w:br/>
        <w:t>of the commitments - an additional customer support platform, "Zendesk," to improve the management of refund requests and customer assistance.</w:t>
        <w:br/>
        <w:t>33. In this regard, with commitment vii) - within the same two-month period from the date of notification of the decision to accept the commitments - SdP has committed to establish a dedicated team for managing consumer requests that provides feedback and a preliminary proposal for resolution within 15 working days for at least 70% of the complaints received. The Company has also committed to implement incentive mechanisms for customer service employees linked to performance and quality in handling requests.</w:t>
        <w:br/>
        <w:t>Commitment v) on the information provided on the Site about the Professional and ODR</w:t>
        <w:br/>
        <w:t>34. With commitment v), SdP has committed to add on the Site the information regarding the geographical address of the location where the Company is established and a contact telephone number. This commitment has already been fulfilled. Furthermore, with the same commitment, the Professional has committed to offer consumers - within two months from the date of notification of the decision to accept the commitments - the possibility to resolve any disputes through Alternative Dispute Resolution procedures, by including on the Site the link to the online platform for Online Dispute Resolution of the European Commission (https://webgate.ec.europa.eu/odr).</w:t>
        <w:br/>
        <w:t>Commitment viii) on the visibility of the Commitments</w:t>
        <w:br/>
        <w:t>35. Finally, with commitment viii), the Professional has committed - within thirty days from the notification of the decision to accept the commitments - to prominently display the Commitments on the Site in clear and intuitive ways.</w:t>
        <w:br/>
        <w:t>36. The aforementioned remedial measures - as proposed - appear to effectively resolve the issues highlighted in the initiation document, as they concern all phases of the professional-consumer relationship, in a perspective of protection and safeguarding of the latter.</w:t>
        <w:br/>
        <w:t>37. Finally, the timing for the implementation of the Commitments is deemed appropriate, considering that the proposed initiatives will become effective within sixty days from the notification of the resolution accepting the commitments by the Authority.</w:t>
        <w:br/>
        <w:t>38. In light of the above considerations, it is believed that the commitments presented meet the requirements set forth in Article 27, paragraph 7, of the Consumer Code.</w:t>
        <w:br/>
        <w:t>CONSIDERING, therefore, that the commitments presented by the company Le Style de Paris S.r.l.s., in the terms outlined above, are suitable to eliminate the possible profiles of unlawfulness of the conduct subject to investigation;</w:t>
        <w:br/>
        <w:t>CONSIDERING to impose the obligation of the aforementioned commitments on the company Le Style de Paris S.r.l.s.;</w:t>
        <w:br/>
        <w:t>CONSIDERING, furthermore, that, due to the need to ensure compliance with the commitments undertaken, it is necessary to order, pursuant to Article 27, paragraph 7, of the Consumer Code, the publication at the expense of the Professional, regarding the measures for which broader information to consumers is likely to favor their effective, complete, and correct implementation;</w:t>
        <w:br/>
        <w:t>CONSIDERING, therefore, that the procedure can be closed without establishing the infringement;</w:t>
      </w:r>
    </w:p>
    <w:p>
      <w:r>
        <w:t>40 BULLETIN NO. 46 OF DECEMBER 4, 2023</w:t>
        <w:br/>
        <w:t>RESOLVES</w:t>
        <w:br/>
        <w:t>a) to make mandatory, towards the company Le Style de Paris S.r.l.s., pursuant to Article 27, paragraph 7, of the Consumer Code and Article 9, paragraph 2, letter a), of the Regulation, the commitments proposed by the same company in final version on September 25, 2023, as described in the form attached to this provision (Annex 1), which is an integral part thereof;</w:t>
        <w:br/>
        <w:t>b) to close the procedure without establishing the infringement, pursuant to Article 27, paragraph 7, of the Consumer Code and Article 9, paragraph 2, letter a), of the Regulation;</w:t>
        <w:br/>
        <w:t>c) that the company Le Style de Paris S.r.l.s., within sixty days from the date of notification of this resolution, shall inform the Authority in detail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Company that is incomplete, inaccurate, or misleading;</w:t>
        <w:br/>
        <w:t>ORDERS</w:t>
        <w:br/>
        <w:t>a) that the company Le Style de Paris S.r.l.s. publishes, at its own expense, the commitments undertaken pursuant to Article 27, paragraph 7, of the Consumer Code, within thirty days from the notification of this provision through a link titled “AGCM - Commitments Le Style de Paris S.r.l.s. Procedure PS12502,” positioned in the higher part of the homepage of the website https://www.lestyledeparis.com so that it is immediately visible without the need to scroll and in appropriate font and graphic style; the link must allow landing on a page containing the description of all commitments and must remain in the higher part of the homepage for a period of sixty days;</w:t>
        <w:br/>
        <w:t>b) that the publication must be preceded by communication to the Authority of the date on which it will take place and must be followed, within three days, by sending to the Authority a copy of the relevant webpage.</w:t>
        <w:b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activities for a period not exceeding thirty days.</w:t>
      </w:r>
    </w:p>
    <w:p>
      <w:r>
        <w:t>BULLETIN NO. 46 OF DECEMBER 4, 2023 41</w:t>
        <w:br/>
        <w:t>This provision will be notified to the interested parties and published in the Bulletin of the Italian Competition Authority.</w:t>
        <w:br/>
        <w:t>THE SECRETARY GENERAL THE PRESIDENT</w:t>
        <w:br/>
        <w:t>Guido Stazi Roberto Rustichelli</w:t>
      </w:r>
    </w:p>
    <w:p>
      <w:r>
        <w:rPr>
          <w:b/>
        </w:rPr>
        <w:t>[Pages 40–42]</w:t>
      </w:r>
    </w:p>
    <w:p>
      <w:r>
        <w:t>42 BULLETIN NO. 46 OF DECEMBER 4, 2023</w:t>
        <w:br/>
        <w:t>PS12660 - INTESA SANPAOLO/ISYBANK - TRANSFER OF CURRENT ACCOUNTS</w:t>
        <w:br/>
        <w:t>Provision No. 30884</w:t>
        <w:br/>
        <w:t>THE ITALIAN COMPETITION AUTHORITY</w:t>
        <w:br/>
        <w:t>IN ITS MEETING of November 28, 2023;</w:t>
        <w:br/>
        <w:t>HEARD the Rapporteur, President Roberto Rustichelli;</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of November 2, 2023, initiating proceeding PS12660, aimed at verifying the existence of violations of Articles 20, 21, 22, 24, and 25 of the Consumer Code by the companies Intesa Sanpaolo S.p.A. and Isybank S.p.A.;</w:t>
        <w:br/>
        <w:t>HAVING REGARD TO the memorandum submitted by the companies Intesa Sanpaolo S.p.A. and Isybank S.p.A. on November 16, 2023;</w:t>
        <w:br/>
        <w:t>HAVING REGARD TO the documents of the proceeding;</w:t>
        <w:br/>
        <w:t>CONSIDERING the following:</w:t>
        <w:br/>
        <w:t>I. THE INITIATION OF THE PROCEEDING</w:t>
        <w:br/>
        <w:t>1. The Intesa Sanpaolo Group has defined a reorganization project concerning the transfer of a significant number of customers1 from Intesa Sanpaolo S.p.A. (hereinafter, "ISP") to Isybank S.p.A. (hereinafter, "Isybank"). In particular, the plan provides for the transfer to the digital bank Isybank of customers that ISP defines as "predominantly digital," that is, "consumer customers who, considering primarily the characteristics of their operations, are familiar with digital services and channels, as well as consumer customers who, in any case, make no or limited use of the branch"2.</w:t>
        <w:br/>
        <w:t>1 According to information provided by the professionals themselves, the customers involved would be approximately 2.4 million.</w:t>
        <w:br/>
        <w:t>2 More precisely, in the communications sent to customers, Intesa Sanpaolo emphasizes that "the 'predominantly digital customers' are those customers, holders of the My Key service, who:</w:t>
        <w:br/>
        <w:t>• in the last year (or since the opening of the relationships if it occurred during the last year):</w:t>
        <w:br/>
        <w:t>o have not carried out transactions in the branch;</w:t>
        <w:br/>
        <w:t>o or, if they have carried out transactions in the branch, have carried out at least as many through the My Key service;</w:t>
        <w:br/>
        <w:t>• are under 65 years of age, in order to exclude customers who are generally less accustomed to using digital channels.</w:t>
        <w:br/>
        <w:t>In any case, customers who fall into one of the following categories have not been considered "predominantly digital customers":</w:t>
        <w:br/>
        <w:t>• have carried out more than 10 transactions in the branch in the last year (or since the opening of the relationships if it occurred during the last year);</w:t>
        <w:br/>
        <w:t>• hold financial instruments or insurance products with Intesa Sanpaolo (except for CPI policies and fire insurance), to which services not provided by Isybank are associated;</w:t>
      </w:r>
    </w:p>
    <w:p>
      <w:r>
        <w:t>BULLETIN NO. 46 OF DECEMBER 4, 2023 43</w:t>
        <w:br/>
        <w:t>2. By virtue of this project, during the month of July 20233, ISP communicated to the customers deemed "predominantly digital" its intention to transfer their current account relationships and related services to Isybank, along with a proposal for unilateral modification of the contracts pursuant to Articles 118 and 126 sexies of Legislative Decree No. 385/1999, containing the Consolidated Text of Banking and Credit Laws (hereinafter, "TUB"). In these communications, it was indicated that the operation would be carried out through the transfer by ISP to Isybank of two business branches (the first comprising approximately three hundred thousand customers, effective October 16, 2023, the second comprising over two million customers, effective March 18, 2024). Furthermore, the Professionals communicated that the operation would be publicized according to the formalities prescribed by law and, therefore, through registration in the Companies Register by ISP and Isybank pursuant to Article 2556 of the Civil Code and Article 58 of the TUB, as well as through the publication of a notice in the Official Gazette of the Italian Republic.</w:t>
        <w:br/>
        <w:t>3. In these communications, both the deadline by which the customer could declare that they do not identify with the characteristics of "predominantly digital customers" (the deadline set, based on the reports received, at September 12, 2023, for the first tranche of account holders4 and at September 30, 2023, for all others5), and the deadline by which customers could exercise the right of withdrawal (respectively, October 15, 2023, for the first tranche and March 17, 2024, for the others) were indicated.</w:t>
        <w:br/>
        <w:t>4. On October 16, 2023, the transfer of the first business branch from ISP to Isybank, consisting of the first tranche of "predominantly digital customers," became effective.</w:t>
        <w:br/>
        <w:t>5. With the communication received from the involved customers titled "Transfer of relationships to Isybank and proposals for unilateral modifications of contracts," ISP communicates that it has "decided to offer 'predominantly digital customers' the dedicated service model, in terms of products, operational modalities, and economic conditions offered by Isybank, the new fully digital bank without branches of Intesa Sanpaolo." ISP adds: "since, according to the analyses carried out, you have the characteristics to be included among the 'predominantly digital customers,' in this communication we provide you with some important information regarding this and propose to make some modifications to the economic conditions and contractual terms." Further in the communication, ISP specifies: "In addition to the protections provided by law regarding the transfer of the business branch and the proposals for unilateral modification, if you do not identify with the characteristics of 'predominantly digital customers' or wish to have clarifications on the effects of the transfer of your relationships to Isybank, we are available to collect your indications and therefore invite you to contact us at the number […], by September 30, 2023. After this deadline, without having communicated to us that you do not identify with the characteristics of 'predominantly digital customers,' you will be considered as such also for the purposes of the transfer of your relationships to Isybank, but you may of course still exercise the right of withdrawal attributed to you by law regarding the proposals for unilateral modification, by March 17, 2024”6 (emphasis added).</w:t>
        <w:br/>
        <w:t>6. Further in the communication, ISP adds: "Intesa Sanpaolo has therefore felt the need to restructure its operations, creating a new bank, Isybank, intended precisely to provide services via App, with the aim of offering digital customers dedicated functionalities and services. […] These operations therefore constitute the justification for the unilateral modifications proposed pursuant to Articles 118 and 126-sexies of the Consolidated Banking Act concerning the current account and debit and credit card contracts indicated in Annex 1, where you can also find the list of services and functionalities that will be temporarily unavailable in Isybank" (emphasis added).</w:t>
        <w:br/>
        <w:t>7. Numerous consumers7 have complained that this important communication was delivered to the archive section of the user area of ISP's internet banking or App without any particular prominence, also noting the peculiarity of the choice not to highlight it either with a push notification or with a message alert8. Furthermore, they complained that the communication was sent during a time of year (starting from June 28, 2023) largely coinciding with the summer holidays9, during which users' attention might be lower. The reporters, therefore, were not fully aware of the important contractual changes and the transfer of their current account and banking relationships to another operator, often only becoming aware of it after September 30, 2023, the final date set by ISP to express their refusal to the transfer10. Moreover, consumers emphasized that Intesa Sanpaolo, for ordinary banking operations (e.g., purchases with debit cards or withdrawals at ATMs), sends multiple notifications through various means, such as traditional emails or App notifications11-12.</w:t>
        <w:br/>
        <w:t>6 See communication of proposals for unilateral modifications sent together with the report of August 7, 2023, cited, in the communications sent to customers whose transfer was scheduled to start from October 16, 2023, the dates of September 12, 2023, and October 15, 2023, are indicated respectively.</w:t>
        <w:br/>
        <w:t>7 As of November 20, 2023, approximately five thousand reports have been received.</w:t>
        <w:br/>
        <w:t>8 See, among many, report protocol No. 79747 of October 5, 2023, as well as report protocol No. 78958 of October 3, 2023.</w:t>
        <w:br/>
        <w:t>9 See, for example, report protocol No. 80694 of October 10, 2023, from the National Consumers' Union, which, collecting complaints from numerous reporters, emphasizes: "For many, therefore, the communication arrived during the summer, while they may have been on vacation, for those who had requested communication through the Intesa San Paolo app, precisely through this means, as one of the many notifications that everyone receives on their device. It goes without saying that many did not notice (or did not read in time) such an important communication and therefore could not refuse the transfer to IsyBank within the expected time."</w:t>
        <w:br/>
        <w:t>10 See, among others, report protocol No. 78958 of October 3, 2023, cited, and report protocol No. 80479 of October 10, 2023.</w:t>
        <w:br/>
        <w:t>11 See, among others, report protocol No. 79448 of October 4, 2023, in which the reporter emphasizes: "Intesa Sanpaolo has my phone number, my residential address, my official email, as well as various other personal information, and would have had more than one opportunity to communicate this to me in a timely manner, but did not do so. I have active notifications via email for every incoming or outgoing payment on the card, but there is no section in the application to request to be notified via email in case of changes to the current account, so I would not have been able to activate them even if I wanted to. I also physically went to the branch on 09/08/23, spoke with my reference operator, but no one thought to mention this to me."</w:t>
        <w:br/>
        <w:t>12 Numerous consumers have also reported the lack or inadequate assistance on the matter from the Professionals. The network of ISP branches reportedly could not provide adequate information to the affected customers, and it would have been difficult to contact the toll-free number made available (see, for example, report protocol No. 80641 of October 10, 2023, in which the reporter complained: "I found out about all this when I happened to read the newspaper and checked the app to see if I was also among the 'lucky ones.' My world fell apart, I felt cheated and robbed of my will […]. I then went to the bank, but I was treated with condescension and arrogance and was invited to call the toll-free number […] to which no one answers or the line drops.")</w:t>
      </w:r>
    </w:p>
    <w:p>
      <w:r>
        <w:rPr>
          <w:b/>
        </w:rPr>
        <w:t>[Pages 43–45]</w:t>
      </w:r>
    </w:p>
    <w:p>
      <w:r>
        <w:t>BULLETIN NO. 46 OF DECEMBER 4, 2023 45</w:t>
        <w:br/>
        <w:t>8. The complainants also reported that the transition to the new banking operator involves significant changes to the contractual conditions in place with ISP, as well as to the actual use of banking services. Firstly, many complainants lamented the fact that the new banking operator will not only lack physical branches to turn to in case of need, being a completely digital operator, but interaction with it will only be possible through smartphones (with all the limitations of displays and functionalities connected to it) and not via the browser of one's personal computer as was the case with ISP. Secondly, an increase in account maintenance costs has been highlighted, which would be higher than those of the ISP account, as well as the inconveniences related to the change of IBAN and the necessity to communicate this change to third parties13. Furthermore, many account holders complained about the lack of certain functionalities and services present in ISP and absent in Isybank (such as those related to virtual cards for online purchases and checkbooks). Additionally, it should be noted that, since the deadline of September 30, 2023 has now passed, it would not be possible for the consumer to remain with Intesa Sanpaolo without opening a new current account with a new IBAN.</w:t>
        <w:br/>
        <w:t>9. Therefore, based on the information acquired in the records, the investigative procedure PS12660 has been initiated concerning the behaviors described above, in order to verify the existence of an unfair commercial practice in violation of Articles 20, 21, 22, 24, and 25 of the Consumer Code. With the same provision, the Authority has also proposed the adoption of a precautionary measure pursuant to Article 27, paragraph 3, of the Consumer Code, as well as pursuant to Article 6 of the Regulation.</w:t>
        <w:br/>
        <w:t>10. The parties to the proceeding are the companies Intesa Sanpaolo S.p.A. and Isybank S.p.A. as professionals and the consumer associations Centro Tutela Consumatori Utenti - Verbraucherzentrale Südtirol, UNC - Unione Nazionale Consumatori, Codici, and Altroconsumo.</w:t>
        <w:br/>
        <w:t>11. Concurrently with the communication of the initiation of the proceeding, the companies ISP and Isybank were invited, pursuant to Article 8, paragraph 2, of the Regulation, to submit written statements and documents, in order to assess the prerequisites for the provisional suspension, pursuant to Article 27, paragraph 3, of the Consumer Code, of the conduct being contested.</w:t>
        <w:br/>
        <w:t>II. FURTHER ELEMENTS ACQUIRED</w:t>
        <w:br/>
        <w:t>12. In the Official Gazette of October 31, 2023, Isybank S.p.A. published a "Notice of transfer of a business branch pursuant to Article 58 of the TUB and information on the transferred relationships and the processing of personal data […]". In this notice, Isybank describes this business branch as the "activities, liabilities, and relationships, including ongoing ones, functionally organized for the management of individual customers who primarily use digital channels." Numerous categories of account holders and sometimes related exceptions are then listed, which should delimit the relationships subject to the transfer. They do not appear to coincide with those listed in the customer communication of July 202314.</w:t>
        <w:br/>
        <w:t>13. On November 9, 2023, a complainant, an employee of ISP, was heard in a hearing, who reported that the communication to such a large number of customers about the transition from Intesa Sanpaolo to Isybank via message in the "Archive" section of the Intesa Sanpaolo App occurred despite the internal lawyers of ISP having suggested using the "Push" notification system, as this latter method would have been able to attract the attention of the receiving customer or ensure its reading. Conversely, in the "Archive" section of the App, ISP customers usually find dozens and dozens of communications (transfers and F24 made, promotions, etc...) mixed together, which often go unread. The complainant also noted that, even after October 16, 2023, for customers transferred to Isybank, the IBAN of the closed ISP account remains "active" as it can continue to receive incoming flows that are automatically redirected to the IBAN of the new account, specifying that, from a technical standpoint, the old IBAN could be fully restored.</w:t>
        <w:br/>
        <w:t>III. MEMORIES OF THE PARTIES</w:t>
        <w:br/>
        <w:t>14. Following the communication of the initiation of the proceeding, particularly with reference to the precautionary sub-proceeding, the Professionals submitted a defensive memorandum, received on November 16, 2023. Initially, they raised two procedural issues: a request for the Authority to acquire the opinion of the Bank of Italy in view of the conclusive provision of the precautionary sub-proceeding and a request for a hearing before the College. According to the Professionals, the request for an opinion from the Bank of Italy would also be necessary concerning the adoption of a precautionary measure. In particular, whenever it is relevant to establish the scope of sectoral regulations (in this case, banking regulations) for the exercise of the powers attributed to the Authority, the principle of institutional cooperation between different Authorities would require the acquisition of the requested opinion from the competent sectoral Authority. Regarding the request for a hearing before the College, the Professionals emphasize that it would be instrumental to the full and effective implementation of the principle of fair trial and the principle of equality of arms between prosecution and defense, the implementation of which would imply that the defense prerogatives can be exercised before the College in contradiction with the Offices, as this body guarantees impartiality with respect to the office conducting the investigation and, moreover, has decision-making powers, which could adversely affect the accused party.</w:t>
        <w:br/>
        <w:t>15. On the merits of the conduct, the Professionals highlight that the operation of transferring business branches from ISP to Isybank would be an operation made "necessary" by technological developments and regulated by sectoral legislation, specifically by Article 58 of the TUB, which provides that such transfer is perfected and produces effects regardless of the consent of the transferred contractors. The Professionals further specify that the project of Isybank has been promptly submitted to the supervisory Authorities in the exercise of their respective powers, which would not have raised objections or concerns.</w:t>
        <w:br/>
        <w:t>16. Regarding the prerequisites for the adoption of the precautionary measure, as far as the existence of fumus boni iuris is concerned, the Professionals emphasize that the transfer of consumer customers would not be qualifiable as an "unfair commercial practice," as it would lack the element of "promotion, sale" of a product or service. It would indeed be an intervention specifically regulated by the legal system, attributable to structural operations for the transfer of business branches. In this regard, the Parties emphasize that the hypothesis of acquiring explicit consent would contradict the content and rationale of the regime for the circulation of banking assets and goods and would unjustifiably prejudice entrepreneurial autonomy, thus giving rise to a case of "incompatibility" between the sectoral norm provided by the TUB, which does not require consent, and the general one of the Consumer Code. In this case, the sectoral norm would prevail over the consumer protection norm, based on the principles established by the Court of Justice.</w:t>
        <w:br/>
        <w:t>17. With specific reference to the profiles of misleading and/or omission of information in the communication sent by ISP, the Professionals assert that this communication would be clear and exhaustive, both regarding the statement of the criteria for the ex ante definition of "predominantly digital customers" and regarding the ability of the interested contractors to engage ex post with ISP if they did not consider themselves to belong to that category. In addition, the Professionals add that the methods of dissemination of the ISP Communication would be entirely appropriate, as they were identified in accordance with the practices generally followed in the sector for communications of this type.</w:t>
        <w:br/>
        <w:t>18. In relation to the alleged violation of Articles 24 and 25 of the Consumer Code, the Professionals note that it would not be possible to identify any "undue conditioning" in this case, as the contractual changes that affected the transferred contractors: (a) were adopted pursuant to Articles 118 and 126 sexies of the TUB; (b) were transparently communicated to the interested contractors; (c) were timely and transparently represented to the Bank.</w:t>
      </w:r>
    </w:p>
    <w:p>
      <w:r>
        <w:rPr>
          <w:b/>
        </w:rPr>
        <w:t>[Pages 46–48]</w:t>
      </w:r>
    </w:p>
    <w:p>
      <w:r>
        <w:t>48 BULLETIN NO. 46 OF DECEMBER 4, 2023</w:t>
        <w:br/>
        <w:t>of Italy; (d) are essentially beneficial/insignificant for the transferred customers; (e) concern customers who make no or only marginal use of the physical branch; (f) the online banking service provided through the App is substantially equivalent to that offered through the website; (g) from the empirical feedback obtained from the Parties, there appears to be a general consensus and appreciation from the affected clientele regarding the Isybank initiative and the economic-operational conditions it guarantees.</w:t>
        <w:br/>
        <w:t>19. Regarding the alleged lack of professional diligence, the Parties reiterate that they have complied with the relevant sector regulations and have conducted a transparent and comprehensive dialogue with the sector supervisory Authority.</w:t>
        <w:br/>
        <w:t>20. With respect to the periculum in mora, the Professionals argue that this condition does not exist in this case and that, therefore, the adoption of a precautionary measure would be entirely unjustified. More specifically, concerning the transferred customers with the transfer of the First Branch, the Parties emphasize that the transfer has already taken place and that, since the vast majority of the affected customers have not raised objections to the operation, the customers who may have been transferred without identifying with the digital customer profile are a limited minority. Regarding the position of the customers of the Second Branch, the Parties clarify that the transfer effect of the assignment will only occur in March 2024 and that, therefore, it can be excluded for them that an imminent, serious, and irreparable harm is configured. The Parties add that, in any case, for the customers of the First Branch who have not communicated within the terms that they do not identify with the profile of "predominantly digital customers," but who believe they do not identify with this profile, an individual contact initiative has been launched to confirm such recognition or to guarantee their return to ISP under "favorable" conditions in case of denial of recognition. To protect the customers of the Second Branch, they have been given the opportunity to benefit from a "restoration period" until February 29, 2024, in order to allow them to express their views regarding recognition or not in the "digital profile," with the possibility of remaining in ISP in case of non-recognition, for which a specific "communication plan on digital channels" has been initiated.</w:t>
        <w:br/>
        <w:t>21. Finally, regarding the possibility of restoring the IBAN of customers already transferred, the Professionals highlight that they currently do not have, nor are they aware of, an IT process that allows, automatically and en masse, the restoration of the extinguished accounts of the customers subject to transfer (or a subset thereof) while retaining the "old" IBAN, emphasizing that, in any case, such an operation would need to be carried out concurrently with a careful examination with Banca d'Italia also to assess any impact on the domestic payment system.</w:t>
        <w:br/>
        <w:t>IV. EVALUATIONS</w:t>
        <w:br/>
        <w:t>IV.a On procedural issues</w:t>
        <w:br/>
        <w:t>22. With reference to the procedural observations made by the Professionals, it is noted that the acquisition of the opinion of Banca d'Italia is expected by the end of the proceeding, after the closure of the investigative phase and before the adoption of the final provision. Moreover, the Protocol of Understanding between the Authority and Banca d'Italia clearly specifies in Article 3 that: "At the end of the investigation carried out pursuant to the regulation on procedures, the AGCM requests Banca d'Italia for the opinion referred to in Article 27, paragraph 1-bis, of Legislative Decree No. 206 of September 6, 2005, also transmitting the relevant documentation. Banca d'Italia shall express its opinion within thirty days from the receipt of the request for opinion and the related documentation." Otherwise, the need to request and wait for the opinion of the sector Authority (which would have thirty days to issue it) even in precautionary phase would render the Authority's recourse to the adoption of precautionary measures entirely ineffective if, as in this case, the urgency of intervention is noted.</w:t>
        <w:br/>
        <w:t>23. Regarding the request for a hearing before the College, it is represented that this is not provided for by the "Regulation on investigative procedures regarding misleading and comparative advertising, unfair commercial practices, violation of consumer rights in contracts, violation of the prohibition of discrimination, unfair clauses," which only provides for it before the investigative offices during the investigative phase of the substantive proceeding. Furthermore, according to established jurisprudence, the hearing before the College does not constitute in itself an indispensable safeguard of procedural participation, to the extent that the aforementioned Regulation grants the Parties numerous tools to fully participate in the proceeding and interact with the Authority, which the Parties, in this case, have been able to extensively avail themselves of, having exercised access to the records of the proceeding (carried out on November 9 and 10, 2023), submitted documents and written submissions, as well as obtaining an extension of the deadline for the submission of the latter from November 13 to November 16, 2023.</w:t>
        <w:br/>
        <w:t>IV.b. On the fumus</w:t>
        <w:br/>
        <w:t>1. Premise</w:t>
        <w:br/>
        <w:t>24. As a preliminary matter, it should be emphasized that the Authority's intervention does not concern the possible legitimacy of the operation itself of transferring business branches from ISP to Isybank, but the methods by which the operation has been carried out.</w:t>
        <w:br/>
        <w:t>25. These methods are relevant for the application of the Consumer Code under various profiles; therefore, it is useful to immediately clear the field of a recurring argument in the defensive writings of the parties according to which the conduct subject to this proceeding would not lend itself to configuring a commercial practice as the element of "promotion, sale" of a product or service referred to in Article 18, paragraph 1, letter d) of the Consumer Code would be lacking, as it concerns structural operations for the transfer of business branches. This argument is contradicted by the very wording of the relevant provisions of the Consumer Code. Indeed, the provision cited by the Parties defines as a commercial practice "any action, omission, conduct or statement, commercial communication including advertising and marketing of the product, carried out by a professional, in relation to the promotion, sale or supply of a product to consumers." The subsequent Article 19 also specifies that "unfair commercial practices between professionals and consumers" are those "carried out before, during, and after a commercial operation relating to a product [...]" (emphasis added).</w:t>
        <w:br/>
        <w:t>26. It is, therefore, evident that all behaviors carried out by professionals that are objectively related to the "promotion, sale or supply" of goods or services to consumers, and that are carried out prior to, concurrently with, or even after the establishment of contractual relationships, fall within the scope of application of the Consumer Code. From this perspective, the conduct under examination concerns the phase of "supply" of the banking service, during the period of validity of the related contractual relationship.</w:t>
      </w:r>
    </w:p>
    <w:p>
      <w:r>
        <w:t>50 BULLETIN NO. 46 OF DECEMBER 4, 2023</w:t>
        <w:br/>
        <w:t>27. Having said that, the following will highlight the reasons why, within the contractual relationship in place between ISP and the customers defined as "predominantly digital" affected by the transfer of their current account to Isybank, the methods by which: a) the customers qualified as "predominantly digital" were identified; b) the adhesion of such customers to the transfer from ISP to Isybank was foreseen; c) the operation was communicated to them, are relevant for consumer protection regulation.</w:t>
        <w:br/>
        <w:t>28. It is worth highlighting that these methods of transfer and communication to customers of the business branches ceded by ISP to Isybank have been the subject of repeated requests for clarification, even in November, from Banca d'Italia, from which the Professionals attempt to derive a sort of endorsement from the regulatory Authority for their conduct. It should be noted, moreover, that, according to the Parties, regarding the transfers in question, Banca d'Italia would not have the authorization powers referred to in Article 58, paragraph 1, TUB. In fact, contrary to what the Professionals claim, the aforementioned requests for clarification rather reveal that, for the profiles of its competence, the operation in question has also raised concerns for Banca d'Italia*-15.</w:t>
        <w:br/>
        <w:t>2. The identification of "predominantly digital" customers</w:t>
        <w:br/>
        <w:t>29. According to the Professionals, the Isybank project is configured as a strategic initiative of a structural and organizational nature, governed by sector regulations and, in particular, by Article 58 of the TUB, which, as such, involves a transfer by conferment of business branches including the related contracts, which is perfected and produces effects independently of the consent of the ceded contractors.</w:t>
        <w:br/>
        <w:t>30. Article 58 TUB, allowing "the transfer to banks of businesses, business branches, assets, and identifiable legal relationships in bulk," establishes a derogatory discipline compared to that ordinarily provided for the transfer of credit and contracts, subordinating its effectiveness solely to the notification of the completed transfer given by the acquiring bank through registration in the business register and the publication of a notice in the Official Gazette, and providing that such fulfillments produce the same effects as acceptance or notification provided for by Article 1264 of the Civil Code.</w:t>
        <w:br/>
        <w:t>31. Based on the instructions issued in this regard by Banca d'Italia, "identifiable legal relationships in bulk" must be understood as "credits, debts, and contracts that present a common distinguishing element," which "can be found, for example, in the technical form, in the economic sectors of destination, in the type of counterparty, in the territorial area, and in any other common element that allows the identification of the complex of transferred relationships"16 (emphasis added). The ability to transfer a plurality of legal relationships as a result of a single operation is therefore subject to verification that these relationships can indeed be identified, precisely, "in bulk" and, therefore, share a common profile that characterizes them to the extent that allows for a unitary consideration. In other words, the criteria for identifying a "block" of legal relationships</w:t>
        <w:br/>
        <w:t>* In this version, some data are omitted, as elements of confidentiality or secrecy of the information were deemed to exist.</w:t>
        <w:br/>
        <w:t>15 In particular, in their defensive writings, the parties repeatedly refer to [omitted].</w:t>
        <w:br/>
        <w:t>16 See Banca d'Italia circular No. 229 of April 21, 1999.</w:t>
      </w:r>
    </w:p>
    <w:p>
      <w:r>
        <w:rPr>
          <w:b/>
        </w:rPr>
        <w:t>[Pages 49–51]</w:t>
      </w:r>
    </w:p>
    <w:p>
      <w:r>
        <w:t>BULLETIN NO. 46 OF DECEMBER 4, 2023 51</w:t>
        <w:br/>
        <w:t>must be such as to guarantee, in any case, compliance with the inescapable principle of determinacy of the object and content of the contract pursuant to Article 1362 of the Civil Code17.</w:t>
        <w:br/>
        <w:t>32. In the specific case, the set of conditions defining the business branches subject to transfer, as initially defined by the Professionals in communications sent to clients starting from June 28 of last year and subsequently (with significant differences) in the notice published in the Official Gazette on October 31, 2023, does not appear suitable to identify without uncertainties the relationships subject to transfer.</w:t>
        <w:br/>
        <w:t>33. The definition of the business branches used by the professionals (“activities, liabilities, and relationships, including ongoing ones, functionally organized for the management of individual clients who primarily use digital channels”) appears generic and indeterminate. In fact, the definition of predominantly digital client (clients who in the last year have not conducted transactions at the branch or, if they have conducted transactions at the branch, (i) have conducted no more than ten and (ii) in that case, have conducted at least as many through the multichannel service) can encompass a very varied multitude of clients that poorly lends itself to forming a homogeneous aggregate18.</w:t>
        <w:br/>
        <w:t>34. More specifically, the description of the business branches outlined by the professionals is made based on criteria that appear arbitrary (see, for example, the criterion by which employees and former employees of the Intesa Sanpaolo group are excluded from the definition of the Business Branches) and discretionary (see the criterion by which the predominantly digital client is one who has conducted up to ten transactions at the branch), and appears functional, in addition to an internal reorganization of the Group, primarily to transfer the less profitable clientele (given that, for example, the transfer of clients who have investment products, or an average balance exceeding 100,000 euros, or even purchasers of ancillary or insurance products and services is not provided for).</w:t>
        <w:br/>
        <w:t>35. Furthermore, the definition of “predominantly digital client” does not seem capable of allowing the consumer to recognize themselves or not in that category, as it is unreasonable to assume that clients should keep some sort of accounting between transactions conducted at the branch or digitally, over a time frame that is not clearly identified (the last year). The subsequent list present in the notice, besides being extremely complex and such as to not allow the affected clients to recognize themselves or not in the category of transferred clients, is in any case clearly defined as non-exhaustive (“the following contracts are subject to the Transfer, inter alia”; emphasis added).</w:t>
        <w:br/>
        <w:t>36. Moreover, in the specific case, the operation as configured does not result in the transfer of the pre-existing contract with ISP in its entirety as agreed by the parties, but rather a radical change of that contract, having as its object a new and different content given not only by the change in contractual conditions but especially by the loss of availability of the basic services of the involved current accounts (such as the physical branch, access to home banking via browser, checks, virtual cards, mortgages, etc...) which, in this way, appears to fundamentally alter the original contractual balance between the parties. Such essential modifications of previously stipulated contracts have been unilaterally imposed and have resulted not only in a subjective change of the relationship but also a significant objective change, for which the prior consent of the clients to the transfer should have been expressly obtained by ISP.</w:t>
        <w:br/>
        <w:t>37. From the perspective of the Consumer Code, therefore, the conduct of ISP and Isybank, considering the lack of prior consent from the transferred contracting parties, constitutes prima facie a lack from the standpoint of professional diligence, which is also characterized by elements of aggressiveness. In fact, having prevented the consumers affected by the transfer from expressing their consent to it has unduly conditioned their ability to make informed commercial choices.</w:t>
        <w:br/>
        <w:t>38. The above excludes in its entirety the feared “absolute incompatibility between the two regulatory frameworks” (contained, respectively, in the Consumer Code and in Article 58 of the TUB) and the consequent proposed disapplication of the Consumer Code which, according to the Parties, would derive from national and union jurisprudence19.</w:t>
        <w:br/>
        <w:t>3. The methods of adherence to the transition from ISP to Isybank</w:t>
        <w:br/>
        <w:t>39. Also, the communications sent by the professionals do not provide for the acquisition of the express consent of the involved clients, as they contain proposals for unilateral modifications of the contracts, communicated to consumers pursuant to Articles 118 and 126 sexies of the TUB. However, such communications concern the introduction of new clauses, not previously present in the contract, citing operational restructuring needs on the part of Intesa Sanpaolo20. Even disregarding the assessment of whether a generic reference to “its organizational needs” can constitute a “justified reason,” it should be noted that the modifications governed by Article 118 TUB “concerning only the cases of variations provided for by the contract, cannot entail the introduction of new clauses”21. In the specific case, however, the proposed unilateral modifications introduce entirely new clauses and conditions, such as to substantially affect the contractual balance regarding: i) the method of use of the banking service, as the contractual modification solely provides for the use of the digital channel, available exclusively via smartphone; ii) the removal of certain types of payment instruments, such as bank checks and virtual cards; iii) the introduction of a “package” pricing structure to use the banking service, with the consequent adoption of a pricing plan that previously was not determined by a fixed amount, or was only partially so.</w:t>
        <w:br/>
        <w:t>40. From the perspective of the Consumer Code, the recourse to the instrument of unilateral modification and the consequent failure to foresee the acquisition of the consent of the account holders to the proposed modifications constitutes conduct that appears capable of having induced consumers to make a commercial decision that they might not have made, had they been able to actually choose whether to accept significant changes to the conditions of use of the contract, as well as whether to accept the loss of previously available services (such as, for example, the physical branch, access to home banking via browser, checks, virtual cards, mortgages, etc...).</w:t>
        <w:br/>
        <w:t>4. The methods of communication of the transition from ISP to Isybank</w:t>
        <w:br/>
        <w:t>41. In any case, the communication of the aforementioned modifications occurred in such a way as to not adequately inform consumers of the effects of such operation, to the extent that in the communication sent it was not clarified that the recipients of the same could refuse the transfer, but only that they could discuss their position with the bank (“if you do not recognize yourself in the characteristics of the 'predominantly digital clients' or wish to have clarifications on the effects of the transfer of your relationships to Isybank, we are available to collect your indications and therefore invite you to contact us at the number […], by September 30, 2023”). Moreover, the communication sent did not adequately inform consumers of the significant changes that the transfer to ISP would entail also in terms of loss of previously available services (such as checks, virtual cards, mortgages). It should also be noted that this communication was delivered to a wide audience of consumers in the archive section of the user area of internet banking or the ISP App without any particular prominence, not even highlighted with a push notification or message alert.</w:t>
        <w:br/>
        <w:t>42. It is emblematic in this regard that the aforementioned communication plan on digital channels that the Parties would have initiated for the “remission in terms” of the clients of Branch II, besides expressly referring to the possibility of not being transferred to Isybank (“We inform you that if you prefer to maintain the current relationship with Intesa San Paolo [...]”), employs a whole series of customer contact tools (activation of pop-ups, push notifications via App, and sending of emails) confirming the existence of a plurality of alternative methods that, taken together, would be more suitable to reach the clients and ascertain the receipt of the communication compared to the method actually adopted.</w:t>
        <w:br/>
        <w:t>43. Furthermore, the Parties have not denied what was stated by the ISP employee heard in the hearing, according to whom the internal lawyers of ISP would have advised against transmitting the communications in question solely in the Archive section of the App. From the perspective of the Consumer Code, the chosen methods of communication have resulted in an informational diversion of the affected clientele, such as to induce an error in making their respective commercial choices.</w:t>
      </w:r>
    </w:p>
    <w:p>
      <w:r>
        <w:rPr>
          <w:b/>
        </w:rPr>
        <w:t>[Pages 52–54]</w:t>
      </w:r>
    </w:p>
    <w:p>
      <w:r>
        <w:t>54 BULLETIN NO. 46 OF DECEMBER 4, 2023</w:t>
        <w:br/>
        <w:t>IV.c. On the periculum</w:t>
        <w:br/>
        <w:t>44. From the perspective of periculum in mora, it is first of all noted that the commercial practice under contestation is still ongoing and is characterized by a high degree of offensiveness due to the number of consumers involved.</w:t>
        <w:br/>
        <w:t>45. As a preliminary matter, in a perspective of necessary balancing of interests, it is observed that the adoption of the precautionary measure is justified as it aims to prevent the continuation (for the customers of Branch I) and the occurrence (for the customers of Branch II) of significant harm to consumers, resulting from the radical change in the contractual relationship of which they are a part and which deprives them of the possibility of benefiting from services they previously could access (such as the physical branch, access to online banking via browser, checks, virtual cards, mortgages, etc.).</w:t>
        <w:br/>
        <w:t>46. On the other hand, the adoption of precautionary measures does not appear to significantly affect the interests of the Parties. In particular, with reference to the digital bank project, the present intervention does not concern the legitimacy of the operation itself of transferring business branches, but rather the methods by which the operation has been carried out. Moreover, the Professionals, in their submissions, regarding the interim remedies proposed in the communication initiating the proceeding, have not indicated the existence of technological impediments, nor of unsustainable costs, as obstacles to adopting methods in line with the standards set by the Consumer Code. Therefore, the fact that consumers are placed in a position to maintain the relationship with ISP does not represent a source of prejudice for the latter.</w:t>
        <w:br/>
        <w:t>47. In this regard, the Parties argue, concerning the customers of the so-called Branch I, that since the transfer to Isybank was already completed on October 16, 2023, the effects thereof would be "irreversible," nor would new effects occur and therefore, for them, no periculum could be identified. In any case, the customers of Branch I who have expressed dissatisfaction would be a "limited minority" ([1,000–5,000] as of November 9). It is noted, however, that the continuation of the relationship with Isybank, for customers already transferred, prolongs during the conclusion of the investigative procedure the effects described above, consisting of not being able to access branch services, but rather fewer services and functionalities, under economic conditions that, at least for some customers, could prove to be detrimental.</w:t>
        <w:br/>
        <w:t>48. For this category of customers, the Parties report having adopted a "protective measure" defined as "substantially equivalent" to restoring the status quo ante, according to which, "within the framework of an individual contact initiative already initiated"22, all interested contractors will be informed of the possibility of withdrawing from the relationship with Isybank and establishing "a new relationship" with ISP, without costs and burdens and under conditions defined as "favorable."</w:t>
        <w:br/>
        <w:t>49. This measure cannot be considered satisfactory as it consists not in the interruption of the censured conduct and its effects, but rather in the proposal of an alternative offer that is only partially restorative. In order for the behaviors under examination to be considered interrupted, it is therefore necessary that all customers transferred to Isybank on October 16, 2023 be allowed, through the individual contact initiative already proposed, to express their explicit consent to such transfer. The Professionals must adopt the methods deemed most appropriate and effective to obtain the explicit choice regarding the confirmation of the transfer or not. In the event of opposition to the transfer, these customers must be allowed to remain with ISP while maintaining the original current account contract.</w:t>
        <w:br/>
        <w:t>50. The alleged impossibility of maintaining the accounts held at ISP under unchanged conditions is indeed contradicted by the same arguments of the Parties who, regarding the possibility of allowing the maintenance of the IBANs related to such accounts, have not reported any concrete obstacles, whether of a technical or economic nature. The Parties, on this point, limit themselves to stating - moreover in a footnote - that they are not aware of operations for the mass restoration of closed accounts and that carrying out such an operation would require further investigation with the Bank of Italy to assess an unspecified "impact on the domestic payment system." At the same time, the Parties confirm what was reported by the ISP employee heard in the hearing, according to whom the old IBANs will continue, in any case, to be active as they are enabled to receive any incoming money flows that would be automatically transferred to the IBAN of the new linked account, without denying what was asserted by him regarding the complete technical possibility of restoring the old IBANs.</w:t>
        <w:br/>
        <w:t>51. Therefore, in balancing the interests involved, ensuring consumers who request to remain with ISP the opportunity to avoid the inconveniences and possible disruptions associated with the loss of the old IBAN prevails over the potential and not clearly identified burden of identifying a new mechanism aimed at maintaining the IBAN, also considering that the number of customers who will actually request to take advantage of this opportunity could, according to the same projections of the Parties, be limited.</w:t>
        <w:br/>
        <w:t>52. As for the customers of the so-called Branch II, the Parties contest that, in their regard, the imminence of harm can be identified as the transfer of these customers to Isybank will only occur in March 2024. However, the urgent measure is still necessary to prevent that, during the conclusion of the investigative procedure, the transfer of Branch II customers occurs with the same penalizing modalities that affected the customers of the first tranche. The Parties also report that this category of customers has been granted an extension to declare themselves "not predominantly digital," thus being able to avoid, should they wish, the transfer to Isybank. As seen, this opportunity has already been communicated to the customers of Branch II and will be the subject of a specific communication plan on digital channels, consisting of the activation of pop-ups and push notifications via App, as well as the sending of emails.</w:t>
        <w:br/>
        <w:t xml:space="preserve">53. This measure does not appear entirely adequate to ensure the complete interruption of the censured conduct and its effects, for which it is necessary that the aforementioned communication plan be organized, following clear and comprehensive information on the banking services no longer available in the event of transfer, in such a way as to ensure the acquisition of the explicit consent of customers to the transfer to Isybank, providing for the maintenance of the position in ISP for all those for whom it has not been possible to acquire the aforementioned consent. </w:t>
        <w:br/>
        <w:t>CONSIDERING, therefore, that from the examination of the acts of the proceeding, elements emerge that support the need to act with particular urgency in order to prevent the above-described commercial conduct, consisting of the transfer of a large number of customers from ISP to Isybank through misleading and aggressive methods, from continuing to be carried out and producing its effects during the course of the substantive proceeding;</w:t>
      </w:r>
    </w:p>
    <w:p>
      <w:r>
        <w:t>56 BULLETIN NO. 46 OF DECEMBER 4, 2023</w:t>
        <w:br/>
        <w:t>ORDERS</w:t>
        <w:br/>
        <w:t>pursuant to Article 27, paragraph 3, of the Consumer Code and Article 8, paragraph 1, of the Regulation, that the companies Intesa Sanpaolo S.p.A. and Isybank S.p.A. adopt measures suitable to ensure that:</w:t>
        <w:br/>
        <w:t>a) customers already transferred from Intesa Sanpaolo S.p.A. to Isybank S.p.A. on October 16, 2023, following clear and comprehensive information on the banking services no longer available in the event of transfer and on the new contractual conditions applied, are given a reasonable period to exercise the option to maintain the previous current account under the same conditions applied before the transfer;</w:t>
        <w:br/>
        <w:t>b) they refrain, during the course of the substantive proceeding, from carrying out the transfer of the current account and related relationships of other customers from Intesa Sanpaolo S.p.A. to Isybank S.p.A. - including the transfers scheduled for March 18, 2024 - unless such customers have expressed their explicit consent to the transfer based on clear and comprehensive information;</w:t>
        <w:br/>
        <w:t>c) they communicate to the Authority the execution of this suspension provision and the related modalities within ten days from the receipt of this provision, sending a detailed report in which the measures adopted are illustrated.</w:t>
        <w:b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br/>
        <w:t>This provision will be communicated to the interested parties and published in the Bulletin of the Italian Competition Authority.</w:t>
        <w:br/>
        <w:t>Against this provision, an appeal may be filed with the TAR for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provision itself.</w:t>
        <w:br/>
        <w:t>It is reminded that, pursuant to Article 8, paragraph 4, of the Regulation, this suspension decision must be immediately executed by the professionals and that the appeal against the suspension provision of the Authority does not suspend its execution.</w:t>
        <w:br/>
        <w:t>THE SECRETARY GENERAL THE PRESIDENT</w:t>
        <w:br/>
        <w:t>Guido Stazi Roberto Rustichelli</w:t>
      </w:r>
    </w:p>
    <w:p>
      <w:r>
        <w:rPr>
          <w:b/>
        </w:rPr>
        <w:t>[Pages 55–55]</w:t>
      </w:r>
    </w:p>
    <w:p>
      <w:r>
        <w:t>Competition Authority Weekly Bulletin</w:t>
        <w:br/>
        <w:t>of Competition and Market Year XXXIII - No. 46 - 2023</w:t>
        <w:br/>
        <w:t>Editorial Coordination Giulia Antenucci</w:t>
        <w:br/>
        <w:t>Editorial Staff Angela D’Auria, Valerio Ruocco, Manuela Villani</w:t>
        <w:br/>
        <w:t>Italian Competition Authority</w:t>
        <w:br/>
        <w:t>Document Management, Protocol and Statistical Services Department</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