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https://www.agcm.it/dotcmsdoc/bollettini/2024/46-24.pdf</w:t>
      </w:r>
    </w:p>
    <w:p>
      <w:r>
        <w:t>Pages translated : 27</w:t>
      </w:r>
    </w:p>
    <w:p/>
    <w:p>
      <w:r>
        <w:rPr>
          <w:b/>
        </w:rPr>
        <w:t>[Pages 1–3]</w:t>
      </w:r>
    </w:p>
    <w:p>
      <w:r>
        <w:t>BULLETIN</w:t>
        <w:br/>
        <w:t>Weekly</w:t>
        <w:br/>
        <w:t>Year XXXIV - No. 46</w:t>
        <w:br/>
        <w:t>Published on the website www.agcm.it</w:t>
        <w:br/>
        <w:t>December 2, 2024</w:t>
      </w:r>
    </w:p>
    <w:p>
      <w:r>
        <w:t>SUMMARY</w:t>
        <w:br/>
        <w:t>AGREEMENTS AND ABUSE OF DOMINANT POSITION 5</w:t>
        <w:br/>
        <w:t>I857C - TIM-DAZN SERIE A 2021/2024 AGREEMENT - DETERMINATION OF THE DURATION OF THE INFRINGEMENT</w:t>
        <w:br/>
        <w:t>Measure No. 31372 5</w:t>
        <w:br/>
        <w:t>CONCENTRATION OPERATIONS 8</w:t>
        <w:br/>
        <w:t>C12679 - EDENRED UTA MOBILITY/ BRANCH OF ITALIANA PETROLI</w:t>
        <w:br/>
        <w:t>Measure No. 31370 8</w:t>
        <w:br/>
        <w:t>INVESTIGATIVE INQUIRIES 15</w:t>
        <w:br/>
        <w:t>IC56 - PRICING ALGORITHMS IN PASSENGER AIR TRANSPORT ON NATIONAL ROUTES TO AND FROM SICILY AND SARDINIA</w:t>
        <w:br/>
        <w:t>Measure No. 31376 15</w:t>
        <w:br/>
        <w:t>IC56 - PRICING ALGORITHMS IN PASSENGER AIR TRANSPORT ON NATIONAL ROUTES TO AND FROM SICILY AND SARDINIA</w:t>
        <w:br/>
        <w:t>Measure No. 31377 19</w:t>
        <w:br/>
        <w:t>UNFAIR TRADE PRACTICES 21</w:t>
        <w:br/>
        <w:t>PS12745 - GDL-BAGNI ITALIANI/RENOVATION BONUS</w:t>
        <w:br/>
        <w:t>Measure No. 31373 21</w:t>
      </w:r>
    </w:p>
    <w:p>
      <w:r>
        <w:t>BULLETIN NO. 46 OF DECEMBER 2, 2024 5</w:t>
        <w:br/>
        <w:t>AGREEMENTS AND ABUSE OF DOMINANT POSITION</w:t>
        <w:br/>
        <w:t>I857C - TIM-DAZN SERIE A 2021/2024 AGREEMENT - DETERMINATION OF THE DURATION OF THE INFRINGEMENT</w:t>
        <w:br/>
        <w:t>Measure No. 31372</w:t>
        <w:br/>
        <w:t>THE COMPETITION AND MARKET AUTHORITY</w:t>
        <w:br/>
        <w:t>IN ITS MEETING of November 12, 2024;</w:t>
        <w:br/>
        <w:t>HEARD the Rapporteur President Roberto Rustichelli;</w:t>
        <w:br/>
        <w:t>HAVING REGARD to Law No. 287 of October 10, 1990;</w:t>
        <w:br/>
        <w:t>HAVING REGARD to D.P.R. No. 217 of April 30, 1998;</w:t>
        <w:br/>
        <w:t>HAVING REGARD to its Measure No. 30699, adopted by the Authority in the meeting of June 28, 2023, concluding the investigative procedure I857 – TIM-DAZN SERIE A 2021/2024, which established the existence of a restrictive agreement on competition, in violation of Article 101, paragraph 1, TFEU, implemented by Telecom Italia S.p.A. (hereinafter also “TIM”) and Dazn Limited/Dazn Media Services S.r.l. (hereinafter, also jointly, “Dazn”) and imposed a fine of € 7,240,250.84 on the aforementioned Dazn Group companies and a fine of € 760,776.82 on TIM S.p.A.;</w:t>
        <w:br/>
        <w:t>HAVING REGARD to the ruling of the Lazio Regional Administrative Court, Section I, of May 11, 2024, No. 9315, which fully rejected the appeals of Telecom Italia S.p.A. and the two companies of the DAZN group, Dazn Limited and Dazn Media Services S.r.l., concerning Measure No. 30699 of June 28, 2023;</w:t>
        <w:br/>
        <w:t>HAVING REGARD to the same ruling of the Lazio Regional Administrative Court No. 9315/2024, which partially accepted the consolidated appeals of Fastweb S.p.A. and Sky Italia S.r.l., limited to the determination of the duration of the infringement, “with the obligation of the Authority to restart the investigative procedure concluding it in compliance with this ruling”;</w:t>
        <w:br/>
        <w:t>HAVING REGARD, in particular, to the motivational part of the ruling in which the Lazio Regional Administrative Court deems it appropriate to accept the aforementioned criticism highlighting “the contradiction (as a symptomatic figure of abuse of power) of the contested measure, given the irreparable and inexplicable contrast between the communication of the investigative findings and the final decision”;</w:t>
        <w:br/>
        <w:t>CONSIDERING, in particular, that the Lazio Regional Administrative Court highlighted that the communication of the investigative findings described the prohibited agreement concluded by TIM and Dazn as affecting the market from January 27, 2021, to August 4, 2022, while the final measure confined the infringement to the period from “July 1, 2021, the date on which the commercialization of the rights based on the deal memo began, until August 2021, the date on which the measures adopted spontaneously by TIM and Dazn in the context of the precautionary sub-procedure were implemented” (point 373 of the measure). However, “such a statement is in stark contrast with the further factual elements presented in the measure”;</w:t>
        <w:br/>
        <w:t>CONSIDERING that the Lazio Regional Administrative Court took care to specify “the consequences on the effectiveness of the contested decision of the aforementioned partial acceptance” in the sense that the partial validity of the two appeals of Sky and Fastweb “does not determine the annulment ex tunc or ex nunc of the contested measure (similarly to what happened in the case decided by Cons. Stato, Section VI, 10</w:t>
      </w:r>
    </w:p>
    <w:p>
      <w:r>
        <w:rPr>
          <w:b/>
        </w:rPr>
        <w:t>[Pages 4–6]</w:t>
      </w:r>
    </w:p>
    <w:p>
      <w:r>
        <w:t>6 BULLETIN NO. 46 OF DECEMBER 2, 2024</w:t>
        <w:br/>
        <w:t>May 10, 2011, No. 2577), given that the removal of the measure would lead to a factual situation contrary to the interests of the appellant. Therefore, the acceptance must be understood as limited to the declaration of the obligation to renew the exercise of power procedure, in accordance with what has been established overall in this judgment in relation to all five appeals: it follows that the effectiveness of the contested act will now have as its final term the moment of modification or replacement of the measure by the Authority following the re-exercise of power";</w:t>
      </w:r>
    </w:p>
    <w:p>
      <w:r>
        <w:t>CONSIDERING that the Authority resolved on June 11, 2024, not to appeal against the aforementioned judgment of May 11, 2024, thus deciding to acquiesce to the only complaint with respect to which it was found to be unsuccessful;</w:t>
      </w:r>
    </w:p>
    <w:p>
      <w:r>
        <w:t>CONSIDERING that, with order No. 3669 of October 4, 2024, the Council of State rejected the precautionary request related to the aforementioned judgment of the Lazio TAR No. 9315/2024, presented by TIM concurrently with the appeal;</w:t>
      </w:r>
    </w:p>
    <w:p>
      <w:r>
        <w:t>CONSIDERING, also in light of the provisions contained in the aforementioned order of the Council of State of October 4, 2024, according to which "the re-adoption of the measure presupposes the re-exercise of the procedure, with the consequent participatory guarantees provided," that the new determination of the duration of the infringement must take place in contradiction with the parties of the I857 procedure;</w:t>
      </w:r>
    </w:p>
    <w:p>
      <w:r>
        <w:t>RESOLVES</w:t>
      </w:r>
    </w:p>
    <w:p>
      <w:r>
        <w:t>a) to initiate a procedure pursuant to Article 14 of Law No. 287/1990 aimed at the new determination of the duration of the infringement against the company Telecom Italia S.p.A., the companies Dazn Limited, Dazn Media Services S.r.l. as well as the other parties of the I857 procedure, namely the companies Fastweb S.p.A., Vodafone Italia S.p.A., Wind Tre S.p.A., Sky Italia S.r.l., Open Fiber S.p.A., Colt Technology Services S.p.A., Retelit Digital Services S.p.A. (formerly Irideos S.p.A.), Iliad Italia S.p.A., Tiscali Italia S.p.A., the Italian Internet Provider Association, Federconsumatori - APS, Codacons - Coordination of associations for the protection of the environment and the rights of users and consumers;</w:t>
      </w:r>
    </w:p>
    <w:p>
      <w:r>
        <w:t>b) to set a deadline of thirty days, starting from the date of notification of this Measure, for the exercise, by the legal representatives of the aforementioned Parties, of the right to be heard before the Offices, specifying that the request for a hearing must be received by the Digital Platforms and Communications Directorate of the Department for Competition - 1 of this Authority at least seven days before the expiration of the above-mentioned deadline;</w:t>
      </w:r>
    </w:p>
    <w:p>
      <w:r>
        <w:t>c) that the person responsible for the procedure is Dr. Marco Serani;</w:t>
      </w:r>
    </w:p>
    <w:p>
      <w:r>
        <w:t>d) that the documents of the procedure can be viewed at the Digital Platforms and Communications Directorate of the Department for Competition - 1 of this Authority by the legal representatives of the Party or by persons delegated by them;</w:t>
      </w:r>
    </w:p>
    <w:p>
      <w:r>
        <w:t>e) that the procedure must be concluded by June 30, 2025.</w:t>
      </w:r>
    </w:p>
    <w:p>
      <w:r>
        <w:t>This measure will be notified to the interested parties and published in the Bulletin of the Competition and Market Authority.</w:t>
      </w:r>
    </w:p>
    <w:p>
      <w:r>
        <w:t>BULLETIN NO. 46 OF DECEMBER 2, 2024 7</w:t>
        <w:br/>
        <w:t>THE SECRETARY GENERAL THE PRESIDENT</w:t>
        <w:br/>
        <w:t>Guido Stazi Roberto Rustichelli</w:t>
      </w:r>
    </w:p>
    <w:p>
      <w:r>
        <w:t>8 BULLETIN NO. 46 OF DECEMBER 2, 2024</w:t>
        <w:br/>
        <w:t>CONCENTRATION OPERATIONS</w:t>
        <w:br/>
        <w:t>C12679 - EDENRED UTA MOBILITY/ BRANCH OF ITALIANA PETROLI</w:t>
        <w:br/>
        <w:t>Measure No. 31370</w:t>
        <w:br/>
        <w:t>THE COMPETITION AND MARKET AUTHORITY</w:t>
        <w:br/>
        <w:t>IN ITS MEETING of November 12, 2024;</w:t>
      </w:r>
    </w:p>
    <w:p>
      <w:r>
        <w:t>HEARD the Rapporteur, Professor Elisabetta Iossa;</w:t>
      </w:r>
    </w:p>
    <w:p>
      <w:r>
        <w:t>HAVING REGARD to Regulation (EC) No. 139/2004;</w:t>
      </w:r>
    </w:p>
    <w:p>
      <w:r>
        <w:t>HAVING REGARD to Law No. 287 of October 10, 1990;</w:t>
      </w:r>
    </w:p>
    <w:p>
      <w:r>
        <w:t>HAVING REGARD to Presidential Decree No. 217 of April 30, 1998;</w:t>
      </w:r>
    </w:p>
    <w:p>
      <w:r>
        <w:t>HAVING REGARD to the communication from Edenred UTA Mobility S.r.l., received on October 21, 2024;</w:t>
      </w:r>
    </w:p>
    <w:p>
      <w:r>
        <w:t>HAVING REGARD to the additional information sent by Edenred UTA Mobility S.r.l., received on October 22 and 24, 2024;</w:t>
      </w:r>
    </w:p>
    <w:p>
      <w:r>
        <w:t>HAVING REGARD to the documentation on file;</w:t>
      </w:r>
    </w:p>
    <w:p>
      <w:r>
        <w:t>CONSIDERING the following:</w:t>
      </w:r>
    </w:p>
    <w:p>
      <w:r>
        <w:t>I. THE PARTIES</w:t>
      </w:r>
    </w:p>
    <w:p>
      <w:r>
        <w:t>1. Edenred UTA Mobility S.r.l. (hereinafter, "Edenred" or "Buyer") is an indirectly controlled company by Edenred SE, a French parent company of the Edenred group (hereinafter, "Edenred Group"), listed on the Paris Euronext stock market. The Edenred Group operates globally mainly in three sectors: i) provision of prepaid products and services for public and private employees; ii) mobility services; and iii) so-called corporate welfare services and expense control and corporate incentive services. Within the mobility services, the main activity of the Edenred Group is represented by the management of fuel card programs, that is, cards intended for companies with corporate fleets and VAT holders, which allow cashless fuel purchases at a network of affiliated service stations. In Italy, Edenred issues and markets the multi-brand UTA and UTAe+ cards, which allow holders to refuel at a network of service stations belonging to various operators active in the retail fuel supply (Eni, Q8, Tamoil, Esso, IP, Keropetrol, and other minor retailers). Through the fuel cards, customers can also benefit from ancillary services, including the payment of tolls, VAT recovery, and monitoring of expenses and consumption via an app. The Edenred Group, in 2023, achieved a global turnover of approximately [2-3]* billion euros and, at the national level, equal to [2-3] billion euros1.</w:t>
      </w:r>
    </w:p>
    <w:p>
      <w:r>
        <w:t>2. The branch of business subject to acquisition (hereinafter, "Fuel Card Business Branch") is currently an integral part of Italiana Petroli S.p.A. (hereinafter "IP"), a company active in the sector of</w:t>
        <w:br/>
        <w:t>* In this version, some data are omitted, as elements of confidentiality or secrecy of the information were deemed to exist.</w:t>
        <w:br/>
        <w:t>1 The difference in values between the turnover achieved in Italy and that worldwide (lower) is due to the fact that the accounting criteria for consolidation for the French parent company are different from those used at the national level (cf. C10773 - Edenred Italia/Ristochef, Measure No. 21868 of December 1, 2010, in Bulletin No. 47/2010).</w:t>
      </w:r>
    </w:p>
    <w:p>
      <w:r>
        <w:rPr>
          <w:b/>
        </w:rPr>
        <w:t>[Pages 7–9]</w:t>
      </w:r>
    </w:p>
    <w:p>
      <w:r>
        <w:t>BULLETIN NO. 46 OF DECEMBER 2, 2024 9</w:t>
        <w:br/>
        <w:t>refining, distribution, and marketing of petroleum products for automotive use. IP is</w:t>
        <w:br/>
        <w:t>subject to the exclusive control of Api Holding S.p.A., the parent company of the API group (hereinafter,</w:t>
        <w:br/>
        <w:t>API group). IP operates through the Fuel Card Business Unit in the issuance,</w:t>
        <w:br/>
        <w:t>marketing, and management of fuel cards for businesses and VAT numbers, which allow</w:t>
        <w:br/>
        <w:t>the purchase of fuel at IP-branded service stations or those affiliated with IP (hereinafter,</w:t>
        <w:br/>
        <w:t>“IP Network”), as well as access to ancillary services such as accounting reporting services, online portal card management, and payment of tolls.</w:t>
        <w:br/>
        <w:t>In 2023, the Fuel Card Business Unit generated, entirely in Italy, a revenue,</w:t>
        <w:br/>
        <w:t>expressed in terms of the total value of fuel sales paid by customers with the IP fuel card, excluding VAT, of approximately [700-1000] million euros.</w:t>
        <w:br/>
        <w:t>II. DESCRIPTION OF THE TRANSACTION</w:t>
        <w:br/>
        <w:t>3. The notified transaction (hereinafter, “Transaction”) consists of the acquisition, by</w:t>
        <w:br/>
        <w:t>Edenred, of exclusive control of a newly established company (hereinafter, “IP PLUS” or</w:t>
        <w:br/>
        <w:t>“NewCo”), to which IP will transfer the Fuel Card Business Unit, which involves the activity</w:t>
        <w:br/>
        <w:t>of issuing, marketing, and managing IP-branded fuel cards usable at the</w:t>
        <w:br/>
        <w:t>service stations that are part of the IP Network in Italy.</w:t>
        <w:br/>
        <w:t>4. The Transaction also includes an ancillary agreement under which IP PLUS may offer its</w:t>
        <w:br/>
        <w:t>customers, starting from [omissis], access, via fuel cards, to Esso-branded refueling stations (hereinafter, “Esso Network”). However, as of today, the number</w:t>
        <w:br/>
        <w:t>of stations to which IP PLUS customers may eventually have access in the future is uncertain and unpredictable, [omissis].</w:t>
        <w:br/>
        <w:t>5. The Transaction is also accompanied by a non-competition and non-solicitation agreement (see</w:t>
        <w:br/>
        <w:t>Article 15 of the Preliminary Sale and Purchase Agreement, hereinafter “PSPA”), which provides</w:t>
        <w:br/>
        <w:t>for IP's commitment to refrain, for a period of [omissis]: i) from issuing, marketing</w:t>
        <w:br/>
        <w:t>and/or managing any fuel card in Italian territory; ii) from engaging in other activities,</w:t>
        <w:br/>
        <w:t>directly or indirectly in competition with the Fuel Card Business Unit such as,</w:t>
        <w:br/>
        <w:t>[omissis] and iii) from undertaking activities of poaching or soliciting employees or agents.</w:t>
        <w:br/>
        <w:t>According to the Parties' representation, the non-competition and non-solicitation clauses would</w:t>
        <w:br/>
        <w:t>be directly related to the realization of the Transaction, as they are instrumental in ensuring the full value</w:t>
        <w:br/>
        <w:t>of the business unit being acquired, allowing Edenred to retain the clientele</w:t>
        <w:br/>
        <w:t>of IP's fuel cards and fully leverage its know-how.</w:t>
        <w:br/>
        <w:t>6. The Transaction also provides for the conclusion between the Parties of a “Supply Agreement” of duration [omissis],</w:t>
        <w:br/>
        <w:t>which includes: i) a supply obligation for IP, under which it commits [omissis]; ii) a</w:t>
        <w:br/>
        <w:t>non-competition clause whereby IP agrees to refrain from issuing,</w:t>
        <w:br/>
        <w:t>marketing and/or managing any fuel card in Italian territory; iii) a</w:t>
        <w:br/>
        <w:t>non-solicitation clause, under which IP agrees to refrain from entering into fuel supply agreements through the IP Network with operators [omissis] and iv) a clause that grants Edenred the status of privileged partner of IP, [omissis].</w:t>
        <w:br/>
        <w:t>III. QUALIFICATION OF THE TRANSACTION</w:t>
        <w:br/>
        <w:t>7. The Transaction, as it involves the acquisition of control over part of a company, constitutes</w:t>
        <w:br/>
        <w:t>a concentration pursuant to Article 5, paragraph 1, letter b), of Law No. 287/1990. It falls</w:t>
        <w:br/>
        <w:t>within the scope of application of Law No. 287/1990, as the conditions of Article</w:t>
        <w:br/>
        <w:t>1 of Regulation (EC) No. 139/2004 do not apply, and is subject to the obligation of prior notification</w:t>
        <w:br/>
        <w:t>provided for by Article 16, paragraph 1, of the same law, as the total revenue generated</w:t>
        <w:br/>
        <w:t>in the last financial year at the national level by the group of interested companies exceeded</w:t>
        <w:br/>
        <w:t>567 million euros and the total revenue generated, in the last financial year at the national level,</w:t>
        <w:br/>
        <w:t>individually by at least two of the interested companies exceeded 35 million euros.</w:t>
        <w:br/>
        <w:t>8. Regarding the non-competition and non-solicitation clauses contained in the PSPA and</w:t>
        <w:br/>
        <w:t>the Supply Agreement, it is represented that they constitute a restriction directly connected and</w:t>
        <w:br/>
        <w:t>necessary for the realization of the transaction, as they are strictly functional to safeguarding the</w:t>
        <w:br/>
        <w:t>value of the new entity, provided that they are limited in terms of goods and geographically</w:t>
        <w:br/>
        <w:t>to the services offered by the acquired business unit, do not prevent the seller from acquiring or holding</w:t>
        <w:br/>
        <w:t>shares solely for financial investment purposes, without this resulting, directly or indirectly,</w:t>
        <w:br/>
        <w:t>in the conferment of management roles or substantial influence in the competing company, even</w:t>
        <w:br/>
        <w:t>for financial holdings exceeding 5% of the share capital and that have a duration not</w:t>
        <w:br/>
        <w:t>exceeding a period of two years, since, in this case, in order to protect the value of the business unit</w:t>
        <w:br/>
        <w:t>being transferred, only the transfer of customer loyalty in terms of</w:t>
        <w:br/>
        <w:t>goodwill is relevant. Similarly, the non-solicitation clause under which IP commits not to enter into, without Edenred's consent, fuel supply agreements</w:t>
        <w:br/>
        <w:t>through the IP Network with operators [omissis], is aimed at preserving the value of the newly</w:t>
        <w:br/>
        <w:t>created entity, for a duration not exceeding a period of two years.</w:t>
        <w:br/>
        <w:t>9. Regarding the other restrictions contained in the Supply Agreement, the supply obligation on</w:t>
        <w:br/>
        <w:t>the part of IP for a period [omissis] constitutes an ancillary restriction to the Transaction, as it</w:t>
        <w:br/>
        <w:t>aims to preserve the value of the acquired business unit and the newly created entity, provided that its</w:t>
        <w:br/>
        <w:t>duration is limited to five years.</w:t>
        <w:br/>
        <w:t>10. Conversely, the clause that grants Edenred the status of privileged partner of IP, [omissis],</w:t>
        <w:br/>
        <w:t>cannot be considered a necessary restriction for the realization of the concentration, due to its subject matter.</w:t>
        <w:br/>
        <w:t>IV. ASSESSMENT OF THE CONCENTRATION</w:t>
        <w:br/>
        <w:t>IV.1 The relevant market</w:t>
        <w:br/>
        <w:t>11. Due to the activities carried out by Edenred and the Fuel Card Business Unit, the Transaction</w:t>
        <w:br/>
        <w:t>concerns, horizontally, the market for the issuance, marketing, and management of fuel</w:t>
        <w:br/>
        <w:t>cards intended for businesses with corporate fleets, VAT numbers, and Public Administrations (hereinafter collectively “business-to-business customers,” or “B2B customers”). This market also includes</w:t>
        <w:br/>
        <w:t>the ancillary services closely related to the use of fuel cards (for example,</w:t>
        <w:br/>
        <w:t>accounting reporting, online portal card management, electronic invoicing).</w:t>
        <w:br/>
        <w:t>12. According to community practice, the offering of fuel cards is primarily aimed at B2B customers, who through this tool can negotiate discounts on the national price or receive specific rebates for certain service stations. Unlike B2B customers, B2C customers pay the price set by the individual distributor, which is influenced by competitive dynamics at the local level. For B2B customers, the breadth and coverage of the network of service stations that accept the fuel card, as well as access to additional services of the fuel cards, such as toll payment or tools for managing business consumption, are essential aspects that are not relevant for B2C customers.</w:t>
        <w:br/>
        <w:t>13. As noted by the Commission, fuel cards for B2B customers can be distinguished between single-brand fuel cards issued by service station owners (such as IP, Esso, Eni, Q8, Tamoil, and Shell in Italy), for which the cards may represent an ancillary service, and multi-brand fuel cards issued by independent international operators (such as Edenred and DKV) that do not own any fuel distribution infrastructure but act as intermediaries between oil companies and fuel cardholders, grouping them in such a way as to obtain more advantageous discounts in negotiations with oil companies.</w:t>
        <w:br/>
        <w:t>14. From the supply side, different fuel cards mainly differ based on the amount of discount on the fuel price, the breadth of the network of service stations where they are accepted, and the quality of post-sale services (reporting, mobile app, web portal, electronic invoicing, etc.) and ancillary services (tolling, fleet washing, etc.). From the demand side, there do not seem to be substantial differences between the fuel cards issued by the two different types of issuers, namely oil companies or independent international operators. In both cases, in fact, the function of fuel cards, whether single-brand or multi-brand, is to allow cashless purchases of fuel and related vehicle and transport services (such as expense reporting and VAT recovery). Fuel cards issued by different types of issuers could therefore be considered substitutable from the demand perspective.</w:t>
        <w:br/>
        <w:t>At this stage, however, the issue can be left open, as the assessment of the concentration would not change by identifying such product markets as distinct.</w:t>
        <w:br/>
        <w:t>15. From a geographical perspective, in line with community practice, it can be considered that the market for the issuance, marketing, and management of fuel cards for B2B customers is at least national in scope, due to the fact that competition for B2B customers primarily takes place based on prices set at the national level and the degree of coverage of the network of service stations located in Italian territory, although a European dimension cannot be excluded.</w:t>
        <w:br/>
        <w:t>16. In this case, it does not appear necessary to define the geographical perimeter of the relevant market more accurately, as the outcome of the assessment of this transaction would not change regardless of the definition adopted.</w:t>
      </w:r>
    </w:p>
    <w:p>
      <w:r>
        <w:rPr>
          <w:b/>
        </w:rPr>
        <w:t>[Pages 10–12]</w:t>
      </w:r>
    </w:p>
    <w:p>
      <w:r>
        <w:t>12 BULLETIN NO. 46 OF DECEMBER 2, 2024</w:t>
        <w:br/>
        <w:t>IV.2 The effects of the operation</w:t>
        <w:br/>
        <w:t>17. According to the estimates communicated by the Parties, the share held by the Business Branch Fuel Cards for 2023 in the national market for the issuance, marketing, and management of fuel cards for B2B customers, measured as a percentage of the total volume of fuel sold to B2B customers through fuel cards in Italy12, is equal to [10-15%], while that of Edenred is equal to [5-10%]. The joint share of the Parties as a result of the Operation will therefore be equal to [20-25%].</w:t>
        <w:br/>
        <w:t>18. The Operation does not appear to be detrimental to competition, as there are other operators in the market with significant shares, such as ENI (with [30-35%]), Q8 (with [15-20%]), DKV (with [10-15%]), and followed by other qualified competitors, such as Esso, Tamoil, Shell.</w:t>
        <w:br/>
        <w:t>19. Furthermore, even if, in light of the agreements signed between the Parties, the entire market share currently attributable to the Esso branded fuel card (equal to [5-10%] in 2023) were to be attributed to Edenred - a circumstance that is, however, only hypothetical - the overall share of the entity post-merger could reach a maximum of [30-35%], remaining slightly below that of the leading operator.</w:t>
        <w:br/>
        <w:t>20. It should be noted that, even if a commodity definition of the market distinguishing between single-brand cards and multi-brand cards were adopted, there would be no horizontal overlap between the activities of the Parties, considering that the Business Branch Fuel Cards of IP operates exclusively in the first type and Edenred only in the second.</w:t>
        <w:br/>
        <w:t>21. Furthermore, following the Operation, a vertical relationship will be established between Edenred and IP, as the latter is active in the upstream market of fuel distribution for road and highway use. However, the Operation does not appear to be likely to produce significant exclusionary effects: in the downstream market, as a result of the Operation, customers currently using IP branded fuel cards will be able to continue using them to refuel at the same service stations in unchanged ways; in the upstream market, following the Operation, both NewCo and Edenred will remain free to issue and operate any other type of fuel card, including those of competing brands of IP, entering into agreements with other oil companies.</w:t>
        <w:br/>
        <w:t>23. In light of the above considerations, the Operation does not appear likely to produce detrimental effects on competition, not resulting in substantial changes in the affected markets.</w:t>
        <w:br/>
        <w:t>CONSIDERING, therefore, that the Operation does not significantly impede effective competition in the affected markets, pursuant to Article 6, paragraph 1, of Law No. 287/1990, and does not result in the establishment or strengthening of a dominant position;</w:t>
        <w:br/>
        <w:t>CONSIDERING, furthermore, that the non-competition and non-solicitation clauses described can be considered ancillary to the present operation only within the limits indicated above and that the Authority reserves the right to evaluate, where the conditions exist, the aforementioned clauses that extend beyond those limits;</w:t>
        <w:br/>
        <w:t>12 This metric appears to be the most suitable for providing a correct comparison of the market shares of operators active in the issuance, marketing, and management of fuel cards. This is because there are different business models for vertically integrated oil companies and independent international operators. While the latter are compensated through fees (both fixed and, mainly, variable based on the fuel purchased), for vertically integrated oil companies, fuel cards represent an ancillary service offered to B2B customers, which is not directly compensated: the "revenues" attributable to the fuel card business can therefore be estimated as a part of the overall revenues derived from fuel sales. For these reasons, it is believed that the metric of the volume of fuel sold through fuel cards represents the one that makes the comparison between the different operators operating in the market homogeneous.</w:t>
      </w:r>
    </w:p>
    <w:p>
      <w:r>
        <w:t>BULLETIN NO. 46 OF DECEMBER 2, 2024 13</w:t>
        <w:br/>
        <w:t>CONSIDERING, furthermore, that the restrictions present in the Supply Agreement can be considered ancillary to the present operation only within the limits indicated above and that the Authority reserves the right to evaluate, where the conditions exist, the aforementioned clauses that extend beyond those limits;</w:t>
        <w:br/>
        <w:t>CONSIDERING that the clause granting Edenred a status of privileged partner is not the subject of this resolution, as it does not constitute an ancillary restriction to the concentration operation under examination;</w:t>
        <w:br/>
        <w:t>RESOLVES</w:t>
        <w:br/>
        <w:t>not to initiate the investigation referred to in Article 16, paragraph 4, of Law No. 287/1990.</w:t>
        <w:br/>
        <w:t>The conclusions above will be communicated, pursuant to Article 16, paragraph 4, of Law No. 287/1990, to the interested companies and the Minister of Enterprises and Made in Italy.</w:t>
      </w:r>
    </w:p>
    <w:p>
      <w:r>
        <w:t>14 BULLETIN NO. 46 OF DECEMBER 2, 2024</w:t>
        <w:br/>
        <w:t>The measure will be published in the Bulletin of the Competition and Market Authority.</w:t>
        <w:br/>
        <w:t>THE SECRETARY GENERAL THE PRESIDENT</w:t>
        <w:br/>
        <w:t>Guido Stazi Roberto Rustichelli</w:t>
      </w:r>
    </w:p>
    <w:p>
      <w:r>
        <w:rPr>
          <w:b/>
        </w:rPr>
        <w:t>[Pages 13–15]</w:t>
      </w:r>
    </w:p>
    <w:p>
      <w:r>
        <w:t>BULLETIN NO. 46 OF DECEMBER 2, 2024 15</w:t>
        <w:br/>
        <w:t>INVESTIGATIVE INQUIRIES</w:t>
        <w:br/>
        <w:t>IC56 - PRICING ALGORITHMS IN PASSENGER AIR TRANSPORT ON NATIONAL ROUTES TO AND FROM SICILY AND SARDINIA</w:t>
        <w:br/>
        <w:t>Measure No. 31376</w:t>
        <w:br/>
        <w:t>THE COMPETITION AND MARKET AUTHORITY</w:t>
        <w:br/>
        <w:t>IN ITS MEETING of November 26, 2024;</w:t>
        <w:br/>
        <w:t>HEARD the Rapporteur, Saverio Valentino;</w:t>
        <w:br/>
        <w:t>HAVING REGARD to Law No. 287 of October 10, 1990;</w:t>
        <w:br/>
        <w:t>HAVING REGARD, in particular, to Article 12, paragraph 2, of Law No. 287 of October 10, 1990, pursuant to which the Authority may conduct general investigative inquiries in economic sectors where the evolution of trade, price behavior, or other circumstances suggest that competition is being prevented, restricted, or distorted;</w:t>
        <w:br/>
        <w:t>HAVING REGARD to Decree-Law No. 104 of August 10, 2023, converted with amendments by Law No. 136 of October 9, 2023, containing urgent provisions for the protection of users, regarding economic and financial activities and strategic investments;</w:t>
        <w:br/>
        <w:t>HAVING REGARD to Presidential Decree No. 217 of April 30, 1998, and its subsequent amendments and integrations;</w:t>
        <w:br/>
        <w:t>HAVING REGARD to the Communication regarding the application of Article 1, paragraph 5, of Decree-Law No. 104 of August 10, 2023, converted with amendments by Law No. 136 of October 9, 2023, adopted by the Authority on May 7, 2024;</w:t>
        <w:br/>
        <w:t>HAVING REGARD to its measure of November 14, 2023, with which the Authority resolved to initiate, pursuant to Article 12, paragraph 2, of Law No. 287 of October 10, 1990, an investigative inquiry into the algorithms used in the air sector for determining the prices of passenger transport services on a national level to and from Sicily and Sardinia;</w:t>
        <w:br/>
        <w:t>CONSIDERING that the Communication regarding the application of Article 1, paragraph 5, of Decree-Law No. 104 of August 10, 2023, converted with amendments by Law No. 136 of October 9, 2023, provides, in point II.5, that the Authority may decide, by resolution, to publish on its website a Preliminary Report illustrating the results of the investigative inquiries conducted up to that point;</w:t>
        <w:br/>
        <w:t>RESOLVES</w:t>
        <w:br/>
        <w:t>to publish on the Authority's website the Preliminary Report related to the investigative inquiry into the algorithms used in the air sector for determining the prices of passenger transport services on a national level to and from Sicily and Sardinia, attached to this measure, of which it constitutes an integral part.</w:t>
        <w:br/>
        <w:t>Interested parties may submit their observations by January 15, 2025.</w:t>
      </w:r>
    </w:p>
    <w:p>
      <w:r>
        <w:t>16 BULLETIN NO. 46 OF DECEMBER 2, 2024</w:t>
        <w:br/>
        <w:t>Contributions must be sent in editable format exclusively to the email address pec protocollo.agcm@pec.agcm.it, with the subject line “IC56. Preliminary Report” and the indication of the sender's name.</w:t>
        <w:br/>
        <w:t>If the interested parties believe that their communications contain confidential data, they must provide them both in a confidential version and in a non-confidential version; if confidentiality needs are not highlighted, what is received may be published in full.</w:t>
        <w:br/>
        <w:t>Attached is the information on the processing of personal data that will be transmitted in the context of the aforementioned public consultation, pursuant to Article 13 of Regulation (EU) 2016/679.</w:t>
        <w:br/>
        <w:t>This measure will be published in the Bulletin and on the website of the Competition and Market Authority.</w:t>
        <w:br/>
        <w:t>THE SECRETARY GENERAL THE PRESIDENT</w:t>
        <w:br/>
        <w:t>Guido Stazi Roberto Rustichelli</w:t>
        <w:br/>
        <w:t>____________________________________________________________</w:t>
        <w:br/>
        <w:t>INFORMATION ON THE PROCESSING OF PERSONAL DATA</w:t>
        <w:br/>
        <w:t>– Article 13 of Regulation (EU) 2016/679 –</w:t>
        <w:br/>
        <w:t>Regulation (EU) 2016/679 on the protection of natural persons with regard to the processing of personal data, as well as the free movement of such data (hereinafter the “Regulation” or “GDPR”) contains a series of rules aimed at ensuring that the processing of personal data is carried out in respect of the rights and fundamental freedoms of natural persons. This information reflects its provisions.</w:t>
        <w:br/>
        <w:t>The Competition and Market Authority, in providing the following information to the interested parties, ensures that the processing of personal data will be carried out in compliance with the principles of lawfulness, fairness, transparency, adequacy, and relevance.</w:t>
        <w:br/>
        <w:t>1. Data Controller</w:t>
        <w:br/>
        <w:t>The data controller is the Competition and Market Authority (hereinafter “AGCM” or “Authority”), based in Rome, Piazza Giuseppe Verdi No. 6A, email-PEC: protocollo.agcm@pec.agcm.it; Switchboard: +39 06858211.</w:t>
        <w:br/>
        <w:t>2. Data Protection Officer</w:t>
        <w:br/>
        <w:t>The Data Protection Officer of the AGCM can be contacted via email at the following email address: rpd@agcm.it, or by mail, including electronic mail, addressed directly to the Authority.</w:t>
      </w:r>
    </w:p>
    <w:p>
      <w:r>
        <w:t>BULLETIN NO. 46 OF DECEMBER 2, 2024 17</w:t>
        <w:br/>
        <w:t>3. Type of data processed, purposes, and legal basis for processing</w:t>
        <w:br/>
        <w:t>Type of data processed.</w:t>
        <w:br/>
        <w:t>For the pursuit of the purposes indicated in this information, the AGCM will process common personal data (by way of example, personal data, contact data, data related to professional qualifications).</w:t>
        <w:br/>
        <w:t>Purposes and legal basis for processing</w:t>
        <w:br/>
        <w:t>The personal data collected will be processed for the execution of a task carried out in the public interest or related to the exercise of public powers vested in the data controller (under Article 6, paragraph 1, letter e) GDPR and, more specifically, for the performance of activities assigned to the Authority by the legislation on the protection of competition and the market (Law No. 287 of October 10, 1990; Decree-Law No. 104 of August 10, 2023, converted with amendments by Law No. 136 of October 9, 2023).</w:t>
        <w:br/>
        <w:t>4. Recipients of personal data.</w:t>
        <w:br/>
        <w:t>The collected data will be known by the Authority's personnel authorized to process it and bound to confidentiality.</w:t>
        <w:br/>
        <w:t>To the extent necessary for the pursuit of the above purposes, if necessary, the Data Controller will communicate personal data to third parties upon their appointment – pursuant to Article 28 of the GDPR – as Data Processors.</w:t>
        <w:br/>
        <w:t>The provided data may also be communicated, based on legal or regulatory provisions, to public entities and possibly to private entities that have an interest in accordance with the legislation on access to administrative documents. Finally, they may be published in the bulletin and on the institutional website of the Authority (www.agcm.it) within the limits permitted by law or regulations.</w:t>
        <w:br/>
        <w:t>5. Transfer of personal data to a third country or to an international organization outside the European Union</w:t>
        <w:br/>
        <w:t>Personal data will be processed within the territory of the European Union. If necessary, for technical or operational reasons, the AGCM reserves the right, in compliance with applicable legal provisions, to transfer personal data to countries outside the European Union for which there are “adequacy decisions” from the European Commission, or based on adequate guarantees and/or specific exemptions provided by the Regulation.</w:t>
        <w:br/>
        <w:t>6. Methods of processing and retention period of data</w:t>
        <w:br/>
        <w:t>The processing of personal data is carried out using manual, IT, and telematic tools and in such a way as to ensure the security and confidentiality of the data. Personal data are processed in compliance with the principle of proportionality of processing and in accordance with the principles of minimization, relevance, and non-exceedance with respect to the pursued purposes.</w:t>
        <w:br/>
        <w:t>The processing is strictly functional to the performance of the activities referred to in point 3 of this information and will be carried out in the ways and times necessary to achieve these purposes.</w:t>
        <w:br/>
        <w:t>Personal data will be retained for a period not exceeding that necessary to achieve the purposes for which they are processed, without prejudice to the retention periods provided by law and in accordance with the rules on the retention of administrative documentation. Such data may be retained for longer periods exclusively for archiving purposes in the public interest, for scientific or historical research, or for statistical purposes.</w:t>
      </w:r>
    </w:p>
    <w:p>
      <w:r>
        <w:rPr>
          <w:b/>
        </w:rPr>
        <w:t>[Pages 16–18]</w:t>
      </w:r>
    </w:p>
    <w:p>
      <w:r>
        <w:t>18 BULLETIN NO. 46 OF DECEMBER 2, 2024</w:t>
        <w:br/>
        <w:t>At the end of such periods, the data will be deleted, unless their further processing is necessary to allow the Data Controller to exercise or defend a right in court, as well as to comply with specific requests from Italian and/or foreign Authorities, provided that such circumstances occurred before the expiration of that retention period.</w:t>
        <w:br/>
        <w:t>During the hearings, audio recordings may be made solely for the purpose of drafting the relevant minutes. In this case, the acquired recordings will be kept for the time necessary to draft said minutes and destroyed immediately afterwards.</w:t>
        <w:br/>
        <w:t>No automated decision-making processes are used for data processing, and no form of profiling is carried out.</w:t>
        <w:br/>
        <w:t>7. Rights of the data subject</w:t>
        <w:br/>
        <w:t>Data subjects have the right to access their data at any time and to exercise the following rights provided for in Articles 15 and following of the GDPR: Right of access (Art. 15); Right to rectification (Art. 16); Right to erasure (Art. 17); Right to restriction of processing (Art. 18); Right to data portability (Art. 20); Right to object (Art. 21).</w:t>
        <w:br/>
        <w:t>To exercise the aforementioned rights, the data subject may submit a specific request to the AGCM by contacting the Data Protection Officer at the Authority, Piazza G. Verdi n. 6°, 00198, Rome, email: rpd@agcm.it.</w:t>
        <w:br/>
        <w:t>Without prejudice to any other administrative or judicial remedy, data subjects who believe that the processing concerning them violates Regulation (EU) 2016/679 have the right to lodge a complaint with the Italian Data Protection Authority pursuant to Article 77 of the GDPR.</w:t>
      </w:r>
    </w:p>
    <w:p>
      <w:r>
        <w:t>BULLETIN NO. 46 OF DECEMBER 2, 2024 19</w:t>
        <w:br/>
        <w:t>IC56 - PRICING ALGORITHMS IN PASSENGER AIR TRANSPORT ON NATIONAL ROUTES TO AND FROM SICILY AND SARDINIA</w:t>
        <w:br/>
        <w:t>Measure No. 31377</w:t>
        <w:br/>
        <w:t>THE COMPETITION AND MARKET AUTHORITY</w:t>
        <w:br/>
        <w:t>IN ITS MEETING of November 26, 2024;</w:t>
        <w:br/>
        <w:t>HEARD the Rapporteur, Saverio Valentino;</w:t>
        <w:br/>
        <w:t>HAVING REGARD to Law No. 287 of October 10, 1990;</w:t>
        <w:br/>
        <w:t>HAVING REGARD, in particular, to Article 12, paragraph 2, of Law No. 287 of October 10, 1990, pursuant to which the Authority may conduct general investigative inquiries in economic sectors where the evolution of trade, price behavior, or other circumstances suggest that competition is being prevented, restricted, or distorted;</w:t>
        <w:br/>
        <w:t>HAVING REGARD to Decree-Law No. 104 of August 10, 2023, converted with amendments by Law No. 136 of October 9, 2023, containing urgent provisions for the protection of users, in matters of economic and financial activities and strategic investments;</w:t>
        <w:br/>
        <w:t>HAVING REGARD to D.P.R. No. 217 of April 30, 1998, and its subsequent amendments and integrations;</w:t>
        <w:br/>
        <w:t>HAVING REGARD to the Communication regarding the application of Article 1, paragraph 5, of Decree-Law No. 104 of August 10, 2023, converted with amendments by Law No. 136 of October 9, 2023, adopted by the Authority on May 7, 2024;</w:t>
        <w:br/>
        <w:t>HAVING REGARD to its measure of November 14, 2023, with which the Authority resolved to initiate, pursuant to Article 12, paragraph 2, of Law No. 287 of October 10, 1990, an investigative inquiry into the algorithms used in the air sector for determining the prices of passenger transport services on a national level to and from Sicily and Sardinia;</w:t>
        <w:br/>
        <w:t>CONSIDERING that the Communication regarding the application of Article 1, paragraph 5, of Decree-Law No. 104 of August 10, 2023, converted with amendments by Law No. 136 of October 9, 2023, provides, in point II.5, that the Authority may decide, by resolution, to publish on its website a Preliminary Report illustrating the outcomes of the investigative inquiries conducted up to that point;</w:t>
        <w:br/>
        <w:t>CONSIDERING that, on November 26, 2024, the Authority resolved to publish on its website the Preliminary Report related to the investigative inquiry into the algorithms used in the air sector for determining the prices of passenger transport services on a national level to and from Sicily and Sardinia, providing that interested parties may submit their observations by January 15, 2025;</w:t>
        <w:br/>
        <w:t>CONSIDERING, furthermore, the quantity and complexity of the elements under evaluation and acquisition within the inquiry;</w:t>
        <w:br/>
        <w:t>RESOLVES</w:t>
        <w:br/>
        <w:t>to extend the deadline for concluding the procedure to December 31, 2025.</w:t>
      </w:r>
    </w:p>
    <w:p>
      <w:r>
        <w:t>20 BULLETIN NO. 46 OF DECEMBER 2, 2024</w:t>
        <w:br/>
        <w:t>This measure will be notified to the interested parties and published in the Bulletin of the Competition and Market Authority.</w:t>
        <w:br/>
        <w:t>THE SECRETARY GENERAL THE PRESIDENT</w:t>
        <w:br/>
        <w:t>Guido Stazi Roberto Rustichelli</w:t>
      </w:r>
    </w:p>
    <w:p>
      <w:r>
        <w:rPr>
          <w:b/>
        </w:rPr>
        <w:t>[Pages 19–21]</w:t>
      </w:r>
    </w:p>
    <w:p>
      <w:r>
        <w:t>BULLETIN NO. 46 OF DECEMBER 2, 2024 21</w:t>
        <w:br/>
        <w:t>UNFAIR TRADE PRACTICES</w:t>
        <w:br/>
        <w:t>PS12745 - GDL-BAGNI ITALIANI/RENOVATION BONUS</w:t>
        <w:br/>
        <w:t>Measure No. 31373</w:t>
        <w:br/>
        <w:t>THE COMPETITION AND MARKET AUTHORITY</w:t>
        <w:br/>
        <w:t>IN ITS MEETING of November 12, 2024;</w:t>
        <w:br/>
        <w:t>HEARD the Rapporteur, Saverio Valentino;</w:t>
        <w:br/>
        <w:t>HAVING REGARD to Part II, Title III of Legislative Decree No. 206 of September 6, 2005 and subsequent amendments (hereinafter, "Consumer Code");</w:t>
        <w:br/>
        <w:t>HAVING REGARD to the "Regulation on investigative procedures regarding misleading and comparative advertising, unfair trade practices, violation of consumer rights in contracts, violation of the prohibition of discrimination and unfair clauses" (hereinafter, "Regulation"), adopted by the Authority with resolution No. 25411 of April 1, 2015;</w:t>
        <w:br/>
        <w:t>HAVING REGARD to its measure of May 21, 2024, which ordered the inspection pursuant to Article 27, paragraphs 2 and 3, of the Consumer Code, at GDL S.p.A.;</w:t>
        <w:br/>
        <w:t>HAVING REGARD to the communication received on July 12, 2024, supplemented on September 16, 2024, and on October 14, 2024, in which GDL S.p.A. submitted a proposal for commitments pursuant to Article 27, paragraph 7, of the Consumer Code and Article 9 of the Regulation;</w:t>
        <w:br/>
        <w:t>HAVING REGARD to its resolution of July 30, 2024, which, pursuant to Article 7, paragraph 3, of the Regulation, extended the deadline for concluding the procedure, considering the submission of commitments by the professional;</w:t>
        <w:br/>
        <w:t>HAVING REGARD to the acts of the procedure</w:t>
        <w:br/>
        <w:t>I. THE PARTIES</w:t>
        <w:br/>
        <w:t>1. The company GDL S.p.A., as a professional pursuant to Article 18, letter b), of the Consumer Code (hereinafter also "Professional", "GDL" or the "Company"), is active in the retail sale of plumbing materials, in the production and installation of plumbing articles as well as in the construction and maintenance of plumbing systems. The Company achieved a turnover of 183 million euros in 2023.</w:t>
        <w:br/>
        <w:t>2. The consumer association Altroconsumo, as the reporting party.</w:t>
        <w:br/>
        <w:t>II. THE TRADE PRACTICE</w:t>
        <w:br/>
        <w:t>3. The procedure concerns the conduct of the professional, collectively constituting a single trade practice, consisting of:</w:t>
        <w:br/>
        <w:t>A) dissemination of incorrect and ambiguous information regarding the timing (indicated as 5/7 days) and the characteristics of bathroom renovation activities;</w:t>
        <w:br/>
        <w:t>B) lack of post-sale assistance, failure to recognize the consumers' right to terminate the contract, and failure to refund the price, in the face of delays and the failure to execute installation works of sanitary ware and bathroom renovations, even in cases of total or partial payment of the price by consumers;</w:t>
        <w:br/>
        <w:t>C) omission of information on essential elements of the contract and on the right of withdrawal, as well as the failure to recognize the same right in the case of sales outside commercial premises.</w:t>
        <w:br/>
        <w:t>III. THE OUTCOMES OF THE PROCEDURE: THE PRESENTATION OF COMMITMENTS</w:t>
        <w:br/>
        <w:t>1) The procedure process</w:t>
        <w:br/>
        <w:t>4. In relation to the conduct described above, on May 21, 2024, the Professional was notified of the initiation of the investigative procedure PS12745.</w:t>
        <w:br/>
        <w:t>5. Concurrently with the initiation communication, in order to acquire useful information for the assessment of the trade practice under examination, a request for information was made, pursuant to Article 27, paragraphs 3 and 4, of the Consumer Code and Article 12, paragraph 1, of the Regulation.</w:t>
        <w:br/>
        <w:t>6. On May 30, 2024, an inspection was carried out at the headquarters of GDL S.p.A.</w:t>
        <w:br/>
        <w:t>7. The Professional had access to the acts of the procedure and extracted copies of the documents acquired in the file on June 5, 2024.</w:t>
        <w:br/>
        <w:t>8. On July 12, 2024, the Professional submitted a proposal for commitments, supplemented on September 16 and October 14, 2024.</w:t>
        <w:br/>
        <w:t>9. On October 22, 2024, the Parties were notified of the conclusion date of the investigative phase pursuant to Article 16, paragraph 1, of the Regulation.</w:t>
        <w:br/>
        <w:t>2) The commitments presented by the Professional</w:t>
        <w:br/>
        <w:t>10. In a note received on July 12, 2024, the Professional submitted a proposal for commitments, pursuant to Article 27, paragraph 7, of the Consumer Code and Article 9 of the Regulation.</w:t>
        <w:br/>
        <w:t>11. With subsequent notes received on September 16 and October 14, 2024, the Company supplemented and formulated a consolidated version of the proposal for commitments.</w:t>
        <w:br/>
        <w:t>12. In the proposal for commitments, preliminarily, GDL stated that the Company has always clearly and exhaustively indicated, in promotional messages and in contracts concluded with customers, the timing for the execution of renovation activities, specifying both the final deadline (two hundred seventy calendar or working days depending on the type of interventions; this deadline is reduced to ninety calendar days in the contractual models used from November 1, 2024) within which the works are completed (except for events beyond GDL's control, such as changes in regulations on invoice discounts and credit transfers; the "supply chain crisis" due to geopolitical changes at the European and non-European level), as well as the execution times of the works themselves from the moment they begin, 5/7 working days (except for events beyond GDL's control, such as the age of connections in the condominium water network, ongoing modifications to comply with technical regulations on the removal of architectural barriers, requests to change the position of sanitary utilities at the customer's request or due to intervening technical needs).</w:t>
        <w:br/>
        <w:t>13. The Company also noted that such information must be conveyed to consumers by GDL's sales representatives during home visits, with an invitation to carefully read the general conditions of the contract and providing additional explanations if requested. These timings are generally respected by GDL, except in cases, which constitute the majority of those actually occurring during the period under investigation, of delays due to requests from consumers or objective circumstances (for example, buildings with unresolved building constraints or illegal constructions).</w:t>
        <w:br/>
        <w:t>14. The Company also stated that it manages the assistance requests it receives from its customers, offering an active customer care service both online and via telephone. Specifically, regarding requests for contract termination made by its customers, the Company always seeks to meet the individual needs of each customer, where possible, accommodating them even in cases where the customer's request is not based on any default by GDL.</w:t>
        <w:br/>
        <w:t>15. Finally, GDL highlighted that, while not considering the right of reconsideration applicable in this case pursuant to Article 59, paragraph 1, letter c), of the Consumer Code, it has accepted, in the vast majority of cases, requests for withdrawal within fourteen days from the date of contract conclusion that it has received.</w:t>
        <w:br/>
        <w:t>16. All of the above having been stated, GDL presented – in the consolidated version – the following proposal for commitments (hereinafter, "Commitments"), pursuant to Articles 27, paragraph 7, of the Consumer Code and 9 of the Regulation.</w:t>
        <w:br/>
        <w:t>Commitment I – Introduction of the right of withdrawal in the Company's contractual models</w:t>
        <w:br/>
        <w:t>GDL will introduce within its contractual models - relating to the types "Bagno Pratico" (for the renovation of the entire bathroom with respect to technical requirements for the removal of architectural barriers), "Bagni Italiani" (for the renovation of the entire bathroom) and "Bagno Help" (for partial bathroom renovation with respect to technical requirements for the removal of architectural barriers) (hereinafter "Contractual Models") - a new clause, replacing the previous clause 2.9, which will recognize consumers' right of withdrawal from the contract pursuant to Article 52 of the Consumer Code in relation to contracts negotiated outside commercial premises. Below is the new text of the withdrawal clause: "The Customer acknowledges that in relation to this contract negotiated outside commercial premises, Article 52 of Legislative Decree No. 206 of 2005 (the so-called Consumer Code) as amended by Legislative Decree No. 21 of 2014 applies, whereby the Purchaser has a period of fourteen days from the day of signing the contract to exercise the right of withdrawal. Before the expiration of the withdrawal period, the Customer must inform G.D.L. S.p.A. of their decision to exercise the right of withdrawal from the contract according to the methods provided for in Article 54, paragraph 1 of the current Consumer Code or using the standard withdrawal form in Annex I, Part B (Consumer Code) or presenting any other explicit statement of their decision to withdraw from the contract."</w:t>
        <w:br/>
        <w:t>Commitment II - Modifications to the information on the timing of execution of the works</w:t>
        <w:br/>
        <w:t>GDL commits to make it even clearer, in the advertising messages it disseminates, that the claim "in just 5/7 working days", where used, refers to the timing of execution of renovation works, indicating with equal prominence the maximum contractual execution times of the works. Such clarifications will be provided, as far as possible, taking into account the space limitations of each advertising message, directly in the main claim, as well as through disclaimers present simultaneously or accessible through contextual reference.</w:t>
        <w:br/>
        <w:t>Below is the text of the new advertising message that will be disseminated on the website www.bagnitaliani.it: "We renovate in just 5/7 working days from the start of the works (maximum within 90 days from the order)**" "**The timing of 5/7 days refers to the duration of the construction site for the renovation of the bathroom. This duration is therefore not related to the timing that</w:t>
      </w:r>
    </w:p>
    <w:p>
      <w:r>
        <w:rPr>
          <w:b/>
        </w:rPr>
        <w:t>[Pages 22–24]</w:t>
      </w:r>
    </w:p>
    <w:p>
      <w:r>
        <w:t>24 BULLETIN NO. 46 OF DECEMBER 2, 2024</w:t>
        <w:br/>
        <w:t>between the signing of the contract and the start of the work itself, which is instead a maximum of 90 days. The duration of the construction site is to be considered indicative and subject to changes in case of even unforeseen events, such as technical or logistical issues.” The indicated improvements in the transparency of advertising messages will be applied to all channels through which GDL promotes its services, such as the website www.bagnitaliani.it and its catalogs.</w:t>
      </w:r>
    </w:p>
    <w:p>
      <w:r>
        <w:t>Commitment III - Adoption of a new pre-contractual information</w:t>
        <w:br/>
        <w:t>GDL will develop and use a pre-contractual information document, which will be delivered to consumers by the sales network staff of GDL (hereinafter “Collaborators”) during the first home visit, in which the information on the timing of the execution of the works and the right of withdrawal pursuant to Article 52 of the Consumer Code (Annex No. 1) will be reiterated.</w:t>
      </w:r>
    </w:p>
    <w:p>
      <w:r>
        <w:t>Commitment IV - Adoption of a new code of conduct for sales agents</w:t>
        <w:br/>
        <w:t>GDL will adopt a code of conduct (hereinafter “Commercial Code of Conduct”) applicable to the Collaborators, in which the guidelines for conducting activities during visits to potential customers' homes will be formalized and consolidated, and which each Collaborator will be required to comply with, with particular emphasis on the obligations of transparency regarding the timing of the execution of the works and the right of withdrawal pursuant to Article 52 of the Consumer Code (Annex No. 2).</w:t>
      </w:r>
    </w:p>
    <w:p>
      <w:r>
        <w:t>Commitment V - Access to customer care</w:t>
        <w:br/>
        <w:t>In order to facilitate access to the customer care service made available to customers, GDL will send each customer, at the beginning of the renovation works, a WhatsApp message (or, in case of unavailability of WhatsApp, via SMS) that allows each customer to start a conversation with an operator of the Company's customer care service and promptly report any issues encountered during or following the execution of the renovation works.</w:t>
      </w:r>
    </w:p>
    <w:p>
      <w:r>
        <w:t>Commitment VI - Extraordinary contribution</w:t>
        <w:br/>
        <w:t>For cases of withdrawal within fourteen days from the conclusion of the contract, GDL will recognize, as an exceptional and one-time measure, to each of the consumers who, during the period from January 1, 2023, to May 29, 2024, submitted a request for withdrawal from the contract within fourteen days from its conclusion, accepted without the total or partial refund of the deposit paid, an extraordinary contribution equal to the amount that GDL has collected from each of them.</w:t>
      </w:r>
    </w:p>
    <w:p>
      <w:r>
        <w:t>In cases of requests for termination beyond 14 days from the conclusion of the contract, GDL will recognize, as an exceptional and one-time measure, to each of the consumers who, during the period from January 1, 2023, to May 29, 2024, submitted a request for termination of the contract beyond fourteen days from its conclusion, accepted without the total or partial refund of the deposit paid, an extraordinary contribution equal to the amount that GDL has collected from each of them.</w:t>
      </w:r>
    </w:p>
    <w:p>
      <w:r>
        <w:t>In cases of work commencement after the deadline set by the contract, GDL will recognize – as an exceptional and one-time measure – to each of the consumers for whom, during the period from January 1, 2023, to May 29, 2024, the appointment for the start of the works was set for a date later than that contractually provided (two hundred seventy working days or calendar days depending on the cases) due to causes attributable to the unavailability of installers and/or the goods necessary to carry out the work, an extraordinary contribution of 100 euros.</w:t>
      </w:r>
    </w:p>
    <w:p>
      <w:r>
        <w:t>As for the payment methods of the extraordinary contribution, GDL will send each of the aforementioned customers an individual communication (hereinafter “Communication”) via email (or in case of unavailability a WhatsApp message or SMS) to the contacts resulting from the company archive, in order to inform them of the possibility of benefiting from the extraordinary contribution, with a deadline for response of twenty days from the sending of the Communication. In the event that the customer does not respond to the Communication within the aforementioned twenty-day deadline, the Company will send, within the following ten days, the aforementioned Communication via regular mail, to the address of the customer resulting from the company archive, granting the customer an additional deadline of twenty days, starting from that sending, to communicate the bank details to receive the credit of the extraordinary contribution. Sub Annex No. 3 is provided, by way of example, the model of Communication that the Company intends to send to the aforementioned customers. The credit will be made by electronic bank transfer within seven working days from the date on which the customer has communicated to the Company their acceptance of the contribution and the bank details.</w:t>
      </w:r>
    </w:p>
    <w:p>
      <w:r>
        <w:t>17. Communication to be sent to customers (Annex No. 3):</w:t>
      </w:r>
    </w:p>
    <w:p>
      <w:r>
        <w:t>Commitment VII - Removal of the wording “Made in Italy” from the website and catalogs for shower trays</w:t>
        <w:br/>
        <w:t>GDL will remove the wording “Made in Italy” from the pages of the website and from the pages dedicated to shower trays in its catalogs distributed to Collaborators. To this end, GDL:</w:t>
        <w:br/>
        <w:t>- will apply a sticker to the catalogs that have already been distributed to Collaborators to cover, making it unreadable, the wording “Made in Italy” reported on pages 15 and 19 of the “Remail Catalog” and on pages 44 and 47 of the “Bagni Italiani Catalog”;</w:t>
      </w:r>
    </w:p>
    <w:p>
      <w:r>
        <w:t>26 BULLETIN NO. 46 OF DECEMBER 2, 2024</w:t>
        <w:br/>
        <w:t>- will eliminate from the new catalogs, whose reprint is scheduled for September 2024, the wording “Made in Italy” reported on the pages dedicated to shower trays;</w:t>
        <w:br/>
        <w:t>- will eliminate from the advertising messages, which it disseminates on the website www.bagnitaliani.it, the specification that it uses “Made in Italy” products.</w:t>
      </w:r>
    </w:p>
    <w:p>
      <w:r>
        <w:t>Entry into force and duration</w:t>
        <w:br/>
        <w:t>The Commitments will enter into force from the date of notification of the acceptance measure pursuant to Article 27, paragraph 7, of the Consumer Code (hereinafter, “Effective Date”). GDL has already implemented Commitment I: on June 20, 2024, GDL transmitted to its Collaborators the Contractual Models containing the new clause on the right of withdrawal pursuant to Article 52 of the Consumer Code. Commitments II to VI will be implemented within thirty days from the Effective Date. To this end, GDL will send each Collaborator two emails, attaching respectively: (i) the pre-contractual information with the instruction to deliver it to the potential customer during the first meeting and (ii) the Code of Conduct, which the Collaborators are required to comply with; furthermore, it will provide for the sending of the Communication to consumers affected by Commitment VI.</w:t>
      </w:r>
    </w:p>
    <w:p>
      <w:r>
        <w:t>GDL has already implemented Commitment VII: between June 25 and 28, 2024, GDL sent its Collaborators the necessary instructions to apply the stickers on the catalogs already distributed to them. Furthermore, the Company has already taken steps to remove the wording “Made in Italy” from the pages on shower trays in the catalogs that will be printed starting from September 2024.</w:t>
      </w:r>
    </w:p>
    <w:p>
      <w:r>
        <w:t>Revision clause</w:t>
        <w:br/>
        <w:t>GDL reserves the right to request the revision of the Commitments in the event that changes in the regulatory or regulatory framework, developments related to its processes or marketing activities, or other events should make a modification to their content and/or duration necessary or appropriate, or the cessation of one or more of the Commitments.</w:t>
      </w:r>
    </w:p>
    <w:p>
      <w:r>
        <w:t>IV. EVALUATION OF THE COMMITMENTS</w:t>
        <w:br/>
        <w:t>18. The Authority believes that the commitments proposed by the Professional are suitable to remedy the possible profiles of illegitimacy of the commercial practice contested in the initiation communication of May 21, 2024.</w:t>
      </w:r>
    </w:p>
    <w:p>
      <w:r>
        <w:t>19. It is preliminarily considered that, due to both the inspection evidence collected that seems to highlight a marginal and circumscribed phenomenon, and the collaborative and proactive behavior of the Professional to resolve the issues that arose, meeting the needs of consumers and this already before the initiation of the investigation procedure, the conduct contested to GDL at the initiation stage is not characterized by manifest severity.</w:t>
      </w:r>
    </w:p>
    <w:p>
      <w:r>
        <w:t>20. Furthermore, it should be noted that the proposed measures are suitable to resolve the critical issues identified at the initiation stage as they take into account all the identified profiles and are conclusive, offering, both in the pre-contractual phase and in the contractual phase, greater clarity and completeness of information in terms of timing of the works, consumer rights, and the characteristics and origin of the products. In this regard, the proposed measure regarding the reduction of the deadline for starting the works (from two hundred seventy to ninety days) is relevant from a consumer perspective, given the advantage for the consumer who, being bound by the contract, has an interest in a rapid start of the works.</w:t>
      </w:r>
    </w:p>
    <w:p>
      <w:r>
        <w:t>21. Of particular relevance is the compensation measure referred to in Commitment VI, given the economic compensatory aspect provided for the benefit of consumers. Furthermore, the additional measure recently proposed by the Company appears suitable to ensure a useful effect for the communication sent via SMS or WhatsApp, given that all those who, misunderstanding the meaning</w:t>
      </w:r>
    </w:p>
    <w:p>
      <w:r>
        <w:rPr>
          <w:b/>
        </w:rPr>
        <w:t>[Pages 25–27]</w:t>
      </w:r>
    </w:p>
    <w:p>
      <w:r>
        <w:t>BULLETIN NO. 46 OF DECEMBER 2, 2024 27</w:t>
        <w:br/>
        <w:t>of the SMS or WhatsApp message, who did not follow up on the invitation contained therein, will still receive communication by ordinary mail explaining in detail the meaning of the GDL initiative.</w:t>
      </w:r>
    </w:p>
    <w:p>
      <w:r>
        <w:t>22. Following this further integration, the set of measures proposed as commitments appears suitable to overcome the critical issues hypothesized at the start of the investigation, also considering the compensatory measures in favor of consumers.</w:t>
      </w:r>
    </w:p>
    <w:p>
      <w:r>
        <w:t>23. Moreover, it is commendable that the Professional has independently and directly implemented some informative measures regarding the right of withdrawal and the removal of the statement "Made in Italy" from all advertising media in which it appeared, providing, for all other measures, a deadline of thirty days from the resolution.</w:t>
      </w:r>
    </w:p>
    <w:p>
      <w:r>
        <w:t>24. In light of the above considerations, it is believed that the commitments presented meet the requirements set forth in Article 27, paragraph 7, of the Consumer Code.</w:t>
      </w:r>
    </w:p>
    <w:p>
      <w:r>
        <w:t>CONSIDERING, therefore, that the commitments presented by GDL S.p.A., in the terms outlined above, are suitable to eliminate the possible profiles of unfairness of the commercial practice under investigation;</w:t>
      </w:r>
    </w:p>
    <w:p>
      <w:r>
        <w:t>CONSIDERING, to impose the obligation of the aforementioned commitments on GDL S.p.A.;</w:t>
      </w:r>
    </w:p>
    <w:p>
      <w:r>
        <w:t>CONSIDERING, therefore, to be able to close the procedure without establishing the infringement;</w:t>
      </w:r>
    </w:p>
    <w:p>
      <w:r>
        <w:t>RESOLVES</w:t>
      </w:r>
    </w:p>
    <w:p>
      <w:r>
        <w:t>a) to make mandatory, with respect to GDL S.p.A., pursuant to Article 27, paragraph 7, of the Consumer Code and Article 9, paragraph 2, letter a), of the Regulation, the commitments proposed by the same in the consolidated version dated September 16, 2024, and October 14, 2024, as described in the form attached to this measure which constitutes an integral part thereof;</w:t>
      </w:r>
    </w:p>
    <w:p>
      <w:r>
        <w:t>b) to close the procedure without establishing the infringement, pursuant to Article 27, paragraph 7, of the Consumer Code and Article 9, paragraph 2, letter a), of the Regulation;</w:t>
      </w:r>
    </w:p>
    <w:p>
      <w:r>
        <w:t>c) that GDL S.p.A., within sixty days from the date of notification of this resolution, informs the Authority of the implementation of the commitments.</w:t>
      </w:r>
    </w:p>
    <w:p>
      <w:r>
        <w:t>Pursuant to Article 9, paragraph 3, of the Regulation, the procedure may be reopened ex officio, where:</w:t>
      </w:r>
    </w:p>
    <w:p>
      <w:r>
        <w:t>a) the Professional does not implement the commitments;</w:t>
      </w:r>
    </w:p>
    <w:p>
      <w:r>
        <w:t>b) the factual situation changes regarding one or more elements on which the decision is based;</w:t>
      </w:r>
    </w:p>
    <w:p>
      <w:r>
        <w:t>c) the decision to accept commitments is based on information provided by the Party that is incomplete, inaccurate, or misleading.</w:t>
      </w:r>
    </w:p>
    <w:p>
      <w:r>
        <w:t>Pursuant to Article 27, paragraph 12, of the Consumer Code, in case of non-compliance with this resolution, the Authority applies an administrative pecuniary sanction from €10,000 to €10,000,000. In cases of repeated non-compliance, the Authority may order the suspension of business activity for a period not exceeding thirty days.</w:t>
      </w:r>
    </w:p>
    <w:p>
      <w:r>
        <w:t>This measure will be notified to the interested parties and published in the Bulletin of the Competition and Market Authority.</w:t>
      </w:r>
    </w:p>
    <w:p>
      <w:r>
        <w:t>28 BULLETIN NO. 46 OF DECEMBER 2, 2024</w:t>
        <w:br/>
        <w:t>THE SECRETARY GENERAL THE PRESIDENT</w:t>
        <w:br/>
        <w:t>Guido Stazi Roberto Rustichelli</w:t>
      </w:r>
    </w:p>
    <w:p>
      <w:r>
        <w:t>Competition and Market Authority Weekly Bulletin</w:t>
        <w:br/>
        <w:t>Year XXXIV - No. 46 - 2024</w:t>
        <w:br/>
        <w:t>Editorial Coordination Giulia Antenucci</w:t>
        <w:br/>
        <w:t>Editorial Staff Angela D’Auria, Valerio Ruocco, Manuela Villani</w:t>
        <w:br/>
        <w:t>Competition and Market Authority</w:t>
        <w:br/>
        <w:t>Document Management, Protocol, and Statistical Services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