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http://www.agcm.it/dotcmsDOC/bollettini/47-09.pdf</w:t>
      </w:r>
    </w:p>
    <w:p>
      <w:r>
        <w:t>Pages translated : 106</w:t>
      </w:r>
    </w:p>
    <w:p/>
    <w:p>
      <w:r>
        <w:rPr>
          <w:b/>
        </w:rPr>
        <w:t>[Pages 1–3]</w:t>
      </w:r>
    </w:p>
    <w:p>
      <w:r>
        <w:t>Bulletin</w:t>
        <w:br/>
        <w:t>Weekly</w:t>
        <w:br/>
        <w:t>Year XIX - No. 47</w:t>
        <w:br/>
        <w:t>Published on the website www.agcm.it</w:t>
        <w:br/>
        <w:t>on December 14, 2009</w:t>
      </w:r>
    </w:p>
    <w:p>
      <w:r>
        <w:t>SUMMARY</w:t>
        <w:br/>
        <w:t>AGREEMENTS AND ABUSE OF DOMINANT POSITION 5</w:t>
        <w:br/>
        <w:t>I700 - PRICE OF LPG FOR HEATING IN THE SARDINIA REGION</w:t>
        <w:br/>
        <w:t>Decision No. 20506 5</w:t>
        <w:br/>
        <w:t>I713 - NATIONAL COUNCIL OF GEOLOGISTS - DEONTOLOGICAL RESTRICTIONS ON</w:t>
        <w:br/>
        <w:t>DETERMINING FEES</w:t>
        <w:br/>
        <w:t>Decision No. 20507 7</w:t>
        <w:br/>
        <w:t>I724 - INTERBANK COMMISSION PAGOBANCOMAT</w:t>
        <w:br/>
        <w:t>Decision No. 20509 8</w:t>
        <w:br/>
        <w:t>I725 - INTERBANK AGREEMENTS "RIBA-RID-BANCOMAT"</w:t>
        <w:br/>
        <w:t>Decision No. 20510 14</w:t>
        <w:br/>
        <w:t>CONCENTRATION OPERATIONS 20</w:t>
        <w:br/>
        <w:t>C10284 – RMC ITALIA/RADIO BROADCASTING PLANT OF LIFEGATE RADIO</w:t>
        <w:br/>
        <w:t>Decision No. 20518 20</w:t>
        <w:br/>
        <w:t>C10330 - AGUSTAWESTLAND/WYTWÒRNIA SPRZETU KOMUNIKACYJNEGO PZL-SWIDNIK</w:t>
        <w:br/>
        <w:t>Decision No. 20519 23</w:t>
        <w:br/>
        <w:t>C10331 - DELAVILLE/PARMA HOTEL-COLIBRÌ</w:t>
        <w:br/>
        <w:t>Decision No. 20520 31</w:t>
        <w:br/>
        <w:t>C10332 - COOPSERVICE/BRANCHES OF CITTÀ SICURA</w:t>
        <w:br/>
        <w:t>Decision No. 20521 35</w:t>
        <w:br/>
        <w:t>REPORTING AND CONSULTATIVE ACTIVITIES 40</w:t>
        <w:br/>
        <w:t>AS643 - MUNICIPALITY OF MONDOVI' (CN) - NATURAL GAS DISTRIBUTION SERVICE 40</w:t>
        <w:br/>
        <w:t>AS644 - MUNICIPALITY OF PORTO SAN GIORGIO (FM) - CANTEEN AUXILIARY SERVICE 43</w:t>
        <w:br/>
        <w:t>MISLEADING AND COMPARATIVE ADVERTISING 44</w:t>
        <w:br/>
        <w:t>PB260 - TECNOEL - SURREPTITIOUS ADVERTISING</w:t>
        <w:br/>
        <w:t>Decision No. 20490 44</w:t>
        <w:br/>
        <w:t>UNFAIR COMMERCIAL PRACTICES 55</w:t>
        <w:br/>
        <w:t>PS1730 - SOMATOLINE COSMETIC</w:t>
        <w:br/>
        <w:t>Decision No. 20493 55</w:t>
        <w:br/>
        <w:t>PS4208 - POLIZZI SALVATORE - FAILURE TO INDICATE TAN AND TAEG</w:t>
        <w:br/>
        <w:t>Decision No. 20495 84</w:t>
        <w:br/>
        <w:t>PS2720 - PURINA PROPLAN - "BUY AND WIN" CONTEST</w:t>
        <w:br/>
        <w:t>Decision No. 20513 90</w:t>
        <w:br/>
        <w:t>PS4137 - SAMSUNG - PRODUCT WARRANTY</w:t>
        <w:br/>
        <w:t>Decision No. 20516 101</w:t>
      </w:r>
    </w:p>
    <w:p>
      <w:r>
        <w:t>BULLETIN NO. 47 OF DECEMBER 14, 2009 5</w:t>
        <w:br/>
        <w:t>AGREEMENTS AND ABUSE OF DOMINANT POSITION</w:t>
        <w:br/>
        <w:t>I700 - PRICE OF LPG FOR HEATING IN THE SARDINIA REGION</w:t>
        <w:br/>
        <w:t>Decision No. 20506</w:t>
        <w:br/>
        <w:t>THE ITALIAN COMPETITION AUTHORITY</w:t>
        <w:br/>
        <w:t>IN ITS MEETING of November 25, 2009;</w:t>
        <w:br/>
        <w:t>HEARD the Rapporteur Dr. Antonio Pilati;</w:t>
        <w:br/>
        <w:t>HAVING REGARD to Law No. 287 of October 10, 1990;</w:t>
        <w:br/>
        <w:t>HAVING REGARD to Article 81 of the EC Treaty;</w:t>
        <w:br/>
        <w:t>HAVING REGARD to its decision of April 24, 2008, by which an investigation was initiated, pursuant to Article 14 of Law No. 287/90, against the companies Butan Gas S.p.A., Eni S.p.A., Fiamma 2000 S.p.A., Liquigas S.p.A., Sarda Gas Petroli di Antonio Pisano &amp; C. S.a.s. and Ultragas Tirrena S.p.A., to ascertain the existence of a violation of Article 2 of Law No. 287/90, consisting of the coordination of commercial strategies aimed at the joint determination of the level of LPG prices in cylinders in Sardinia and other contractual conditions to be applied to retailers, as well as market compartmentalization;</w:t>
        <w:br/>
        <w:t>HAVING REGARD to its decision of January 22, 2009, by which the scope of the investigation against the companies Butan Gas S.p.A., Eni S.p.A. and Liquigas S.p.A. was extended for an alleged agreement concerning the coordination of LPG price lists in cylinders and small tanks throughout the national territory, in violation of Article 81 of the EC Treaty;</w:t>
        <w:br/>
        <w:t>HAVING REGARD to the requests received on November 17, 2009, from the companies Liquigas S.p.A. and Butan Gas S.p.A. for an extension of the deadline for concluding the evidence acquisition phase, motivated by the need to fully exercise their right of defense;</w:t>
        <w:br/>
        <w:t>HAVING REGARD to the documents of the proceeding;</w:t>
        <w:br/>
        <w:t>CONSIDERING it appropriate to extend the deadline for concluding the evidence acquisition phase, in order to ensure the full exercise of the right of defense;</w:t>
        <w:br/>
        <w:t>CONSIDERING that the aforementioned extension also necessitates an extension of the deadline for concluding the proceeding, set by the resolution extending the investigation to January 31, 2010;</w:t>
        <w:br/>
        <w:t>RESOLVES</w:t>
        <w:br/>
        <w:t>to extend the deadline for concluding the proceeding to March 31, 2010.</w:t>
      </w:r>
    </w:p>
    <w:p>
      <w:r>
        <w:rPr>
          <w:b/>
        </w:rPr>
        <w:t>[Pages 4–6]</w:t>
      </w:r>
    </w:p>
    <w:p>
      <w:r>
        <w:t xml:space="preserve">6 BULLETIN NO. 47 OF DECEMBER 14, 2009  </w:t>
        <w:br/>
        <w:t xml:space="preserve">This provision will be notified to the interested parties and published in the Bulletin of the Italian Competition Authority.  </w:t>
        <w:br/>
        <w:t xml:space="preserve">THE SECRETARY GENERAL THE PRESIDENT  </w:t>
        <w:br/>
        <w:t>Luigi Fiorentino Antonio Catricalà</w:t>
      </w:r>
    </w:p>
    <w:p>
      <w:r>
        <w:t xml:space="preserve">BULLETIN NO. 47 OF DECEMBER 14, 2009 7  </w:t>
        <w:br/>
        <w:t xml:space="preserve">I713 - NATIONAL COUNCIL OF GEOLOGISTS - DEONTOLOGICAL RESTRICTIONS ON THE DETERMINATION OF FEES  </w:t>
        <w:br/>
        <w:t xml:space="preserve">Provision No. 20507  </w:t>
        <w:br/>
        <w:t xml:space="preserve">THE ITALIAN COMPETITION AUTHORITY  </w:t>
        <w:br/>
        <w:t xml:space="preserve">IN ITS MEETING of November 25, 2009;  </w:t>
        <w:br/>
        <w:t xml:space="preserve">HEARD the Rapporteur Dr. Antonio Pilati;  </w:t>
        <w:br/>
        <w:t xml:space="preserve">HAVING REGARD to Law No. 287 of October 10, 1990;  </w:t>
        <w:br/>
        <w:t xml:space="preserve">HAVING REGARD to its resolution of May 14, 2009, which initiated a proceeding, pursuant to Article 14 of Law No. 287/90, against the National Council of Geologists, aimed at ascertaining any violations of Article 81 of the EC Treaty;  </w:t>
        <w:br/>
        <w:t xml:space="preserve">HAVING REGARD to the documents of the proceeding;  </w:t>
        <w:br/>
        <w:t xml:space="preserve">CONSIDERING it necessary to replace the person responsible for the proceeding due to subsequent organizational needs;  </w:t>
        <w:br/>
        <w:t xml:space="preserve">RESOLVES  </w:t>
        <w:br/>
        <w:t xml:space="preserve">to replace Dr. Diego Agus with Dr. Serenella Martini as the person responsible for the proceeding.  </w:t>
        <w:br/>
        <w:t xml:space="preserve">This provision will be notified to the interested parties and published in the Bulletin of the Italian Competition Authority.  </w:t>
        <w:br/>
        <w:t xml:space="preserve">THE SECRETARY GENERAL THE PRESIDENT  </w:t>
        <w:br/>
        <w:t>Luigi Fiorentino Antonio Catricalà</w:t>
      </w:r>
    </w:p>
    <w:p>
      <w:r>
        <w:t xml:space="preserve">8 BULLETIN NO. 47 OF DECEMBER 14, 2009  </w:t>
        <w:br/>
        <w:t xml:space="preserve">I724 - INTERBANK COMMISSION PAGOBANCOMAT  </w:t>
        <w:br/>
        <w:t xml:space="preserve">Provision No. 20509  </w:t>
        <w:br/>
        <w:t xml:space="preserve">THE ITALIAN COMPETITION AUTHORITY  </w:t>
        <w:br/>
        <w:t xml:space="preserve">IN ITS MEETING of October 25, 2009;  </w:t>
        <w:br/>
        <w:t xml:space="preserve">HEARD the Rapporteur Professor Carla Bedogni;  </w:t>
        <w:br/>
        <w:t xml:space="preserve">HAVING REGARD to Law No. 287 of October 10, 1990;  </w:t>
        <w:br/>
        <w:t xml:space="preserve">HAVING REGARD to Law No. 262 of December 28, 2005;  </w:t>
        <w:br/>
        <w:t xml:space="preserve">HAVING REGARD to Article 81 of the EC Treaty;  </w:t>
        <w:br/>
        <w:t xml:space="preserve">HAVING REGARD to Regulation No. 1/2003 of the Council of December 16, 2002, concerning the application of competition rules under Articles 81 and 82 of the EC Treaty;  </w:t>
        <w:br/>
        <w:t xml:space="preserve">HAVING REGARD to the documentation submitted by the BANCOMAT Consortium on June 23 and September 16, 2009;  </w:t>
        <w:br/>
        <w:t xml:space="preserve">HAVING REGARD to the documents of the proceeding;  </w:t>
        <w:br/>
        <w:t xml:space="preserve">CONSIDERING the following:  </w:t>
        <w:br/>
        <w:t xml:space="preserve">I. PREMISE  </w:t>
        <w:br/>
        <w:t xml:space="preserve">1. This proceeding concerns the interbank agreement, prepared within the BANCOMAT Consortium, regarding the determination of the conditions governing the criteria and methods of carrying out the payment service at the existing POS (Point Of Sale) throughout the national territory through the use of the PagoBANCOMAT card.  </w:t>
        <w:br/>
        <w:t xml:space="preserve">The documentation related to this agreement, including the interbank fee concerning the PagoBANCOMAT service, was initially submitted to the Authority by the BANCOMAT Consortium on June 23, 2009, and subsequently - following a request for information sent by the Authority on July 30, 2009 - on September 16, 2009.  </w:t>
        <w:br/>
        <w:t xml:space="preserve">2. The interbank fee subject to this proceeding was previously assessed, based on Law No. 287/90, with the provision of the Bank of Italy No. 49 of July 1, 2004. With this provision, the Bank of Italy had granted the relevant derogation authorization, pursuant to Article 4 of the aforementioned law. This authorization expired on July 1, 2009. Following the transfer to the Authority of antitrust powers in the banking sector, implemented by Article 19 of Law No. 262/05, the aforementioned interbank agreement also falls within the matters on which the Authority exercises the powers conferred by law to protect competition.  </w:t>
        <w:br/>
        <w:t xml:space="preserve">3. On July 7, 2007, CO.GE.BAN. (which has been replaced by the current BANCOMAT Consortium) redefined, informing the Authority, the interbank fee for PagoBANCOMAT, for the period from July 1, 2007, to July 1, 2009.  </w:t>
        <w:br/>
        <w:t>4. The same Consortium, on June 23, with further additions on September 16, 2009, deemed it necessary, as the expiration date of July 1, 2009, was approaching and considering, in light of the modernization process of community competition rules (as well as with the entry into force of the Reg.</w:t>
      </w:r>
    </w:p>
    <w:p>
      <w:r>
        <w:rPr>
          <w:b/>
        </w:rPr>
        <w:t>[Pages 7–9]</w:t>
      </w:r>
    </w:p>
    <w:p>
      <w:r>
        <w:t>BULLETIN NO. 47 OF DECEMBER 14, 2009 9</w:t>
      </w:r>
    </w:p>
    <w:p>
      <w:r>
        <w:t>1/2003), stating that it "can no longer benefit from the system of derogation authorization," has, in "self-assessment," defined the new interbank commission for PagoBANCOMAT1.</w:t>
      </w:r>
    </w:p>
    <w:p>
      <w:r>
        <w:t>II. THE PARTIES</w:t>
      </w:r>
    </w:p>
    <w:p>
      <w:r>
        <w:t>5. The BANCOMAT Consortium (hereinafter also referred to as the Consortium) is a consortium that includes, in addition to ABI, banks, financial intermediaries, and all other entities authorized by national and European laws to operate in the area of payment services; currently, 588 banks and parent companies of banking groups are members of the BANCOMAT Consortium. The purpose of the consortium is the management of the BANCOMAT and PagoBANCOMAT payment circuits and the related payment cards, which can be used to make payments at POS and/or withdrawals at so-called ATMs (Automated Teller Machines).</w:t>
      </w:r>
    </w:p>
    <w:p>
      <w:r>
        <w:t>III. THE SUBJECT OF THE PROCEEDING</w:t>
      </w:r>
    </w:p>
    <w:p>
      <w:r>
        <w:t>6. The agreement subject to this proceeding concerns the establishment by the BANCOMAT Consortium of the conditions governing the criteria and methods of conducting the payment service at the existing POS (Point Of Sale) throughout the national territory through the use of the PagoBANCOMAT card. The agreement provides for mutual commitments among the participating banks regarding the operation of the service and, in particular, the determination of the maximum interbank commission for PagoBANCOMAT.</w:t>
      </w:r>
    </w:p>
    <w:p>
      <w:r>
        <w:t>7. This commission, approved by the Consortium on May 19, 2009, is set at €0.13 per transaction, plus 0.1579% of the value of the individual transaction. This commission has been applied since July 1, 2009, and will be applied until June 30, 20112.</w:t>
      </w:r>
    </w:p>
    <w:p>
      <w:r>
        <w:t>IV. THE RELEVANT MARKET</w:t>
      </w:r>
    </w:p>
    <w:p>
      <w:r>
        <w:t>8. The agreement subject to this proceeding concerns payment services made through payment cards, specifically debit cards. Within the realm of payment cards, two areas of activity can be distinguished: one upstream, where payment circuits operate, and one downstream, where banks are active in activities related to payment cards, namely, primarily, the issuance of cards (issuing) and the contracting of merchants (acquiring).</w:t>
      </w:r>
    </w:p>
    <w:p>
      <w:r>
        <w:t>9. The upstream market is where the circuits operate. The circuits perform numerous activities that ensure that payments made with payment cards are completed and executed under secure conditions. In the downstream markets, active operators, typically banks, operate, on one hand, in the issuance of cards bearing the circuit's brand and with their own name that differentiates the product and services, and, on the other hand, in the contracting of merchants for the acceptance of payments made with debit cards.</w:t>
      </w:r>
    </w:p>
    <w:p>
      <w:r>
        <w:t>10. In previous community3 and national4 cases, a market has therefore been defined upstream between circuits and the downstream markets of issuing and acquiring5.</w:t>
      </w:r>
    </w:p>
    <w:p>
      <w:r>
        <w:t>1 See BANCOMAT Consortium Communication of June 13, 2009.</w:t>
        <w:br/>
        <w:t>2 The value of the interbank commission for PagoBANCOMAT applied from July 1, 2009, was communicated to the banks with Circular No. 6/09.</w:t>
        <w:br/>
        <w:t>3 See European Commission decision of December 19, 2007 COMP/34.579 - MasterCard, COMP/36.518 - EuroCommerce, COMP/38.580 - Commercial Cards.</w:t>
      </w:r>
    </w:p>
    <w:p>
      <w:r>
        <w:t>10 BULLETIN NO. 47 OF DECEMBER 14, 2009</w:t>
      </w:r>
    </w:p>
    <w:p>
      <w:r>
        <w:t>11. The geographical dimension of the upstream market between circuits and those downstream of issuing and acquiring can be confined within the national territory as the methods of offering appear sufficiently uniform within it. In particular, the agreement subject to this proceeding concerns a service offered throughout the Italian territory by almost all banks active in Italy. This agreement is defined at a centralized level and uniformly for the entire national territory.</w:t>
      </w:r>
    </w:p>
    <w:p>
      <w:r>
        <w:t>12. The position of the PagoBANCOMAT circuit, in addition to the fact that the Consortium includes almost all banks active in Italy, can be analyzed by considering both the number of PagoBANCOMAT cards in circulation and the number of merchants contracted with the PagoBANCOMAT circuit. In fact, in these services, for the purposes of competition among operators, the number of the two categories of users (consumers and merchants) on both sides of the market is relevant (i.e., two-sided markets).</w:t>
      </w:r>
    </w:p>
    <w:p>
      <w:r>
        <w:t>13. With regard to the number of cards in circulation, the stock of PagoBANCOMAT cards, as of December 31, 2008, was approximately 28 million. Considering the aggregate of debit cards, the PagoBANCOMAT circuit holds a market share of no less than 75% in terms of the number of cards and nearly 88% in terms of the number of transactions at POS, thus representing the main debit card circuit in Italy (See Table 1).</w:t>
      </w:r>
    </w:p>
    <w:p>
      <w:r>
        <w:t>Table 1: Stock and activity of debit cards by circuit (%), 2008</w:t>
        <w:br/>
        <w:t>No. of debit cards in circulation PagoBANCOMAT 75.5</w:t>
        <w:br/>
        <w:t>International circuits 24.5</w:t>
        <w:br/>
        <w:t>No. of transactions at POS PagoBANCOMAT 87.9</w:t>
        <w:br/>
        <w:t>International circuits 12.1</w:t>
        <w:br/>
        <w:t>Source: AGCM processing on data from the BANCOMAT Consortium and the Bank of Italy</w:t>
      </w:r>
    </w:p>
    <w:p>
      <w:r>
        <w:t>14. It should be noted that the PagoBANCOMAT circuit represents one of the most widespread circuits among merchants and is licensed by almost all banks operating in Italy.</w:t>
      </w:r>
    </w:p>
    <w:p>
      <w:r>
        <w:t>V. EVALUATION OF THE AGREEMENT</w:t>
      </w:r>
    </w:p>
    <w:p>
      <w:r>
        <w:t>V.1. The restrictiveness of the agreement</w:t>
      </w:r>
    </w:p>
    <w:p>
      <w:r>
        <w:t>15. The banks and financial institutions participating in the BANCOMAT Consortium are enterprises within the meaning of Article 81 of the EC Treaty; the BANCOMAT Consortium therefore constitutes an association of enterprises. The interbank agreement under examination is a decision of an association of enterprises, or an agreement between enterprises. This agreement therefore constitutes an understanding within the meaning of Article 81 of the EC Treaty.</w:t>
      </w:r>
    </w:p>
    <w:p>
      <w:r>
        <w:t>16. The interbank commissions subject to this proceeding represent the fees paid between the banks involved in offering the aforementioned services. In this case, the rules of the PagoBANCOMAT circuit provide that for each individual transaction made with the PagoBANCOMAT card, the bank that has contracted the merchant (acquirer bank) pays the interbank commission to the bank that issued the card with which the transaction was made (issuer bank).</w:t>
      </w:r>
    </w:p>
    <w:p>
      <w:r>
        <w:t>17. These interbank charges constitute intermediate costs and can affect the economic conditions applied by individual banks to the final customers. In particular, the existence of a uniform commission defined at the Consortium level establishes a minimum threshold below which competition among acquirers cannot reduce the merchant fee to merchants6. Furthermore, since it is a multilateral interbank commission, this threshold is common to all banks that contract merchants for the PagoBANCOMAT circuit.</w:t>
      </w:r>
    </w:p>
    <w:p>
      <w:r>
        <w:t>18. The agreement subject to this proceeding, by providing for a centralized and uniform definition of the interbank commission for all banks, is therefore configured as an understanding that affects the provision of payment services to the end users. More specifically, the establishment of an interbank commission in a coordinated manner limits the decision-making autonomy of banks in their commercial policies towards customers, and is therefore likely to lead to a significant reduction in the level of competition in the sector, which can result in more burdensome economic conditions for the end users.</w:t>
      </w:r>
    </w:p>
    <w:p>
      <w:r>
        <w:t>19. In consideration of the competitive risks associated with the centralized setting of interbank commissions, the Authority, also in light of developments in the community context, has already noted in the analysis of various multilateral interchange fees (MIF) on other payment services in Italy the need to assess their compatibility with competition law following an overall efficiency approach of the system7.</w:t>
      </w:r>
    </w:p>
    <w:p>
      <w:r>
        <w:t>20. Additionally, at the community level, the coordinated definition of MIF related to cross-border transactions made with payment cards—both debit and credit—has been deemed restrictive of competition and to be evaluated in light of the efficiency of the system8.</w:t>
      </w:r>
    </w:p>
    <w:p>
      <w:r>
        <w:t>21. In light of the above and consistent with established community principles, the interbank agreement related to the PagoBANCOMAT service and, in particular, the underlying interbank commission, could constitute an understanding likely to distort competition in the common market pursuant to Article 81 of the EC Treaty9.</w:t>
      </w:r>
    </w:p>
    <w:p>
      <w:r>
        <w:t>V.2. The applicability of community law</w:t>
      </w:r>
    </w:p>
    <w:p>
      <w:r>
        <w:t>22. The existence of prejudice to trade between Member States depends on a complex of factors (to be assessed individually and in their cumulative effects) that, among other things, include: the nature of the agreements, the nature of the products or services, and the position of the enterprises involved10.</w:t>
      </w:r>
    </w:p>
    <w:p>
      <w:r>
        <w:t>23. Furthermore, according to the consistent orientation of community jurisprudence, an understanding that, based on a series of objective legal and factual elements, can exert a direct or indirect, actual or potential influence on intra-community trade is likely to prejudice such trade.</w:t>
      </w:r>
    </w:p>
    <w:p>
      <w:r>
        <w:rPr>
          <w:b/>
        </w:rPr>
        <w:t>[Pages 10–12]</w:t>
      </w:r>
    </w:p>
    <w:p>
      <w:r>
        <w:t>12 BULLETIN NO. 47 OF DECEMBER 14, 2009</w:t>
      </w:r>
    </w:p>
    <w:p>
      <w:r>
        <w:t>of trade between Member States, to an extent that could harm the achievement of the objectives of a single market11.</w:t>
      </w:r>
    </w:p>
    <w:p>
      <w:r>
        <w:t>24. In particular, the interbank agreement described above concerning the PagoBANCOMAT service covers the entire Italian territory and involves almost all banks providing banking services to retail and business customers in Italy. In this regard, the European Commission observes that “the Community courts have established in several rulings that agreements extending across the entire territory of a Member State have, by their nature, the effect of consolidating the compartmentalization of markets at the national level, thereby hindering the economic integration desired by the Treaty”12.</w:t>
      </w:r>
    </w:p>
    <w:p>
      <w:r>
        <w:t>25. Additionally, with regard to the nature of the service in question, it should be noted that, following the introduction of the Euro, the process of European integration in the field of payment services has seen significant development and is one of the fundamental objectives of the single market. Furthermore, a foreign bank wishing to carry out traditional banking activities in Italy will likely not be able to effectively enter the market without also offering the service in question.</w:t>
      </w:r>
    </w:p>
    <w:p>
      <w:r>
        <w:t>26. Both the nature of this agreement and the services involved, as well as the significance (in terms of number and size) of the banks participating in the BANCOMAT Consortium, lead to the conclusion that there is a prejudice to trade at the community level.</w:t>
      </w:r>
    </w:p>
    <w:p>
      <w:r>
        <w:t>CONSIDERING that, for the reasons stated, the agreement in question is likely to significantly prejudice, both currently and potentially, trade between Member States, trade to be understood in the dual form of the right of establishment and the free movement of services;</w:t>
      </w:r>
    </w:p>
    <w:p>
      <w:r>
        <w:t>CONSIDERING that, for the reasons stated, the agreement concerning the PagoBANCOMAT service is likely to constitute a violation of Article 81 of the EC Treaty;</w:t>
      </w:r>
    </w:p>
    <w:p>
      <w:r>
        <w:t>RESOLVES</w:t>
      </w:r>
    </w:p>
    <w:p>
      <w:r>
        <w:t>a) to initiate an investigation pursuant to Article 14 of Law No. 287/90, against the BANCOMAT Consortium, to ascertain the existence of a violation of Article 81 of the EC Treaty;</w:t>
      </w:r>
    </w:p>
    <w:p>
      <w:r>
        <w:t>b) to set a deadline of forty-five days from the notification of this provision for the exercise by the legal representatives of the parties of the right to be heard, specifying that the request for a hearing must be received by the “Credit” Directorate of the Directorate General for Competition of this Authority at least fifteen days before the expiration of the aforementioned deadline;</w:t>
      </w:r>
    </w:p>
    <w:p>
      <w:r>
        <w:t>c) that the person responsible for the procedure is Dr. Giovanni Notaro;</w:t>
      </w:r>
    </w:p>
    <w:p>
      <w:r>
        <w:t>11 See judgment of the Court of Justice of July 11, 2005, Remia BV and others v. Commission of the European Communities, C-42/84.</w:t>
      </w:r>
    </w:p>
    <w:p>
      <w:r>
        <w:t>12 See Point 78 of the Commission's Communication on the notion of prejudice, already cited. See also judgment of the Court of Justice of February 19, 2002, Wouters C-309/99.</w:t>
      </w:r>
    </w:p>
    <w:p>
      <w:r>
        <w:t>BULLETIN NO. 47 OF DECEMBER 14, 2009 13</w:t>
      </w:r>
    </w:p>
    <w:p>
      <w:r>
        <w:t>d) that the documents of the procedure may be viewed at the “Credit” Directorate of the Directorate General for Competition of this Authority by the legal representatives of the parties, as well as by a person delegated by them;</w:t>
      </w:r>
    </w:p>
    <w:p>
      <w:r>
        <w:t>e) that the procedure must be concluded by October 31, 2010.</w:t>
      </w:r>
    </w:p>
    <w:p>
      <w:r>
        <w:t>This provision will be notified to the interested parties and published in the Bulletin of the Italian Competition Authority.</w:t>
      </w:r>
    </w:p>
    <w:p>
      <w:r>
        <w:t>Against this provision, an appeal may be submitted to the TAR of Lazio, pursuant to Article 33, paragraph 1, of Law No. 287/90, within sixty days from the date of notification of the provision itself,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w:t>
      </w:r>
    </w:p>
    <w:p>
      <w:r>
        <w:t>Luigi Fiorentino Antonio Catricalà</w:t>
      </w:r>
    </w:p>
    <w:p>
      <w:r>
        <w:t>14 BULLETIN NO. 47 OF DECEMBER 14, 2009</w:t>
      </w:r>
    </w:p>
    <w:p>
      <w:r>
        <w:t>I725 - INTERBANK AGREEMENTS "RIBA-RID-BANCOMAT"</w:t>
      </w:r>
    </w:p>
    <w:p>
      <w:r>
        <w:t>Provision No. 20510</w:t>
      </w:r>
    </w:p>
    <w:p>
      <w:r>
        <w:t>THE ITALIAN COMPETITION AUTHORITY</w:t>
      </w:r>
    </w:p>
    <w:p>
      <w:r>
        <w:t>IN ITS MEETING of November 25, 2009;</w:t>
      </w:r>
    </w:p>
    <w:p>
      <w:r>
        <w:t>HEARD the Rapporteur Professor Piero Barucci;</w:t>
      </w:r>
    </w:p>
    <w:p>
      <w:r>
        <w:t>HAVING REGARD to Law No. 287 of October 10, 1990;</w:t>
      </w:r>
    </w:p>
    <w:p>
      <w:r>
        <w:t>HAVING REGARD to Law No. 262 of December 28, 2005;</w:t>
      </w:r>
    </w:p>
    <w:p>
      <w:r>
        <w:t>HAVING REGARD to Article 81 of the EC Treaty;</w:t>
      </w:r>
    </w:p>
    <w:p>
      <w:r>
        <w:t>HAVING REGARD to Regulation No. 1/2003 of the Council of December 16, 2002, concerning the application of the competition rules laid down in Articles 81 and 82 of the EC Treaty;</w:t>
      </w:r>
    </w:p>
    <w:p>
      <w:r>
        <w:t>HAVING REGARD to the documentation submitted by the Italian Banking Association on July 1 and September 16, 2009, and by the Bancomat Consortium on June 23 and September 16, 2009;</w:t>
      </w:r>
    </w:p>
    <w:p>
      <w:r>
        <w:t>HAVING REGARD to the acts of the procedure;</w:t>
      </w:r>
    </w:p>
    <w:p>
      <w:r>
        <w:t>CONSIDERING the following:</w:t>
      </w:r>
    </w:p>
    <w:p>
      <w:r>
        <w:t>I. INTRODUCTION</w:t>
      </w:r>
    </w:p>
    <w:p>
      <w:r>
        <w:t>1. This procedure concerns the interbank agreements prepared by the Italian Banking Association (hereinafter also ABI) for the regulation at the interbank level of certain phases of the production process related to the collection services of RiBa (Electronic Bank Receipt) and RID (Direct Interbank Relations) credits. Furthermore, this procedure concerns the interbank agreements prepared within the Bancomat Consortium, related to the cash withdrawal service with the Bancomat card at affiliated automatic banking machines (ATMs). The documentation related to the agreements concerning the interbank fees for the aforementioned payment services was initially submitted to the Authority by ABI and the Bancomat Consortium on June 23, 2009 (Bancomat) and July 1, 2009 (RiBa and RID) and subsequently - following a request for information sent by the Authority on July 30, 2009 - on September 16, 2009.</w:t>
      </w:r>
    </w:p>
    <w:p>
      <w:r>
        <w:t>2. The interbank fees subject to this procedure have been previously assessed, based on Law No. 287/90, with the Authority's provision No. 16709 of April 18, 2007. With this provision, the Authority, considering that the commitments presented by ABI and CO.GE.BAN. (which has been replaced by the current Bancomat Consortium) pursuant to Article 14-ter, paragraph 1, of Law No. 287/90 were such as to eliminate the anticompetitive profiles subject to investigation I6611, had made these commitments mandatory2. The Authority also ordered to receive a detailed report from ABI and CO.GE.BAN. starting from the first survey, by July 1, 2007, and biennially thereafter, on the results of the new surveys of</w:t>
      </w:r>
    </w:p>
    <w:p>
      <w:r>
        <w:t>1 See Provision to initiate investigation No. 15303I of March 29, 2006, I661 - Interbank agreements “ABI-CO.GE.BAN.”, in Bulletin No. 12/06.</w:t>
      </w:r>
    </w:p>
    <w:p>
      <w:r>
        <w:t>2 These commitments included, among other things, some reductions of the maximum interbank fees then existing, some modifications concerning the sampling criteria and cost efficiency, and the rescheduling of the timing for future reviews.</w:t>
      </w:r>
    </w:p>
    <w:p>
      <w:r>
        <w:rPr>
          <w:b/>
        </w:rPr>
        <w:t>[Pages 13–15]</w:t>
      </w:r>
    </w:p>
    <w:p>
      <w:r>
        <w:t>BULLETIN NO. 47 OF DECEMBER 14, 2009 15</w:t>
      </w:r>
    </w:p>
    <w:p>
      <w:r>
        <w:t>costs of sampling, producing the relevant documentation. Furthermore, it was stated in this provision that “the temporally indefinite nature of the commitments does not necessarily guarantee the persistence over time of their suitability to eliminate the anticompetitive profiles subject to the proceedings. Therefore, the Authority reserves the right to verify the persistent suitability of the commitments to eliminate the competitive concerns related to the agreements subject to the proceedings in light of changes in the competitive conditions characterizing the demand and supply of the products in question, in the structure of the Italian banking system, in the relevant European context, and in the methods of offering services”3.</w:t>
      </w:r>
    </w:p>
    <w:p>
      <w:r>
        <w:t>II. THE PARTIES</w:t>
      </w:r>
    </w:p>
    <w:p>
      <w:r>
        <w:t>3. ABI is a non-profit association to which, among others, almost all banks and other financial intermediaries operating in the national territory adhere. In particular, 773 banks (including 58 branches of foreign banks), 252 financial intermediaries, and 13 trade associations are members of ABI. The purpose of ABI, according to its statute, is to protect the interests of its members through the study and examination of issues concerning the banking and financial sectors.</w:t>
      </w:r>
    </w:p>
    <w:p>
      <w:r>
        <w:t>4. Consorzio BANCOMAT is a consortium that includes, in addition to ABI, banks, financial intermediaries, and all other entities authorized by national and European laws to operate in the area of payment services; currently, 588 banks and parent companies of banking groups are members of the Consorzio Bancomat. The purpose of the consortium is to manage the “BANCOMAT” and “PagoBANCOMAT” payment circuits and the related payment cards, which can be used to make payments at POS and/or withdrawals at automatic teller machines (ATMs).</w:t>
      </w:r>
    </w:p>
    <w:p>
      <w:r>
        <w:t>III. THE SUBJECT OF THE PROCEEDINGS</w:t>
      </w:r>
    </w:p>
    <w:p>
      <w:r>
        <w:t>5. The agreements subject to these proceedings concern, on the one hand, the collective setting at the associative level by ABI of conditions governing the offer of RiBa and RID services and, on the other hand, the setting by the Consorzio Bancomat of conditions that impact the offer of the withdrawal service at ATMs with the Bancomat card. In particular, in both cases, reference is made to the definition of the maximum value of certain interbank fees (hereinafter also referred to as “multilateral interchange fees” or “MIF”) for such services.</w:t>
      </w:r>
    </w:p>
    <w:p>
      <w:r>
        <w:t>6. The offer of RiBa and RID services involves an interaction between the banks of the recipients and those of the payers; the interbank fee is paid by the creditor's bank to the debtor's bank, which is also the customer of the business. The system also provides for penalties against banks that do not comply with the rules governing interbank relations.</w:t>
      </w:r>
    </w:p>
    <w:p>
      <w:r>
        <w:t>7. The possibility of making a withdrawal with the Bancomat card at an ATM of a bank different from the issuing bank (so-called circular withdrawal) involves an interaction between the former and the owner of the ATM. In particular, for a circular withdrawal operation, the issuing bank debits the amount withdrawn from its customer's current account and credits the same amount to the bank that owns the ATM. The bank that owns the ATM receives payment of the interbank fee from the issuing bank.</w:t>
      </w:r>
    </w:p>
    <w:p>
      <w:r>
        <w:t>8. The interbank fees subject to these proceedings are as follows4:</w:t>
        <w:br/>
        <w:t>– Bancomat (of €0.58);</w:t>
        <w:br/>
        <w:t>– RiBa collection order (of €0.57);</w:t>
        <w:br/>
        <w:t>– RiBa notice of default (of €0.38);</w:t>
        <w:br/>
        <w:t>– RID collection order (of €0.25); and</w:t>
        <w:br/>
        <w:t>– RID Veloce collection order (of €0.35).</w:t>
      </w:r>
    </w:p>
    <w:p>
      <w:r>
        <w:t>IV. THE RELEVANT MARKET</w:t>
      </w:r>
    </w:p>
    <w:p>
      <w:r>
        <w:t>9. The agreements subject to these proceedings concern the payment services sector, with particular reference to RiBa, RID services, and withdrawal services at ATMs with the Bancomat card. Each of these services could belong to a distinct relevant market from a merchandise perspective, as they satisfy different needs from the demand side.</w:t>
      </w:r>
    </w:p>
    <w:p>
      <w:r>
        <w:t>10. RiBa (Electronic Bank Receipt) is a credit collection service originating from commercial relationships, managed through an electronic procedure, which involves the delivery of bank receipts by the creditor to its bank (the collecting bank), which automatically forwards the information to the bank indicated by the debtor (the domiciliary bank). This latter bank then sends a payment notice to the debtor.</w:t>
      </w:r>
    </w:p>
    <w:p>
      <w:r>
        <w:t>11. RID (Direct Interbank Relations) is a credit collection service based on a permanent authorization granted by the debtor to its bank (the domiciliary bank) to accept debit orders from a specified creditor. The creditor's bank (the collecting bank), through an electronic procedure, forwards the orders received from its customer to the domiciliary bank, which debits the debtor's current account.</w:t>
      </w:r>
    </w:p>
    <w:p>
      <w:r>
        <w:t>12. The Bancomat service allows the holder of the card marked with the logo of this circuit to withdraw cash at ATMs affiliated with the Bancomat circuit, including those belonging to banks other than the issuing bank.</w:t>
      </w:r>
    </w:p>
    <w:p>
      <w:r>
        <w:t>13. Geographically, the agreements subject to these proceedings concern services offered throughout the Italian territory by almost all banks active in Italy. The agreements are set in a centralized and uniform manner for the entire national territory. For the purposes of their assessment, therefore, the relevant geographic markets have a national dimension.</w:t>
      </w:r>
    </w:p>
    <w:p>
      <w:r>
        <w:t>V. ASSESSMENT OF THE AGREEMENTS</w:t>
      </w:r>
    </w:p>
    <w:p>
      <w:r>
        <w:t>V.1. The Restrictiveness of the Agreements</w:t>
      </w:r>
    </w:p>
    <w:p>
      <w:r>
        <w:t>14. The banks and financial institutions adhering to ABI and the Consorzio Bancomat are enterprises within the meaning of Article 81 of the EC Treaty; ABI and the Consorzio Bancomat therefore constitute associations of enterprises. The interbank agreements under examination are decisions of associations of enterprises, or agreements between enterprises. Each agreement therefore constitutes an understanding within the meaning of Article 81 of the EC Treaty.</w:t>
      </w:r>
    </w:p>
    <w:p>
      <w:r>
        <w:t>15. The interbank fees subject to these proceedings represent compensations paid between the banks involved in offering the aforementioned services. These interbank charges constitute intermediate costs and can affect the economic conditions applied by individual banks to the end customers. In fact, the agreements, by providing for a centralized and uniform definition of interbank compensations for all banks, consequently configure as understandings that affect not only the services provided at the interbank level but also the provision of payment services to the end users (businesses and consumers). More specifically, their coordinated setting limits the decision-making autonomy of banks in commercial policies towards customers, and is therefore likely to lead to a significant reduction in the level of competition in the sector, which can result in more onerous economic conditions for the end users.</w:t>
      </w:r>
    </w:p>
    <w:p>
      <w:r>
        <w:t>16. In consideration of the competitive risks associated with the centralized setting of interbank fees, the Authority, also in light of developments in the community context, has already noted in the analysis of various multilateral interchange fees on other payment services in Italy the need to assess their compatibility with competition law following an overall efficiency approach of the system5.</w:t>
      </w:r>
    </w:p>
    <w:p>
      <w:r>
        <w:t>17. Furthermore, the evolution of the community context regarding the SEPA project6 has introduced, among other things, significant changes specifically concerning the operational mechanism of the services subject to these proceedings. In particular, with reference to the RID service, the analogous service in the SEPA context (SEPA Direct Debit) does not provide for interbank fees as they are not deemed necessary for the efficient use of this service7. In order to avoid negative competitive effects detrimental to the SEPA product associated with the existence of similar nationally more profitable products for banks - characterized by the presence of an interbank fee - Regulation (EC) No. 294/09 and the Commission's consultation document on the application of Article 81 of the EC Treaty to multilateral interbank payments, exclude differentiations between the two services regarding MIF until October 31, 2012.</w:t>
      </w:r>
    </w:p>
    <w:p>
      <w:r>
        <w:t>18. In other words, in countries where alternative national products to SEPA Direct Debit exist, with remuneration mechanisms based on interbank fees, the possibility is provided - without prejudice to any proceedings under competition law by national competition authorities concerning the interbank fees underlying the national service8 - to apply the interbank fees of the national service (RID) also to domestic transactions carried out through SEPA Direct Debit9, but only temporarily until October 31, 2012. This analysis also requires the assessment of the presence or absence of specificities of the national product compared to the standardized SEPA product and vice versa.</w:t>
      </w:r>
    </w:p>
    <w:p>
      <w:r>
        <w:t>5 See Authority decision No. 19726 of April 9, 2009, Section VIII.</w:t>
        <w:br/>
        <w:t>6 The SEPA (Single Euro Payments Area) project aims to create a harmonized retail payments market through the provision of common payment instruments (transfers, collections, and payment cards), which can be used, within the SEPA area, for both national and cross-border payments.</w:t>
        <w:br/>
        <w:t>7 See Commission Working Document on the “Applicability of Article 81 of the EC Treaty to multilateral interbank payments in SEPA Direct Debit” of October 30, 2009.</w:t>
        <w:br/>
        <w:t>8 See Commission Working Document on the “Applicability of Article 81 of the EC Treaty to multilateral interbank payments in SEPA Direct Debit”, of October 30, 2009, paragraph 28.</w:t>
        <w:br/>
        <w:t>9 See Regulation (EC) No. 924/09 of the European Parliament and of the Council of September 16, 2009, on cross-border payments and repealing Regulation (EC) No. 2560/01.</w:t>
      </w:r>
    </w:p>
    <w:p>
      <w:r>
        <w:rPr>
          <w:b/>
        </w:rPr>
        <w:t>[Pages 16–18]</w:t>
      </w:r>
    </w:p>
    <w:p>
      <w:r>
        <w:t>18 BULLETIN NO. 47 OF DECEMBER 14, 2009</w:t>
      </w:r>
    </w:p>
    <w:p>
      <w:r>
        <w:t>19. Therefore, the interbank fees currently applied for the RIBa, RID, and Bancomat services could, at present, be unjustified by criteria of economic efficiency at the system level and within the European context, as well as create competitive issues within the ongoing SEPA harmonization process10.</w:t>
      </w:r>
    </w:p>
    <w:p>
      <w:r>
        <w:t>20. In light of the above and consistent with established community principles, the interbank agreements related to the RiBa, RID, and Bancomat services and, in particular, the interbank fees under examination, could constitute agreements likely to distort competition in the common market pursuant to Article 81 of the EC Treaty11.</w:t>
      </w:r>
    </w:p>
    <w:p>
      <w:r>
        <w:t>V.2. The applicability of community law</w:t>
      </w:r>
    </w:p>
    <w:p>
      <w:r>
        <w:t>21. The existence of the prejudice to trade between Member States depends on a complex of factors (to be assessed individually and in their cumulative effects) that, among other things, include: the nature of the agreements, the nature of the products or services, and the position of the companies involved12.</w:t>
      </w:r>
    </w:p>
    <w:p>
      <w:r>
        <w:t>22. Furthermore, according to the consistent orientation of community jurisprudence, an agreement that, based on a series of objective legal and factual elements, can exert a direct or indirect, actual or potential influence on the flows of trade between Member States, to an extent that could harm the achievement of the objectives of a single market, is likely to prejudice intra-community trade13.</w:t>
      </w:r>
    </w:p>
    <w:p>
      <w:r>
        <w:t>23. In particular, the agreements described above concerning the RIBa, RID, and Bancomat services cover the entire Italian territory and involve almost all banks providing banking services to retail and business customers in Italy. In this regard, the Commission observes that “the community judicial bodies have established in several rulings that agreements extending across the entire territory of a Member State have, by their nature, the effect of consolidating the compartmentalization of markets at the national level, thus hindering the economic integration desired by the Treaty”14.</w:t>
      </w:r>
    </w:p>
    <w:p>
      <w:r>
        <w:t>24. In addition, with regard to the nature of the services in question, it should be noted that, following the introduction of the euro, the process of European integration in the field of payment services has developed significantly and is one of the fundamental objectives of the single market. Moreover, a foreign bank wishing to carry out traditional banking activities in Italy will likely not be able to effectively enter the market without also offering the services in question to its customers.</w:t>
      </w:r>
    </w:p>
    <w:p>
      <w:r>
        <w:t>25. Both the nature of such agreements and the services involved, as well as the significance (in terms of number and size) of the banks adhering to ABI and the BANCOMAT Consortium, lead to the conclusion that there is a prejudice to trade at the community level.</w:t>
      </w:r>
    </w:p>
    <w:p>
      <w:r>
        <w:t>10 See decision of the Authority no. 19726 of April 9, 2009, Section VIII.</w:t>
      </w:r>
    </w:p>
    <w:p>
      <w:r>
        <w:t>11 See Court of Justice, judgment of July 14, 1991, Zuchner, C-172/80; decision of the European Commission Eurocheques uniform, of December 10, 1984, in OJCE L 35 of February 7, 1985; decision of the European Commission Visa International/Multilateral Interbank Commission, of July 24, 2002, in OJCE L318 of November 22, 2002.</w:t>
      </w:r>
    </w:p>
    <w:p>
      <w:r>
        <w:t>12 See the Communication of the European Commission on the notion of prejudice to trade between Member States under Articles 81 and 82 EC Treaty (Communication 2004/C 101/07, in OJCE C 101/81 of April 27, 2004).</w:t>
      </w:r>
    </w:p>
    <w:p>
      <w:r>
        <w:t>13 See judgment of the Court of Justice of July 11, 2005, Remia BV and others v. Commission of the European Communities, C-42/84.</w:t>
      </w:r>
    </w:p>
    <w:p>
      <w:r>
        <w:t>14 See Point 78 of the Commission's Communication on the notion of prejudice, already cited. See also judgment of the Court of Justice of February 19, 2002, Wouters C-309/99.</w:t>
      </w:r>
    </w:p>
    <w:p>
      <w:r>
        <w:t>BULLETIN NO. 47 OF DECEMBER 14, 2009</w:t>
      </w:r>
    </w:p>
    <w:p>
      <w:r>
        <w:t>CONSIDERING that, based on the above, the agreements in question are likely to significantly prejudice, both currently and potentially, trade between Member States, trade to be understood in the dual form of the right of establishment and the free movement of services;</w:t>
      </w:r>
    </w:p>
    <w:p>
      <w:r>
        <w:t>CONSIDERING that, based on the above, the agreements related to the RIBa, RID, and Bancomat services are likely to constitute violations of Article 81 of the EC Treaty;</w:t>
      </w:r>
    </w:p>
    <w:p>
      <w:r>
        <w:t>RESOLVES</w:t>
      </w:r>
    </w:p>
    <w:p>
      <w:r>
        <w:t>a) to initiate the investigation pursuant to Article 14 of Law no. 287/90, against the Italian Banking Association and the Bancomat Consortium, to ascertain the existence of violations of Article 81 of the EC Treaty;</w:t>
      </w:r>
    </w:p>
    <w:p>
      <w:r>
        <w:t>b) to set a deadline of forty-five days from the notification of this decision for the legal representatives of the parties to exercise their right to be heard, specifying that the request for a hearing must be received by the “Credit” Directorate of the Directorate General for Competition of this Authority at least fifteen days before the expiration of the aforementioned deadline;</w:t>
      </w:r>
    </w:p>
    <w:p>
      <w:r>
        <w:t>c) that the person responsible for the procedure is Dr. Giovanni Notaro;</w:t>
      </w:r>
    </w:p>
    <w:p>
      <w:r>
        <w:t>d) that the documents of the procedure can be viewed at the “Credit” Directorate of the Directorate General for Competition of this Authority by the legal representatives of the parties, as well as by a person delegated by them;</w:t>
      </w:r>
    </w:p>
    <w:p>
      <w:r>
        <w:t>e) that the procedure must be concluded by October 31, 2010.</w:t>
      </w:r>
    </w:p>
    <w:p>
      <w:r>
        <w:t>This decision will be notified to the interested parties and published in the Bulletin of the Italian Competition Authority.</w:t>
      </w:r>
    </w:p>
    <w:p>
      <w:r>
        <w:t>Against this decision, an appeal may be submitted to the TAR of Lazio, pursuant to Article 33, paragraph 1, of Law no. 287/90, within sixty days from the date of notification of the decision itself, or an extraordinary appeal may be proposed to the President of the Republic, pursuant to Article 8, paragraph 2, of the Decree of the President of the Republic of November 24, 1971, no. 1199, within one hundred and twenty days from the date of notification of the decision itself.</w:t>
      </w:r>
    </w:p>
    <w:p>
      <w:r>
        <w:t>THE SECRETARY GENERAL THE PRESIDENT</w:t>
      </w:r>
    </w:p>
    <w:p>
      <w:r>
        <w:t>Luigi Fiorentino Antonio Catricalà</w:t>
      </w:r>
    </w:p>
    <w:p>
      <w:r>
        <w:t>20 BULLETIN NO. 47 OF DECEMBER 14, 2009</w:t>
      </w:r>
    </w:p>
    <w:p>
      <w:r>
        <w:t>CONCENTRATION OPERATIONS</w:t>
      </w:r>
    </w:p>
    <w:p>
      <w:r>
        <w:t>C10284 – RMC ITALIA/LIFEGATE RADIO BROADCASTING PLANT</w:t>
      </w:r>
    </w:p>
    <w:p>
      <w:r>
        <w:t>Decision no. 20518</w:t>
      </w:r>
    </w:p>
    <w:p>
      <w:r>
        <w:t>THE ITALIAN COMPETITION AUTHORITY</w:t>
      </w:r>
    </w:p>
    <w:p>
      <w:r>
        <w:t>IN ITS MEETING of November 25, 2009;</w:t>
      </w:r>
    </w:p>
    <w:p>
      <w:r>
        <w:t>HEARD the Rapporteur Professor Carla Bedogni;</w:t>
      </w:r>
    </w:p>
    <w:p>
      <w:r>
        <w:t>HAVING REGARD to Law of October 10, 1990, no. 287;</w:t>
      </w:r>
    </w:p>
    <w:p>
      <w:r>
        <w:t>HAVING REGARD to the act of the company GRUPPO FINELCO S.p.A., received on September 29, 2009;</w:t>
      </w:r>
    </w:p>
    <w:p>
      <w:r>
        <w:t>HAVING REGARD to the request for opinion to the Authority for Guarantees in Communications, sent on October 20, 2009, pursuant to Article 1, paragraph 6, letter c), no. 11, of Law of July 31, 1997, no. 249;</w:t>
      </w:r>
    </w:p>
    <w:p>
      <w:r>
        <w:t>HAVING REGARD to the opinion of the Authority for Guarantees in Communications received on November 18, 2009, pursuant to Article 1, paragraph 6, letter c), no. 11, of Law of July 31, 1997, no. 249;</w:t>
      </w:r>
    </w:p>
    <w:p>
      <w:r>
        <w:t>CONSIDERING the following:</w:t>
      </w:r>
    </w:p>
    <w:p>
      <w:r>
        <w:t>I. THE PARTIES</w:t>
      </w:r>
    </w:p>
    <w:p>
      <w:r>
        <w:t>RMC ITALIA S.r.l. (hereinafter, RMC) is the holder of the concession for the exercise of commercial sound broadcasting at the national level through the radio station “Radio Monte Carlo”.</w:t>
      </w:r>
    </w:p>
    <w:p>
      <w:r>
        <w:t>RMC is wholly owned by GRUPPO FINELCO S.p.A. (hereinafter, Gruppo Finelco), a company active in the production and transmission of radio programs and in the marketing of related advertising spaces. Gruppo Finelco is subject to joint control by RCS Media Group S.p.A. (RCS), Unibas Consultadoria e Servicios Lda, and several individuals1.</w:t>
      </w:r>
    </w:p>
    <w:p>
      <w:r>
        <w:t>In 2008, the consolidated revenue of RCS worldwide was approximately 3 billion euros, of which 977 million euros in the European Union and nearly 2 billion euros in Italy. In the same year, the consolidated revenue of Gruppo Finelco was 75.4 million euros, entirely generated in Italy.</w:t>
      </w:r>
    </w:p>
    <w:p>
      <w:r>
        <w:t>LIFEGATE RADIO S.p.A. (hereinafter, Lifegate) is a company holding the concession for the exercise of commercial sound broadcasting at the local level through the radio station “LifeGate Radio 2”.</w:t>
      </w:r>
    </w:p>
    <w:p>
      <w:r>
        <w:t>In 2008, the revenues generated by Lifegate amounted to approximately 1.7 million euros, as reported in the financial statements as of December 31, 2008.</w:t>
      </w:r>
    </w:p>
    <w:p>
      <w:r>
        <w:t>1 See decision no. 16980 of June 21, 2007, C8507 - RCS MEDIAGROUP/GRUPPO FINELCO, in Bulletin no. 25/07.</w:t>
      </w:r>
    </w:p>
    <w:p>
      <w:r>
        <w:rPr>
          <w:b/>
        </w:rPr>
        <w:t>[Pages 19–21]</w:t>
      </w:r>
    </w:p>
    <w:p>
      <w:r>
        <w:t>BULLETIN NO. 47 OF DECEMBER 14, 2009 21</w:t>
      </w:r>
    </w:p>
    <w:p>
      <w:r>
        <w:t>II. DESCRIPTION OF THE OPERATION</w:t>
      </w:r>
    </w:p>
    <w:p>
      <w:r>
        <w:t>The operation in question consists of the acquisition by RMC of a business unit owned by Lifegate, consisting of the sound broadcasting facility operating from Monte Calenzone, La Crotta Romagnese (PV) on the frequency of 105.300 MHz, and the simultaneous exchange transfer to Lifegate of the sound broadcasting facility owned by RMC operating from the city of Pavia, Via XX Settembre, on the frequency of 102.200 MHz.</w:t>
      </w:r>
    </w:p>
    <w:p>
      <w:r>
        <w:t>The communicated operation is part of a project by the Finelco Group related to the acquisition of frequencies for the RMC - Radio Monte Carlo broadcaster, solely for the purpose of strengthening and improving its radio coverage within the areas and user basins served by the indicated facility.</w:t>
      </w:r>
    </w:p>
    <w:p>
      <w:r>
        <w:t>III. QUALIFICATION OF THE CONCENTRATION</w:t>
      </w:r>
    </w:p>
    <w:p>
      <w:r>
        <w:t>The communicated operation, as it involves the acquisition of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461 million euros.</w:t>
      </w:r>
    </w:p>
    <w:p>
      <w:r>
        <w:t>IV. EVALUATION OF THE CONCENTRATION</w:t>
      </w:r>
    </w:p>
    <w:p>
      <w:r>
        <w:t>For the purposes of evaluating the operation in question, the relevant markets are: a) the advertising collection market on radio; b) the infrastructure market for the transmission of radio signals via airwaves.</w:t>
      </w:r>
    </w:p>
    <w:p>
      <w:r>
        <w:t>The geographical scope of the relevant markets is national, considering the different national regulatory regimes governing the activities in question, the coverage of the network infrastructures used, as well as, with particular reference to the advertising collection market, the total number of listeners that can be reached considering the national network nature of the acquiring company.</w:t>
      </w:r>
    </w:p>
    <w:p>
      <w:r>
        <w:t>The acquisition in question does not appear capable of producing anti-competitive effects in the relevant markets. This is due to certain elements related to the positions held by the parties, as well as the structure of the markets affected by the concentration.</w:t>
      </w:r>
    </w:p>
    <w:p>
      <w:r>
        <w:t>Firstly, according to the information provided, the Finelco Group holds a 14.5% share in the radio advertising collection market. The communicated operation appears likely to produce a marginal increase in the share held by the Finelco Group in the relevant market, as it is aimed solely at improving the quality of the radio signal of RMC.</w:t>
      </w:r>
    </w:p>
    <w:p>
      <w:r>
        <w:t>Furthermore, it should be noted that this market is characterized by a rather competitive structure, considering the presence of numerous qualified players operating with significant positions in the various markets that make up the advertising sector. Indeed, qualified operators such as RAI, Il Gruppo Editoriale L’Espresso, Radio Dimensione Suono, and Radio e Reti are present, each holding a market share exceeding 10%.</w:t>
      </w:r>
    </w:p>
    <w:p>
      <w:r>
        <w:t>22 BULLETIN NO. 47 OF DECEMBER 14, 2009</w:t>
      </w:r>
    </w:p>
    <w:p>
      <w:r>
        <w:t>As a result of the operation, regarding the infrastructure market for the transmission of radio signals via airwaves, the percentage of the national population covered by the Finelco Group through the RMC radio broadcaster will remain virtually unchanged. Therefore, the operation in question does not seem likely to alter the competitive structures of the aforementioned market.</w:t>
      </w:r>
    </w:p>
    <w:p>
      <w:r>
        <w:t>In light of the positions held by the parties, as well as the competitive structure of the relevant markets, this operation does not appear capable of leading to the establishment or strengthening of a dominant position in the radio advertising collection markets and the infrastructure for the transmission of radio signals via airwaves.</w:t>
      </w:r>
    </w:p>
    <w:p>
      <w:r>
        <w:t>V. THE OPINION OF THE AUTHORITY FOR GUARANTEES IN COMMUNICATIONS</w:t>
      </w:r>
    </w:p>
    <w:p>
      <w:r>
        <w:t>By act received on November 18, 2009, pursuant to Article 1, paragraph 6, letter c), no. 11, of Law no. 249 of July 31, 1997, the Authority for Guarantees in Communications expressed a favorable opinion on the draft provision of the Authority, noting that the concentration in question is not likely to lead, pursuant to Article 6, paragraph 1, of Law no. 287/90, to the establishment of a dominant position in the relevant markets that would eliminate or substantially and durably reduce competition.</w:t>
      </w:r>
    </w:p>
    <w:p>
      <w:r>
        <w:t>IT IS THEREFORE CONSIDERED, in accordance with the opinion of the Authority for Guarantees in Communications, that the operation in question does not lead, pursuant to Article 6, paragraph 1, of Law no. 287/90, to the establishment or strengthening of a dominant position in the relevant markets that would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Italian Competition Authority.</w:t>
      </w:r>
    </w:p>
    <w:p>
      <w:r>
        <w:t>THE SECRETARY GENERAL THE PRESIDENT</w:t>
      </w:r>
    </w:p>
    <w:p>
      <w:r>
        <w:t>Luigi Fiorentino Antonio Catricalà</w:t>
      </w:r>
    </w:p>
    <w:p>
      <w:r>
        <w:t>BULLETIN NO. 47 OF DECEMBER 14, 2009 23</w:t>
      </w:r>
    </w:p>
    <w:p>
      <w:r>
        <w:t>C10330 - AGUSTAWESTLAND/WYTWÒRNIA SPRZETU KOMUNIKACYJNEGO PZL-SWIDNIK</w:t>
      </w:r>
    </w:p>
    <w:p>
      <w:r>
        <w:t>Provision no. 20519</w:t>
      </w:r>
    </w:p>
    <w:p>
      <w:r>
        <w:t>THE ITALIAN COMPETITION AUTHORITY</w:t>
      </w:r>
    </w:p>
    <w:p>
      <w:r>
        <w:t>IN ITS MEETING of November 25, 2009;</w:t>
      </w:r>
    </w:p>
    <w:p>
      <w:r>
        <w:t>HEARD the Rapporteur Dr. Antonio Pilati;</w:t>
      </w:r>
    </w:p>
    <w:p>
      <w:r>
        <w:t>VIEWED Law no. 287 of October 10, 1990;</w:t>
      </w:r>
    </w:p>
    <w:p>
      <w:r>
        <w:t>VIEWED the communication from AgustaWestland N.V., received on November 4, 2009;</w:t>
      </w:r>
    </w:p>
    <w:p>
      <w:r>
        <w:t>CONSIDERED the following:</w:t>
      </w:r>
    </w:p>
    <w:p>
      <w:r>
        <w:t>I. THE PARTIES</w:t>
      </w:r>
    </w:p>
    <w:p>
      <w:r>
        <w:t>AgustaWestland N.V. (hereinafter, AgustaWestland) is a Dutch holding company at the head of a group of companies active worldwide in the helicopter manufacturing sector and in the provision of services related to such aircraft. The range of products offered by AgustaWestland includes, in particular, helicopters belonging to the main weight categories, which can be adapted and used in various types of activities in both the civil and military sectors.</w:t>
      </w:r>
    </w:p>
    <w:p>
      <w:r>
        <w:t>AgustaWestland is controlled by Finmeccanica S.p.A. (hereinafter, Finmeccanica), which holds 100% of its share capital; Finmeccanica is a company at the head of the eponymous international group (hereinafter, Finmeccanica Group) active in various sectors of technology and defense. The activities carried out by the Finmeccanica Group can be grouped into seven main sectors: (1) helicopters (for civil or military use)1; (2) aeronautics (aircraft and defense systems, aircraft for special and transport missions, civil regional aircraft, military training aircraft, maintenance and conversion services for cargo aircraft); (3) space (construction of space and satellite systems and provision of value-added services based on satellites); (4) defense systems (land, naval, and aeronautical weapon systems, sonar systems, and underwater armaments, missile systems); (5) energy (turnkey construction of plants and components for energy production and fuel cells); (6) transport (guided transport systems, both rail and urban, rolling stock, signaling and traffic control systems, buses, and other urban transport systems); (7) electronic systems for security and defense.</w:t>
      </w:r>
    </w:p>
    <w:p>
      <w:r>
        <w:t>Finmeccanica is a publicly traded company under Italian law. No company or individual holds, directly or indirectly, a percentage equal to or greater than 50% of the voting rights or share capital of Finmeccanica. The Italian Government, through the Ministry of Economy and Finance, holds approximately 30.2% of the share capital of Finmeccanica. The remaining portion of the capital is floating.</w:t>
      </w:r>
    </w:p>
    <w:p>
      <w:r>
        <w:t>In 2008, the consolidated turnover achieved worldwide by the Finmeccanica group was approximately 13.6 billion euros, of which approximately [8-9]2 billion euros were achieved in the European Union and approximately [3-4] billion euros were achieved in Italy.</w:t>
      </w:r>
    </w:p>
    <w:p>
      <w:r>
        <w:t xml:space="preserve">1 These activities are carried out exclusively through AgustaWestland. </w:t>
        <w:br/>
        <w:t>2 In this version, some data are omitted, as it was deemed that there were elements of confidentiality or secrecy of the information.</w:t>
      </w:r>
    </w:p>
    <w:p>
      <w:r>
        <w:rPr>
          <w:b/>
        </w:rPr>
        <w:t>[Pages 22–24]</w:t>
      </w:r>
    </w:p>
    <w:p>
      <w:r>
        <w:t>24 BULLETIN NO. 47 OF DECEMBER 14, 2009</w:t>
      </w:r>
    </w:p>
    <w:p>
      <w:r>
        <w:t>Wytwornia Sprzetu Komunikacyjnego PZL-Swidnik S.A. (hereinafter, PZL) is a Polish law company at the head of the eponymous group and is active in the production of helicopters and the supply of avionics components for large aircraft manufacturers. The main sectors in which PZL operates are as follows: (i) production and supply of aerostructural components within cooperation projects in the aerospace industry; (ii) production of civil and military helicopters; (iii) production and distribution of spare parts for helicopters; (iv) provision of maintenance, repair, and overhaul (“MRO”) services for helicopters.</w:t>
      </w:r>
    </w:p>
    <w:p>
      <w:r>
        <w:t>PZL is controlled by ARP. ARP is an agency wholly owned by the Polish Ministry of Treasury, whose purpose is to provide adequate support to Polish companies – through the sale of majority share packages and restructuring activities – in order to improve their level of competitiveness, in compliance with and according to the principles of a market economy.</w:t>
      </w:r>
    </w:p>
    <w:p>
      <w:r>
        <w:t>In 2008, PZL achieved a consolidated global turnover of approximately [100-461] million euros, of which approximately [100-461] million euros from sales in Europe and approximately [10-46] million euros from sales in Italy.</w:t>
      </w:r>
    </w:p>
    <w:p>
      <w:r>
        <w:t>II. DESCRIPTION OF THE OPERATION</w:t>
      </w:r>
    </w:p>
    <w:p>
      <w:r>
        <w:t>The operation in question consists of the acquisition, by AgustaWestland, of approximately 87.62% of the share capital of PZL from ARP. To this end, AgustaWestland and ARP have entered into a Preliminary Share Purchase Agreement (hereinafter, the Agreement).</w:t>
      </w:r>
    </w:p>
    <w:p>
      <w:r>
        <w:t>Considering that AgustaWestland currently holds (directly or indirectly) approximately 6% of the capital of PZL, following the completion of the operation in question, the acquirer will hold approximately 94% of the share capital of PZL.</w:t>
      </w:r>
    </w:p>
    <w:p>
      <w:r>
        <w:t>III. QUALIFICATION OF THE OPERATION</w:t>
      </w:r>
    </w:p>
    <w:p>
      <w:r>
        <w:t>The notified operation,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461 million euros.</w:t>
      </w:r>
    </w:p>
    <w:p>
      <w:r>
        <w:t>IV. EVALUATION OF THE CONCENTRATION</w:t>
      </w:r>
    </w:p>
    <w:p>
      <w:r>
        <w:t>Relevant markets</w:t>
      </w:r>
    </w:p>
    <w:p>
      <w:r>
        <w:t>Considering the activities carried out by PZL, the relevant markets for the present operation are:</w:t>
      </w:r>
    </w:p>
    <w:p>
      <w:r>
        <w:t>(i) the civil helicopter market;</w:t>
        <w:br/>
        <w:t>(ii) the military helicopter market;</w:t>
        <w:br/>
        <w:t>(iii) the aerostructural components market;</w:t>
        <w:br/>
        <w:t>(iv) the MRO services market for civil helicopters;</w:t>
      </w:r>
    </w:p>
    <w:p>
      <w:r>
        <w:t>BULLETIN NO. 47 OF DECEMBER 14, 2009 25</w:t>
      </w:r>
    </w:p>
    <w:p>
      <w:r>
        <w:t>(v) the MRO services market for military helicopters;</w:t>
        <w:br/>
        <w:t>(vi) the on-shore helicopter services market.</w:t>
      </w:r>
    </w:p>
    <w:p>
      <w:r>
        <w:t>(i) Civil helicopter market</w:t>
      </w:r>
    </w:p>
    <w:p>
      <w:r>
        <w:t>From a product perspective, the operation in question concerns the civil helicopter sector. In particular, this sector can further be distinguished based on the weight of helicopters into light and medium/large categories. It is emphasized that the use of the two types of aircraft is entirely different: light helicopters are generally used for training with helicopters, police operations, aerial photography, agricultural spraying, and power line patrolling; medium/large helicopters, on the other hand, are primarily used for transporting passengers to oil platforms and offshore areas, for executive transport, and for search and rescue operations. Each of these segments identifies a distinct product market.</w:t>
      </w:r>
    </w:p>
    <w:p>
      <w:r>
        <w:t>The geographical dimension of the light civil helicopter market is supranational, at least equal to the European Economic Area, if not even global. This is due to the total absence of significant barriers to entry, as well as the mutual interpenetration of markets between the USA, EU, and the rest of the world. It seems reasonable to extend the same considerations to the geographical dimension of the medium/large civil helicopter market. Furthermore, the European Commission considers the civil helicopter market to be of a global dimension, given the absence of entry barriers and the high level of interdependence between European, US, and global markets.</w:t>
      </w:r>
    </w:p>
    <w:p>
      <w:r>
        <w:t>(ii) Military helicopter market</w:t>
      </w:r>
    </w:p>
    <w:p>
      <w:r>
        <w:t>In the past, the European Commission preferred to leave open the possibility of subdividing this market into other sub-markets based on different uses (armed conflicts/naval sector/transport) and the different weight of the aircraft. However, in more recent decisions, the European Commission, taking a clearer stance, has considered that the market to be taken into account, in order to assess the vertical effects of concentration operations carried out in this sector, is that of military helicopters, without requiring any further segmentation.</w:t>
      </w:r>
    </w:p>
    <w:p>
      <w:r>
        <w:t>In the earlier practice of the European Commission, the military helicopter market, similar to other markets related to the military defense sector, was considered to be of national dimension only in cases where the Member State had its own national helicopter manufacturing industry. In other cases, it was believed that competitive comparison occurred at a global level. However, more recently, the European Commission has considered that the geographical dimension of markets related to the defense sector can be left open in light of the growing development of the defense industry.</w:t>
      </w:r>
    </w:p>
    <w:p>
      <w:r>
        <w:t>The Authority has also expressed its opinion on the matter. It has indeed recognized a progressive trend towards the internationalization of such markets, but has considered that, with regard to countries with their own military industry, the market should be considered of national dimensions. In this specific case, the target company PZL is not active in Italy, but primarily in Poland. Therefore, if the military helicopter market had national dimensions, it could not even be qualified as relevant for the present operation, whereas if this market had global dimensions, both PZL and AgustaWestland would be active in it.</w:t>
      </w:r>
    </w:p>
    <w:p>
      <w:r>
        <w:t>(iii) Aerostructural components market</w:t>
      </w:r>
    </w:p>
    <w:p>
      <w:r>
        <w:t>Regarding the production activity of aircraft components, it is noted that it includes, in particular, the realization of aerostructures intended to be used as components in the construction of assembled aircraft, as well as in the production of individual parts of the vehicles.</w:t>
      </w:r>
    </w:p>
    <w:p>
      <w:r>
        <w:t>In general, aircraft components can be distinguished into two segments: components used in the construction of civil vehicles and those used in the production of military vehicles. The production of components for civil aircraft is characterized by technological entry barriers determined by the need to acquire a high degree of technical and technological specialization in a short time; this production mainly responds to commercial needs. Conversely, the production of components for military vehicles is closely linked to government choices of a military-political nature and falls within the scope of political/military cooperation programs conducted at national and international levels, which can constitute an administrative barrier.</w:t>
      </w:r>
    </w:p>
    <w:p>
      <w:r>
        <w:t>The aforementioned activity concerns a vast range of products, such as engines, wings, fuselage elements, cables, metal structures, distinguishable from both a product and functional perspective. These products have different technical characteristics and various price levels, and therefore, each category could identify a distinct product market.</w:t>
      </w:r>
    </w:p>
    <w:p>
      <w:r>
        <w:t>Although it cannot be excluded, as seen, that there may be two distinct product markets for aerostructural components intended for civil aircraft and those intended for military aircraft, for the purposes of the present operation, the issue can be left open, as neither Party produces aerostructural components for military aircraft for resale to third parties; all production is indeed aimed at meeting internal needs (in-house production) and, therefore, is not relevant for the present concentration. As for the activities that are not carried out in-house and are therefore aimed at the market, it is noted that PZL is active in the production of aerostructural components intended for civil aircraft, while within the Finmeccanica group only Alenia Aeronautica (and its division Alenia Aermacchi) is active in the production of military aircraft components.</w:t>
      </w:r>
    </w:p>
    <w:p>
      <w:r>
        <w:rPr>
          <w:b/>
        </w:rPr>
        <w:t>[Pages 25–27]</w:t>
      </w:r>
    </w:p>
    <w:p>
      <w:r>
        <w:t>BULLETIN NO. 47 OF DECEMBER 14, 2009 27</w:t>
      </w:r>
    </w:p>
    <w:p>
      <w:r>
        <w:t>the production of aerostructural components intended for civil aircraft, given that Agusta Westland does not produce aerostructural components for third parties. The activity of producing components for aircraft is carried out at an international level. It is noted in this regard, in particular, in line with what was observed by the EU Commission, that the purchase of components intended for the production of aircraft occurs, at the request of aircraft manufacturers, on a global scale.</w:t>
      </w:r>
    </w:p>
    <w:p>
      <w:r>
        <w:t>(iv) Market for MRO services for civil helicopters and (v) market for MRO services for military helicopters</w:t>
      </w:r>
    </w:p>
    <w:p>
      <w:r>
        <w:t>According to the decision-making practice of the European Commission, MRO services for helicopters and for fixed-wing aircraft belong to distinct product markets, primarily due to the different level of specialization required to carry out the maintenance and repair activities of the parts that make up the helicopter rotors (blades, etc.) and due to the necessity of using special equipment to perform such activities. For the purposes of this concentration, it is also necessary to keep distinct, on one hand, the market for MRO services intended for civil helicopters and, on the other hand, the market for MRO services intended for military helicopters.</w:t>
      </w:r>
    </w:p>
    <w:p>
      <w:r>
        <w:t>With reference to MRO services for civil helicopters, the Authority, while considering that the issue may be left open, has contemplated the possibility of distinguishing between MRO services for rotors, MRO services for civil helicopters, and MRO services for civil helicopter engines. Regarding the operation in question, it is not necessary to assess the possibility of segmenting the market, given that, regardless of the exact definition of the same, the concentration is not likely to produce any effect. The value of sales made by the Parties in the MRO services market is, in fact, minimal.</w:t>
      </w:r>
    </w:p>
    <w:p>
      <w:r>
        <w:t>As for the geographical dimension, the decision-making practice of the European Commission considers that MRO services for military helicopters are generally provided on a national basis. In contrast, regarding MRO services for civil helicopters, it has been noted that each helicopter manufacturer creates its own network of maintenance centers, of national scope or even broader.</w:t>
      </w:r>
    </w:p>
    <w:p>
      <w:r>
        <w:t>According to the Authority's decision-making practice, the geographical dimension of the market for MRO services for civil helicopters is to be considered corresponding to the European Economic Area. Given this, it must be concluded that MRO services for military helicopters are part of a market of national dimension, while MRO services for civil helicopters belong to a market whose geographical extent coincides with the EEA area.</w:t>
      </w:r>
    </w:p>
    <w:p>
      <w:r>
        <w:t>In this case, PZL and AgustaWestland each provide MRO services exclusively for fleets of civil and military helicopters produced by themselves. In particular, in the military sector, the MRO activities carried out by PZL and AgustaWestland are concentrated mainly in their respective national markets. PZL does not provide MRO services for military helicopters in Italy. Therefore, since the acquired company PZL is not active in Italy in the national market for MRO services for military helicopters, this market does not constitute a relevant market for the purposes of this assessment.</w:t>
      </w:r>
    </w:p>
    <w:p>
      <w:r>
        <w:t>(vi) Market for onshore helicopter services</w:t>
      </w:r>
    </w:p>
    <w:p>
      <w:r>
        <w:t>According to the Authority's decision-making practice, within the helicopter transport services sector, it is possible to identify distinct relevant product markets, particularly that of air rescue services, firefighting services, offshore services, and corporate services. In line with the Authority's decision-making practice, it must be considered that all markets falling within the helicopter transport services sector are of national dimension.</w:t>
      </w:r>
    </w:p>
    <w:p>
      <w:r>
        <w:t>In this case, PZL is active exclusively in Spain and Poland in providing firefighting services, agricultural services, as well as air rescue services, while AgustaWestland is not active in any of the aforementioned markets. Therefore, since the acquired company PZL is not active in Italy in any of the national markets for helicopter transport services, none of these markets constitutes a relevant market for the purposes of this assessment.</w:t>
      </w:r>
    </w:p>
    <w:p>
      <w:r>
        <w:t>Effects of the operation</w:t>
      </w:r>
    </w:p>
    <w:p>
      <w:r>
        <w:t>A) Horizontal effects</w:t>
      </w:r>
    </w:p>
    <w:p>
      <w:r>
        <w:t>In the market for light civil helicopters, PZL holds a share of [less than 1%] at the level of the European Economic Area and [less than 1%] at the global level, while AgustaWestland holds a share of approximately [15-20%] at the level of the European Economic Area and [15-20%] at the global level.</w:t>
      </w:r>
    </w:p>
    <w:p>
      <w:r>
        <w:t>In the market for medium-large civil helicopters, PZL holds a share of approximately [1-5%] at the level of the European Economic Area and [less than 1%] at the global level, while AgustaWestland holds a share of approximately [25-30%] at the level of the European Economic Area and [15-20%] at the global level.</w:t>
      </w:r>
    </w:p>
    <w:p>
      <w:r>
        <w:t>In the military helicopter market, as noted, the target company PZL is not active in Italy, but primarily in Poland. Therefore, if the military helicopter market had national dimensions, it could not even be classified as relevant for the purposes of this operation, while if this market had global dimensions, both PZL and AgustaWestland would be active in it, with shares of [less than 1%] and [15-20%], respectively.</w:t>
      </w:r>
    </w:p>
    <w:p>
      <w:r>
        <w:t>In the market for aerostructural components intended for military aircraft, as noted, neither party is active, as neither Party produces aerostructural components for military aircraft for resale to third parties; all production is indeed aimed at meeting internal needs (in-house production) and, therefore, is not relevant for the purposes of this concentration.</w:t>
      </w:r>
    </w:p>
    <w:p>
      <w:r>
        <w:t>In the market for aerostructural components intended for civil aircraft, PZL and the Finmeccanica group hold, at the global level, shares of less than 1% and a share of [5-10%], respectively. It is also noted that the market for aerostructural components intended for civil aircraft constitutes an upstream market of the civil helicopter market; the vertical effects determined in these markets by the concentration in question will be addressed in the following paragraph.</w:t>
      </w:r>
    </w:p>
    <w:p>
      <w:r>
        <w:t>In the market for MRO services for civil helicopters, PZL and AgustaWestland hold shares of [5-10%] and [1-5%], respectively, at the level of the EEA. Furthermore, as noted, since the acquired company PZL is not active in Italy in the national market for MRO services for military helicopters, this market does not constitute a relevant market for the purposes of this assessment.</w:t>
      </w:r>
    </w:p>
    <w:p>
      <w:r>
        <w:t>Finally, as noted, since the acquired company PZL is not active in Italy in any of the national markets for helicopter transport services, none of these markets constitutes a relevant market for the purposes of this assessment.</w:t>
      </w:r>
    </w:p>
    <w:p>
      <w:r>
        <w:t>B) Vertical effects</w:t>
      </w:r>
    </w:p>
    <w:p>
      <w:r>
        <w:t>Considering that the Finmeccanica Group is also active in the markets of (vii) avionic products for military applications and (viii) military armaments, the concentration in question will result in a vertical integration between an operator – the Finmeccanica Group – present in the two aforementioned markets (vii) and (viii), which constitute upstream markets, and an operator – PZL – present, along with the Finmeccanica Group itself, in the market (ii) for military helicopters, which constitutes the downstream market of the former.</w:t>
      </w:r>
    </w:p>
    <w:p>
      <w:r>
        <w:t>With reference to the potential vertical restrictions resulting from the operation, the following observations are made regarding (a) input foreclosure and (b) customer foreclosure.</w:t>
      </w:r>
    </w:p>
    <w:p>
      <w:r>
        <w:t>a) Input foreclosure. The notifying Party estimates that the Finmeccanica Group's sales share in the market for (vii) avionic products for military applications at the global level is approximately [5-10%]; the Finmeccanica Group is also present globally in the segments into which the market (vii) can be divided, namely mission avionics products ([1-5%]), electro-optical systems ([1-5%]), avionic radars ([10-15%]), electronic defense devices (less than 25%), and control systems for torpedoes and missiles (less than 25%). Regarding the market for (viii) military armaments, the notifying Party has estimated the shares held globally by the Finmeccanica Group in the three segments of this market where it is active, namely missiles ([20-25%]), torpedoes ([10-15%]), and air application weapon systems (less than 5%). Given the limited size of these shares, the operation in question does not appear capable of excluding competitors active in the downstream market (ii) for military helicopters from access to the upstream markets (vii) and (viii).</w:t>
      </w:r>
    </w:p>
    <w:p>
      <w:r>
        <w:t>b) Customer foreclosure. As noted, the estimated global share of AgustaWestland will amount to approximately [15-20%] in the market (ii) for military helicopters. Therefore, the operation in question does not appear to be capable of foreclosing customers from accessing the markets upstream of the military helicopters market.</w:t>
      </w:r>
    </w:p>
    <w:p>
      <w:r>
        <w:t>For completeness, it is noted that the same shares evaluated in volume would be approximately [less than 1%] and [15-20%], respectively.</w:t>
      </w:r>
    </w:p>
    <w:p>
      <w:r>
        <w:rPr>
          <w:b/>
        </w:rPr>
        <w:t>[Pages 28–30]</w:t>
      </w:r>
    </w:p>
    <w:p>
      <w:r>
        <w:t>30 BULLETIN NO. 47 OF DECEMBER 14, 2009</w:t>
      </w:r>
    </w:p>
    <w:p>
      <w:r>
        <w:t>The examination does not appear capable of excluding active competitors in the upstream markets sub (vii) and (viii) from access to the downstream market sub (ii) of military helicopters. Finally, it is noted, for the sake of completeness, that the market for (iii) aerostructural components intended for civil aircraft constitutes an upstream market of the (i) civil helicopters market. As seen, both PZL and the Finmeccanica Group are present in both markets. Following the concentration, as noted, the Finmeccanica Group will hold a global market share in the market for (iii) aerostructural components intended for civil aircraft of less than 7%, while the share of the same Finmeccanica Group in the global market for (i) civil helicopters will be less than 20%. Therefore, in these markets as well, the shares of the Finmeccanica Group will not be sufficient to create significant input or customer foreclosure effects.</w:t>
      </w:r>
    </w:p>
    <w:p>
      <w:r>
        <w:t>In all the markets (i)-(viii) considered, there are numerous and qualified competitors. In conclusion, it is observed that this concentration, while affecting numerous markets, will result in modest horizontal overlaps between the activities of the acquired company and the activities of the acquiring group, given that the shares held by the acquiring group will experience a modest increase in each of the relevant markets; moreover, the level of shares held by the Finmeccanica Group after the operation in the relevant markets will not create any dominant position in those markets. The concentration under examination will also result in limited vertical integrations between the activities of the parties, given that the acquired company and the acquiring group are active, with moderate shares, in markets where vertical relationships exist; furthermore, the level of shares held by the Finmeccanica Group after the operation in those markets does not appear capable of creating appreciable input and customer foreclosure effects.</w:t>
      </w:r>
    </w:p>
    <w:p>
      <w:r>
        <w:t>In light of the above considerations, it is believed that in the relevant markets the operation will not have detrimental effects on competition, not resulting in substantial changes in the competitive structure of the same.</w:t>
      </w:r>
    </w:p>
    <w:p>
      <w:r>
        <w:t>IT IS THEREFORE CONSIDERED that the operation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Luigi Fiorentino Antonio Catricalà</w:t>
      </w:r>
    </w:p>
    <w:p>
      <w:r>
        <w:t>BULLETIN NO. 47 OF DECEMBER 14, 2009 31</w:t>
      </w:r>
    </w:p>
    <w:p>
      <w:r>
        <w:t>C10331 - DELAVILLE/PARMA HOTEL-COLIBRÌ</w:t>
      </w:r>
    </w:p>
    <w:p>
      <w:r>
        <w:t>Provision No. 20520</w:t>
      </w:r>
    </w:p>
    <w:p>
      <w:r>
        <w:t>THE ITALIAN COMPETITION AUTHORITY</w:t>
      </w:r>
    </w:p>
    <w:p>
      <w:r>
        <w:t>IN ITS MEETING of November 25, 2009;</w:t>
      </w:r>
    </w:p>
    <w:p>
      <w:r>
        <w:t>HEARD the Rapporteur Dr. Antonio Pilati;</w:t>
      </w:r>
    </w:p>
    <w:p>
      <w:r>
        <w:t>HAVING REGARD to Law No. 287 of October 10, 1990;</w:t>
      </w:r>
    </w:p>
    <w:p>
      <w:r>
        <w:t>HAVING REGARD to the communication from Delaville S.r.l., received on November 6, 2009;</w:t>
      </w:r>
    </w:p>
    <w:p>
      <w:r>
        <w:t>CONSIDERED the following:</w:t>
      </w:r>
    </w:p>
    <w:p>
      <w:r>
        <w:t>I. THE PARTIES</w:t>
      </w:r>
    </w:p>
    <w:p>
      <w:r>
        <w:t>Delaville S.r.l. (hereinafter, Dlv) is an Italian company specifically established for the operation under examination; its corporate purpose is the management of hotels and catering activities, also through the acquisition or leasing of businesses and business branches operating in the sector.</w:t>
      </w:r>
    </w:p>
    <w:p>
      <w:r>
        <w:t>Dlv belongs to the Barilla group, particularly active in the production and marketing of bakery-type foods and related to the so-called first course (pasta, sauces, etc.).</w:t>
      </w:r>
    </w:p>
    <w:p>
      <w:r>
        <w:t>The control of Dlv is attributable, through the company Baring S.r.l., to the company Guido M. Barilla and F.lli S.r.l. &amp; C. Limited Partnership.</w:t>
      </w:r>
    </w:p>
    <w:p>
      <w:r>
        <w:t>The Barilla group achieved, during 2008, a total turnover of 4.5 billion euros, of which 2.0 and 1.9 billion for sales generated respectively in the European Union and in Italy.</w:t>
      </w:r>
    </w:p>
    <w:p>
      <w:r>
        <w:t>Parma Hotel S.p.A. in liquidation and in preventive agreement (hereinafter, Ph) is an Italian company owning a hotel business, with an associated ancillary activity of food and beverage service currently inactive, including a conference center and located in the municipality of Parma.</w:t>
      </w:r>
    </w:p>
    <w:p>
      <w:r>
        <w:t>The share capital of Ph is held by five individuals.</w:t>
      </w:r>
    </w:p>
    <w:p>
      <w:r>
        <w:t>Ph achieved, during 2008 and entirely in Italy, a total turnover of 3.7 million euros.</w:t>
      </w:r>
    </w:p>
    <w:p>
      <w:r>
        <w:t>Colibrì S.r.l. in preventive agreement (hereinafter, Clb) is an Italian company owning a food and beverage service business operated in the form of an American bar and located in the municipality of Parma.</w:t>
      </w:r>
    </w:p>
    <w:p>
      <w:r>
        <w:t>The share capital of Clb is held by the same five individuals who are shareholders of Ph.</w:t>
      </w:r>
    </w:p>
    <w:p>
      <w:r>
        <w:t>Clb achieved, during 2008 and entirely in Italy, a total turnover of 0.4 million euros.</w:t>
      </w:r>
    </w:p>
    <w:p>
      <w:r>
        <w:t>II. DESCRIPTION OF THE OPERATIONS</w:t>
      </w:r>
    </w:p>
    <w:p>
      <w:r>
        <w:t>The communication under examination concerns the acquisition, by Dlv and thus by the Barilla group, of control over Ph and Clb through the signing of separate two-year lease contracts. Neither Ph nor Clb have other activities, and thus, once the bankruptcy procedure and the subsequent liquidation phase are completed, these companies will cease to exist.</w:t>
      </w:r>
    </w:p>
    <w:p>
      <w:r>
        <w:t>32 BULLETIN NO. 47 OF DECEMBER 14, 2009</w:t>
      </w:r>
    </w:p>
    <w:p>
      <w:r>
        <w:t>III. QUALIFICATION OF THE OPERATIONS</w:t>
      </w:r>
    </w:p>
    <w:p>
      <w:r>
        <w:t>The communicated operations, as they involve the acquisition of control over multiple companies, constitute multiple concentrations pursuant to Article 5, paragraph 1 letter b), of Law No. 287/90.</w:t>
      </w:r>
    </w:p>
    <w:p>
      <w:r>
        <w:t>They fall within the scope of application of Law No. 287/90 as the conditions of Article 1 of Regulation EC 139/04 are not met, and are subject to the obligation of prior notification provided for by Article 16, paragraph 1, of the same law as the total turnover achieved, in the last financial year at the national level, by the set of interested companies was greater than 461 million euros.</w:t>
      </w:r>
    </w:p>
    <w:p>
      <w:r>
        <w:t>IV. EVALUATION OF THE CONCENTRATIONS</w:t>
      </w:r>
    </w:p>
    <w:p>
      <w:r>
        <w:t>The product market</w:t>
      </w:r>
    </w:p>
    <w:p>
      <w:r>
        <w:t>From a commodity perspective, the sectors affected by the operations under examination are those of hotel activities in which Ph operates and food and beverage service activities in which Clb operates.</w:t>
      </w:r>
    </w:p>
    <w:p>
      <w:r>
        <w:t>(i) In Italy, the first of these sectors is characterized, on the one hand, by a demand that represents the accommodation and hospitality needs expressed by people traveling for tourism and/or work, that is, by consumers of leisure services and business users. On the other hand, the supply is significantly fragmented as—in a context of absence of particular barriers to entry—there are a very high number of operators, only a limited fraction of which belong to networks or chains of hotel establishments, although in recent years there has been a growing importance of this category.</w:t>
      </w:r>
    </w:p>
    <w:p>
      <w:r>
        <w:t>Hotel chains are networks operating under a single brand and comprising at least twenty accommodation facilities; they exploit the synergies arising from the management of multiple hotel establishments (belonging to one or more economic entities). In particular, these are economies of scale (especially in the marketing of their services, in staff training, and in the use of technological and service know-how), a clear positioning of the product with a single brand, and qualitative homogeneity among the various establishments of the chain, with the possibility of employing loyalty techniques (the customer will tend to choose the hotel in which to stay also taking into account the characteristics they already know as associated with a particular chain/brand).</w:t>
      </w:r>
    </w:p>
    <w:p>
      <w:r>
        <w:t>In general, within the hotel sector, multiple distinct product markets can be identified with reference to the differences existing between the various establishments, in relation to the factors that influence consumer choices, such as type, size, services offered, geographical location, and prices. These distinguishing elements affect consumer preferences, thus limiting the substitutability between hotel establishments to the subset of those that present and offer similar characteristics.</w:t>
      </w:r>
    </w:p>
    <w:p>
      <w:r>
        <w:t>The definition of the relevant product market cannot indeed encompass the entirety of hotels present in a given geographical area, precisely because of the aforementioned differentiations; it is therefore necessary to refer to the set of hotels that can be considered substitutable from the consumer's perspective.</w:t>
      </w:r>
    </w:p>
    <w:p>
      <w:r>
        <w:rPr>
          <w:b/>
        </w:rPr>
        <w:t>[Pages 31–33]</w:t>
      </w:r>
    </w:p>
    <w:p>
      <w:r>
        <w:t>BULLETIN NO. 47 OF DECEMBER 14, 2009 33</w:t>
      </w:r>
    </w:p>
    <w:p>
      <w:r>
        <w:t>For example, hotels generally classified as luxury (or 5-star or higher category) are characterized by classical architecture, a normally limited number of rooms, and a location in the city center, providing a particularly prestigious accommodation service. Hotels classified between 4 and 5 stars, on the other hand, are characterized by more modern architecture, a higher number of rooms, and a location closer to airports or access routes to cities (this type of accommodation, often related to chains, is generally preferred by business clientele or organized tourism). Hotels with a lower classification are often small and not part of chains (possibly family-run); other accommodation solutions are represented by residences (halfway between hotels and rental apartments) and resorts (villages that also offer entertainment activities). However, sometimes the diversity of individual consumer needs and the variety of local situations may mean that, at least within certain limits, even accommodations belonging to different categories can be considered interchangeable, thereby altering the overall segmentation.</w:t>
      </w:r>
    </w:p>
    <w:p>
      <w:r>
        <w:t>In any case, in this specific instance, given the absence of overlaps between the activities of the parties, it is not necessary to arrive at a more precise delineation of the product market.</w:t>
      </w:r>
    </w:p>
    <w:p>
      <w:r>
        <w:t>(ii) Commercial catering consists particularly of the activity of serving food and beverages to the public. This activity can be carried out by various types of commercial establishments: from bars that serve only drinks and sweets to establishments that also offer fast food service (snack bars, fast food, cafeterias, self-service, take-away restaurants, pizzerias by the slice, all modes that offer consumers highly interchangeable products and services), to traditional venues (restaurants, pizzerias, trattorias, etc.) with table service. Each of these establishments is associated with at least one of the licenses related to: (a) catering services, (b) serving beverages and sweets.</w:t>
      </w:r>
    </w:p>
    <w:p>
      <w:r>
        <w:t>Fast food, strictly speaking, appears as a distinct market compared to other categories of non-domestic catering. It indeed offers consumers a very specific type of service (ready meals in a few minutes, low prices, extended or continuous opening hours) that makes it poorly substitutable.</w:t>
      </w:r>
    </w:p>
    <w:p>
      <w:r>
        <w:t>For the purposes of this assessment, however, it does not seem necessary to establish whether bars and establishments with fast food services identify a distinct market compared to traditional catering, or whether they all fall within the broader market of catering.</w:t>
      </w:r>
    </w:p>
    <w:p>
      <w:r>
        <w:t>The geographical market</w:t>
      </w:r>
    </w:p>
    <w:p>
      <w:r>
        <w:t>(i) Regarding geographical relevance, the hotel market presents limited dimensions, essentially corresponding to the municipal territory (of Parma in this specific case). Tourists or those traveling for business tend to direct themselves towards accommodation solutions located as close as possible to their destination, or near the places where activities will take place during their stay.</w:t>
      </w:r>
    </w:p>
    <w:p>
      <w:r>
        <w:t>The geographical scope can, however, be extended—especially in the case of smaller centers—to neighboring locations to the municipality in question, to the extent that such locations are well connected and, therefore, easily reachable.</w:t>
      </w:r>
    </w:p>
    <w:p>
      <w:r>
        <w:t>(ii) The commercial catering market also has a local dimension, not exceeding the boundaries of the municipality in question, due to consumer purchasing behaviors and, in particular, the importance they attribute to the proximity of dining establishments.</w:t>
      </w:r>
    </w:p>
    <w:p>
      <w:r>
        <w:t>Therefore, the relevant geographical market for the purposes of the operation under examination can be assumed on a municipal scale, corresponding particularly to the municipality of Parma where the commercial establishment of Clb is located.</w:t>
      </w:r>
    </w:p>
    <w:p>
      <w:r>
        <w:t>Effects of the operation</w:t>
      </w:r>
    </w:p>
    <w:p>
      <w:r>
        <w:t>(i) The hotel structure of Ph belongs to the higher category and has a predominantly business clientele, being the only 5-star facility present in the municipality of Parma. Expanding the analysis to include 4-star facilities as potential substitutes from the demand side, Ph represents 13% of total presences (6.5% considering the overall accommodation offer of Parma).</w:t>
      </w:r>
    </w:p>
    <w:p>
      <w:r>
        <w:t>In any case, the acquiring group is not present in the hotel activities sector in the municipality of Parma, an area affected by this operation which will therefore result in the replacement of one operator with another.</w:t>
      </w:r>
    </w:p>
    <w:p>
      <w:r>
        <w:t>(ii) The commercial catering market is characterized by extreme fragmentation and pulverization of the offer and by a wide variety of organizational solutions due, among other things, to the widespread presence of family-run businesses. Moreover, the acquiring group is not present in the territorial area of the municipality of Parma, thus also resulting in the replacement of one operator with another in this case.</w:t>
      </w:r>
    </w:p>
    <w:p>
      <w:r>
        <w:t>In light of the above considerations, the concentrations under examination do not appear to be suitable for significantly altering competitive dynamics in the relevant markets.</w:t>
      </w:r>
    </w:p>
    <w:p>
      <w:r>
        <w:t>THEREFORE, it is deemed that the operations under examination do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The provision will be published in the Bulletin of the Italian Competition Authority.</w:t>
      </w:r>
    </w:p>
    <w:p>
      <w:r>
        <w:t>THE SECRETARY GENERAL THE PRESIDENT</w:t>
      </w:r>
    </w:p>
    <w:p>
      <w:r>
        <w:t>Luigi Fiorentino Antonio Catricalà</w:t>
      </w:r>
    </w:p>
    <w:p>
      <w:r>
        <w:t>BULLETIN NO. 47 OF DECEMBER 14, 2009 35</w:t>
      </w:r>
    </w:p>
    <w:p>
      <w:r>
        <w:t>C10332 - COOPSERVICE/BRANCHES OF CITTÀ SICURA</w:t>
      </w:r>
    </w:p>
    <w:p>
      <w:r>
        <w:t>Provision no. 20521</w:t>
      </w:r>
    </w:p>
    <w:p>
      <w:r>
        <w:t>THE ITALIAN COMPETITION AUTHORITY</w:t>
      </w:r>
    </w:p>
    <w:p>
      <w:r>
        <w:t>IN ITS MEETING of November 25, 2009;</w:t>
      </w:r>
    </w:p>
    <w:p>
      <w:r>
        <w:t>HEARD the Rapporteur Dr. Antonio Pilati;</w:t>
      </w:r>
    </w:p>
    <w:p>
      <w:r>
        <w:t>HAVING REGARD TO Law of October 10, 1990, no. 287;</w:t>
      </w:r>
    </w:p>
    <w:p>
      <w:r>
        <w:t>HAVING REGARD TO the communication from Coopservice Società Cooperativa p.A., received on November 6, 2009;</w:t>
      </w:r>
    </w:p>
    <w:p>
      <w:r>
        <w:t>CONSIDERED the following:</w:t>
      </w:r>
    </w:p>
    <w:p>
      <w:r>
        <w:t>I. THE PARTIES</w:t>
      </w:r>
    </w:p>
    <w:p>
      <w:r>
        <w:t>Coopservice Società Cooperativa p.A. (hereinafter Coopservice), under Italian law, is primarily active in three sectors: cleaning and sanitization, particularly in the healthcare field; facility management, with reference, among others, to civil and industrial cleaning, goods handling, and global logistics and management services; security and armed surveillance for multiple purposes (anti-robbery, anti-shoplifting, transport and escort of valuables, etc.) and methods (guarding, video surveillance, tele-surveillance, etc.).</w:t>
      </w:r>
    </w:p>
    <w:p>
      <w:r>
        <w:t>The share capital of Coopservice is distributed among many individuals, none of whom can individually exercise control as the voting rights are unitary and independent of the share held.</w:t>
      </w:r>
    </w:p>
    <w:p>
      <w:r>
        <w:t>In 2008, Coopservice achieved a total turnover of 539.5 million euros entirely in Italy.</w:t>
      </w:r>
    </w:p>
    <w:p>
      <w:r>
        <w:t>The subject of acquisition is the branches of business of Città Sicura S.r.l., represented by armed security services, carried out by employed security guards, and concierge services, both provided in the territories of the provinces of Chieti and Pescara.</w:t>
      </w:r>
    </w:p>
    <w:p>
      <w:r>
        <w:t>Città Sicura S.r.l. is owned by two individuals, who hold equal shares.</w:t>
      </w:r>
    </w:p>
    <w:p>
      <w:r>
        <w:t>In 2008, Città Sicura S.r.l. achieved a turnover of 0.8 million euros in Italy, entirely attributable to the branches of business subject to transfer.</w:t>
      </w:r>
    </w:p>
    <w:p>
      <w:r>
        <w:t>II. DESCRIPTION OF THE OPERATION</w:t>
      </w:r>
    </w:p>
    <w:p>
      <w:r>
        <w:t>The operation in question concerns the acquisition by Coopservice of the branches of business of Città Sicura S.r.l. described above. In particular, the branches of business subject to the operation consist of the complex of assets, relationships, credits, and liabilities related to it, including both tangible and intangible assets used for the exercise of the activities subject to transfer, except for the leasing contract.</w:t>
      </w:r>
    </w:p>
    <w:p>
      <w:r>
        <w:t>The operation responds to the buyer's objective of increasing its currently marginal presence in armed security, guarding, and concierge services in the operational territories of the acquired company.</w:t>
      </w:r>
    </w:p>
    <w:p>
      <w:r>
        <w:rPr>
          <w:b/>
        </w:rPr>
        <w:t>[Pages 34–36]</w:t>
      </w:r>
    </w:p>
    <w:p>
      <w:r>
        <w:t>36 BULLETIN NO. 47 OF DECEMBER 14, 2009</w:t>
      </w:r>
    </w:p>
    <w:p>
      <w:r>
        <w:t>The operation also includes a non-compete clause, under which the transferring company and its directors commit, for a period of five years and with respect to the territory of the provinces of Chieti and Pescara, or without geographical limits in the case of clients included in the business branches subject to transfer, not to engage - directly or indirectly - in any activity likely to divert the clientele of such business branches.</w:t>
      </w:r>
    </w:p>
    <w:p>
      <w:r>
        <w:t>III. QUALIFICATION OF THE OPERATION</w:t>
      </w:r>
    </w:p>
    <w:p>
      <w:r>
        <w:t>The communicated operation, as it involves the acquisition of exclusive control over parts of a business, constitutes a concentration pursuant to Article 5, paragraph 1, letter b), of Law no. 287/90.</w:t>
      </w:r>
    </w:p>
    <w:p>
      <w:r>
        <w:t>It falls within the scope of application of Law no. 287/90 as the conditions set out in Article 1 of Regulation EC 139/04 are not met, and it is subject to the obligation of prior notification provided for by Article 16, paragraph 1, of the same law, as the total turnover achieved, in the last financial year at the national level, by the group of companies involved exceeded 461 million euros.</w:t>
      </w:r>
    </w:p>
    <w:p>
      <w:r>
        <w:t>The non-compete agreement described above can be qualified as ancillary to the communicated concentration to the extent that it contains restrictions directly related to the realization of the operation and necessary for it. In particular, in this case, the commitment made by the sellers and the directors benefits the purchaser and responds to the need to ensure the transfer of the actual value of the acquisition to the latter. However, in order not to exceed the limits of what is reasonably required for this purpose, it is necessary that the duration be limited to two years, given that the purchaser is already active in the market for security, guarding, and concierge services and therefore the proposed transfer can be traced back solely to goodwill. The geographical and material scope of the non-compete agreement must also not exceed the current territorial and commodity scope of operation of the business branches subject to acquisition.</w:t>
      </w:r>
    </w:p>
    <w:p>
      <w:r>
        <w:t>IV. EVALUATION OF THE CONCENTRATION</w:t>
      </w:r>
    </w:p>
    <w:p>
      <w:r>
        <w:t>The product market</w:t>
      </w:r>
    </w:p>
    <w:p>
      <w:r>
        <w:t>From a commodity perspective, the sectors involved in the operation under examination are those in which the business branches subject to acquisition operate: armed security services and unarmed guarding and concierge services.</w:t>
      </w:r>
    </w:p>
    <w:p>
      <w:r>
        <w:t>a) Regarding private security activity, it should be noted that the exercise of this activity is governed by the Consolidated Law on Public Security - TULPS (Articles 133 to 141) and by the Regulation for the execution of the Consolidated Law (Articles 257 to 260).</w:t>
      </w:r>
    </w:p>
    <w:p>
      <w:r>
        <w:t>In this regard, it should be noted that there is a fundamental barrier to entry represented by the prefectural license necessary for the exercise of the activity. To obtain this license, specific subjective requirements must be met. The interested company must also demonstrate that it possesses the necessary technical capacity to carry out the services in question.</w:t>
      </w:r>
    </w:p>
    <w:p>
      <w:r>
        <w:t>In the field of armed private security, it is possible to identify different types of services, including guarding and fixed presence, inspection, remote alarm with rapid intervention, robbery and shoplifting surveillance, transportation and escort of valuables. These services have a low degree of substitutability from the demand side.</w:t>
      </w:r>
    </w:p>
    <w:p>
      <w:r>
        <w:t>However, from the supply side, the main barrier to entry operates at a more general level, as the prefectural license, in most cases, is granted for the entire range of security activities. Secondly, it is generally advantageous for a company in the sector to operate across the entire range rather than on a limited number of security services. Furthermore, although some of these services are characterized by the need for specific production factors that can sometimes be significant in cost (equipped premises, special means, etc.), there is a certain degree of interchangeability of resources for the provision of other services for which the main production factor is labor.</w:t>
      </w:r>
    </w:p>
    <w:p>
      <w:r>
        <w:t>Therefore, although it is possible to strictly distinguish the categories of activities characterized by different production organizations and specific authorizations, the analysis can be conducted with reference to the entire range of services covered by the license issued by the Prefect.</w:t>
      </w:r>
    </w:p>
    <w:p>
      <w:r>
        <w:t>b) Regarding the second commodity area, it should be emphasized that concierge and guarding services fall within the broader scope of so-called facility management, which includes all activities (performed internally or outsourced) that do not fall within the core business of a company but are necessary for its operation. These are, in particular, services related to the provision of ancillary activities (generally unarmed surveillance, reception and telephone switchboard, cleaning, porterage, and others) as well as those related to the ordinary and extraordinary maintenance of buildings and their appurtenances (e.g., green areas) and the systems (electrical, plumbing, fire protection, etc.) installed in the properties.</w:t>
      </w:r>
    </w:p>
    <w:p>
      <w:r>
        <w:t>The demand for such services has only recently developed in the industrial and tertiary sectors, mostly through the use of a single contractual solution to improve overall management cost-effectiveness; however, the largest share of demand still comes from the public sector. The supply, related both to the traditional provision of individual services by specialized companies and to integrated facility management, is characterized by the presence of operators active throughout the national territory alongside small companies operating at the local level.</w:t>
      </w:r>
    </w:p>
    <w:p>
      <w:r>
        <w:t>The geographical market</w:t>
      </w:r>
    </w:p>
    <w:p>
      <w:r>
        <w:t>Regarding product sub a), for the purpose of identifying the relevant geographical area, it should be noted that the prefectural license necessary for the exercise of private security activity is no longer valid exclusively within the territorial boundaries indicated in the prefectural license provision, which coincide with its provincial area of competence. The previous geographical definition of the market in question has indeed been challenged by the ruling of the Court of Justice of the European Communities of December 13, 2007, which expressly declared certain provisions of the TULPS incompatible with Articles 43 and 49 of the EC Treaty, which, by subordinating the exercise of private security activity to the possession of restrictive requirements, made it difficult for operators located in another Member State to provide private security services.</w:t>
      </w:r>
    </w:p>
    <w:p>
      <w:r>
        <w:t>Among the provisions deemed incompatible with the EC Treaty is also that relating to the limitation of the territorial scope of the authorization. Following the aforementioned ruling, significant changes have been made to the regulations regarding the exercise of private security, allowing the exercise of this activity even in provincial territories different from those in which the prefecture that issues the license is territorially competent. The provincial limit has therefore ceased to be an indispensable characteristic of the license, consequently expanding the relevant geographical scope of the commodity sector in question, which can assume, from time to time, provincial, regional, or even national dimensions.</w:t>
      </w:r>
    </w:p>
    <w:p>
      <w:r>
        <w:t>In the case at hand, as the business branches of Città Sicura S.r.l. are active only in the provinces of Chieti and Pescara, the relevant geographical market is constituted by the Abruzzo Region.</w:t>
      </w:r>
    </w:p>
    <w:p>
      <w:r>
        <w:t>The product market sub b) has a national dimension. This hypothesis is based on the characteristics of demand and supply, as well as the absence of particular administrative constraints capable of limiting the exercise of the activity to a restricted territorial area.</w:t>
      </w:r>
    </w:p>
    <w:p>
      <w:r>
        <w:t>Effects of the operation</w:t>
      </w:r>
    </w:p>
    <w:p>
      <w:r>
        <w:t>With regard to armed security services, the impact on the market of the acquiring party (less than 3% at the national level and in the provinces of Chieti and Pescara) and of the business branch subject to acquisition (largely less than 1% in both geographical areas) appears modest.</w:t>
      </w:r>
    </w:p>
    <w:p>
      <w:r>
        <w:t>Similar arguments apply to the market for guarding and concierge services, where the impact of both the acquiring party and the business branch subject to acquisition is extremely limited (less than 1% at the national level).</w:t>
      </w:r>
    </w:p>
    <w:p>
      <w:r>
        <w:t>The market appears, moreover, to be quite dynamic, characterized by the presence of numerous competing operators and the substantial absence of significant barriers to entry.</w:t>
      </w:r>
    </w:p>
    <w:p>
      <w:r>
        <w:t>THEREFORE CONSIDERING that the operation in question does not result, pursuant to Article 6, paragraph 1, of Law no. 287/90, in the establishment or strengthening of a dominant position in the relevant markets, such as to eliminate or substantially and durably reduce competition;</w:t>
      </w:r>
    </w:p>
    <w:p>
      <w:r>
        <w:t>ALSO CONSIDERING that the agreed non-compete clause is ancillary to this operation only within the limits specified above, and that the Authority reserves the right to evaluate, where the conditions exist, this clause to the extent that it is realized beyond the duration, geographical scope, and material scope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rPr>
          <w:b/>
        </w:rPr>
        <w:t>[Pages 37–39]</w:t>
      </w:r>
    </w:p>
    <w:p>
      <w:r>
        <w:t>BULLETIN NO. 47 OF DECEMBER 14, 2009 39</w:t>
      </w:r>
    </w:p>
    <w:p>
      <w:r>
        <w:t>The decision will be published in the Bulletin of the Italian Competition Authority.</w:t>
      </w:r>
    </w:p>
    <w:p>
      <w:r>
        <w:t>THE SECRETARY GENERAL THE PRESIDENT</w:t>
        <w:br/>
        <w:t>Luigi Fiorentino Antonio Catricalà</w:t>
      </w:r>
    </w:p>
    <w:p>
      <w:r>
        <w:t>40 BULLETIN NO. 47 OF DECEMBER 14, 2009</w:t>
      </w:r>
    </w:p>
    <w:p>
      <w:r>
        <w:t>REPORTING AND CONSULTATIVE ACTIVITY</w:t>
      </w:r>
    </w:p>
    <w:p>
      <w:r>
        <w:t>AS643 - MUNICIPALITY OF MONDOVI' (CN) - NATURAL GAS DISTRIBUTION SERVICE</w:t>
      </w:r>
    </w:p>
    <w:p>
      <w:r>
        <w:t>Rome, October 22, 2009</w:t>
      </w:r>
    </w:p>
    <w:p>
      <w:r>
        <w:t>Municipality of Mondovì</w:t>
      </w:r>
    </w:p>
    <w:p>
      <w:r>
        <w:t>Subject: request for opinion regarding concessions for the natural gas distribution service.</w:t>
      </w:r>
    </w:p>
    <w:p>
      <w:r>
        <w:t>In relation to the request for opinion received on August 3, 2009, concerning the identification of the transitional period for the concessions of the natural gas distribution service originally awarded without the execution of public procurement procedures, the Italian Competition Authority, pursuant to Article 22 of Law no. 287/1990, as resolved in the meeting of October 15, 2009, expresses the following considerations.</w:t>
      </w:r>
    </w:p>
    <w:p>
      <w:r>
        <w:t>The requested opinion raises a matter of particular interest from a competitive perspective, on which the Authority has intervened on several occasions, concerning the identification of the end of the transitional period for the concessions of the natural gas distribution service originally awarded without a tender.</w:t>
      </w:r>
    </w:p>
    <w:p>
      <w:r>
        <w:t>As previously highlighted in earlier interventions, the recourse to tender procedures for the identification of service concessionaires is closely linked to the realization of principles protecting competition, and a transitional phase that allows for the postponement of public procurement procedures for an excessively long period does not contribute to the full realization of the liberalization process of the service1.</w:t>
      </w:r>
    </w:p>
    <w:p>
      <w:r>
        <w:t>The regulations that have followed have favored interpretations aimed at privileging the current concessionaires, repeatedly postponing the end of the transitional period that maintains in force the concessions originally awarded without a tender, creating significant uncertainties for local authorities and holders of existing concessions.</w:t>
      </w:r>
    </w:p>
    <w:p>
      <w:r>
        <w:t>Since in the last amendment of Article 46-bis of Legislative Decree no. 159/2007, converted into Law 29-11-2007 no. 222, intervened with the 2008 Finance Law, incorporating some observations made in a report of the Authority2, the umpteenth two-year extension of the transitional period present in the first version of the regulation has been eliminated, it must be considered that the rules on the remaining duration of the concessions contained in Legislative Decree 164/2000 (so-called Letta decree) and subsequent modifications and integrations continue to apply.</w:t>
      </w:r>
    </w:p>
    <w:p>
      <w:r>
        <w:t>Therefore, noting that it is beyond the duties of this institution to enter into the merits of specific cases on which the administrative jurisprudence is called to express itself, the reconstruction carried out by the Authority leads to the conclusion that, according to the currently applicable regulations, regarding the distribution of natural gas, the concessions originally awarded without a tender expire, as provided for by Legislative Decree 30 December 2005, no. 273 (converted into Law 23 February 2006, no. 51), on December 31, 2007, or on December 31, 2009, if at least one of the conditions referred to in Article 15, paragraph 7, of Legislative Decree no. 164/2000 occurs, with the possibility of an additional year of extension for reasons of public interest. Consequently, with the precautions necessitated by the fact that the regulatory framework is not easily readable and that there are no consolidated jurisprudential and applicative orientations to refer to, at present the Authority would consider the interpretative option according to which the existing gas distribution concessions would expire no later than December 31, 2010.</w:t>
      </w:r>
    </w:p>
    <w:p>
      <w:r>
        <w:t>These considerations, based on the continued validity of the rules on the transitional period for the awarding of natural gas distribution services provided for by the Letta decree and subsequent modifications, remain firm also in light of the amendments made by Law 23 July 2009, no. 99 "Provisions for the development and internationalization of enterprises as well as in the field of energy," which, in Article 30, paragraph 26, amended paragraph 1 of Article 23-bis of Legislative Decree 25 June 2008, no. 112, converted, with modifications, by Law 6 August 2008, no. 133, explicitly preserving the provisions of Legislative Decree 23 May 2000, no. 164, and of Article 46-bis of Legislative Decree 1 October 2007, no. 159, converted, with modifications, by Law 29 November 2007, no. 222, regarding the distribution of natural gas.</w:t>
      </w:r>
    </w:p>
    <w:p>
      <w:r>
        <w:t>Since, in fact, the distribution of natural gas has been explicitly excluded from the application of Article 23-bis of Law no. 133/2008, the rules relating to the transitional period already contained in the sector regulations remain in force and the provisions on the transitional regimes for the awarding of local public services referred to in Article 15, paragraph 8, of the Legislative Decree of September 25, 2009, no. 135 do not apply.</w:t>
      </w:r>
    </w:p>
    <w:p>
      <w:r>
        <w:t>(AS222) Regulation of local public services, in Bulletin no. 43/01 and AS 453, Considerations and proposals for a pro-competitive regulation of markets to support economic growth, in Bulletin no. 17/2008.</w:t>
      </w:r>
    </w:p>
    <w:p>
      <w:r>
        <w:t>2 See AS 427, Provisions regarding competition and quality of essential services in the natural gas distribution sector, in Bulletin 39/2007.</w:t>
      </w:r>
    </w:p>
    <w:p>
      <w:r>
        <w:rPr>
          <w:b/>
        </w:rPr>
        <w:t>[Pages 40–42]</w:t>
      </w:r>
    </w:p>
    <w:p>
      <w:r>
        <w:t xml:space="preserve">42 BULLETIN NO. 47 OF DECEMBER 14, 2009  </w:t>
        <w:br/>
        <w:t xml:space="preserve">This opinion will be published in the Bulletin referred to in Article 26 of Law No. 287/90. Any confidentiality requirements must be communicated to the Authority within thirty days of receiving this opinion, specifying the reasons.  </w:t>
        <w:br/>
        <w:t xml:space="preserve">THE SECRETARY GENERAL  </w:t>
        <w:br/>
        <w:t>Luigi Fiorentino</w:t>
      </w:r>
    </w:p>
    <w:p>
      <w:r>
        <w:t xml:space="preserve">BULLETIN NO. 47 OF DECEMBER 14, 2009 43  </w:t>
        <w:br/>
        <w:t xml:space="preserve">AS644 - MUNICIPALITY OF PORTO SAN GIORGIO (FM) - CANTEEN AUXILIARY SERVICE  </w:t>
        <w:br/>
        <w:t xml:space="preserve">Rome, September 11, 2009  </w:t>
        <w:br/>
        <w:t xml:space="preserve">Municipality of Porto S. Giorgio  </w:t>
        <w:br/>
        <w:t xml:space="preserve">Subject: request for opinion pursuant to Article 23-bis, paragraph 4 of Legislative Decree No. 112/2008, received on July 20, 2009, concerning the direct awarding of the canteen auxiliary service.  </w:t>
        <w:br/>
        <w:t xml:space="preserve">With reference to the request in question, the Italian Competition Authority, in its meeting of September 3, 2009, considered that the awarding in question does not appear capable of significantly affecting the competitive conditions of the relevant market, due to its small scale in terms of the population concerned and the modest value of the service.  </w:t>
        <w:br/>
        <w:t xml:space="preserve">This decision will be published in the bulletin referred to in Article 26 of Law No. 287/90. Any confidentiality requirements must be communicated to the Authority within thirty days of receiving this, specifying the reasons.  </w:t>
        <w:br/>
        <w:t xml:space="preserve">THE SECRETARY GENERAL  </w:t>
        <w:br/>
        <w:t>Luigi Fiorentino</w:t>
      </w:r>
    </w:p>
    <w:p>
      <w:r>
        <w:t xml:space="preserve">44 BULLETIN NO. 47 OF DECEMBER 14, 2009  </w:t>
        <w:br/>
        <w:t xml:space="preserve">DECEPTIVE AND COMPARATIVE ADVERTISING  </w:t>
        <w:br/>
        <w:t xml:space="preserve">PB260 - TECNOEL - HIDDEN ADVERTISING  </w:t>
        <w:br/>
        <w:t xml:space="preserve">Provision No. 20490  </w:t>
        <w:br/>
        <w:t xml:space="preserve">THE ITALIAN COMPETITION AUTHORITY  </w:t>
        <w:br/>
        <w:t xml:space="preserve">IN ITS MEETING of November 18, 2009;  </w:t>
        <w:br/>
        <w:t xml:space="preserve">HEARD the Rapporteur Professor Carla Bedogni;  </w:t>
        <w:br/>
        <w:t xml:space="preserve">HAVING REGARD to Legislative Decree No. 145 of August 2, 2007;  </w:t>
        <w:br/>
        <w:t xml:space="preserve">HAVING REGARD to the "Regulation on investigative procedures regarding deceptive and unlawful comparative advertising," adopted by the Authority's resolution of November 15, 2007, published in the Official Gazette No. 283 of December 5, 2007, and entered into force on December 6, 2007 (hereinafter, Regulation);  </w:t>
        <w:br/>
        <w:t xml:space="preserve">HAVING REGARD to its provision of June 4, which extended the deadline for concluding the procedure, for the evaluation of the commitments proposed by the professional, pursuant to Article 8, paragraph 7, of Legislative Decree No. 145/07, as well as Article 8 of the Regulation;  </w:t>
        <w:br/>
        <w:t xml:space="preserve">HAVING REGARD to its provision of June 18, 2009, which resolved not to adopt the precautionary measure, pursuant to Article 8, paragraph 3, of Legislative Decree No. 145/07, as well as pursuant to Article 9 of the Regulation.  </w:t>
        <w:br/>
        <w:t xml:space="preserve">HAVING REGARD to the documents of the procedure;  </w:t>
        <w:br/>
        <w:t xml:space="preserve">I. THE PARTIES  </w:t>
        <w:br/>
        <w:t xml:space="preserve">Tecnoel S.n.c., as the advertising operator, a company providing technical and tax services in the field of electricity and taxes (excise duties) on energy products, mineral oils, and alcohols.  </w:t>
        <w:br/>
        <w:t xml:space="preserve">Tecno S.r.l., as the reporting competitor, a consulting company operating in the energy and excise sectors.  </w:t>
        <w:br/>
        <w:t xml:space="preserve">II. THE ADVERTISING MESSAGE  </w:t>
        <w:br/>
        <w:t>1. This procedure concerns the advertising message disseminated by the company Tecnoel S.n.c. on the homepage of its website www.tecnoelsnc.it, recorded from May 2008 to April 2009. In an initial version of the indicated webpage, recorded on May 28, 2008, and July 14, 2008, below the name: "Tecnoel S.n.c. Engineering – Consulting" and the statement: "Welcome to the site of self-production and energy savings!", the following scrolling text appeared: "The only technical consulting company accredited by the Ministry of Economy – Customs Agency – responsible for the activation of self-producers of electricity," followed by a list of activities carried out in the two sectors "Electricity, Systems" and "Excise, Mineral Oils, and Alcohols" ("- self-production with tax-exempt fuels - free market, supply and exchange contracts - economic and feasibility studies - cost reduction and</w:t>
      </w:r>
    </w:p>
    <w:p>
      <w:r>
        <w:rPr>
          <w:b/>
        </w:rPr>
        <w:t>[Pages 43–45]</w:t>
      </w:r>
    </w:p>
    <w:p>
      <w:r>
        <w:t>BULLETIN NO. 47 OF DECEMBER 14, 2009 45</w:t>
      </w:r>
    </w:p>
    <w:p>
      <w:r>
        <w:t>energy savings […] – Tax exemption and tax reductions – Activation, management of deposits […]”).</w:t>
      </w:r>
    </w:p>
    <w:p>
      <w:r>
        <w:t>In a second version, noted on February 26, 2009, the phrase was modified, removing the adjective “unique”: “technical consulting company accredited by the Ministry of Economy – Customs Agency – responsible for the activation of self-producers of electricity.”</w:t>
      </w:r>
    </w:p>
    <w:p>
      <w:r>
        <w:t>In a subsequent formulation, noted on April 20 and 24, 2009, the following specification was introduced: “Company providing services and technical-tax consulting accredited (see References) by the Ministry of Economy - Customs Agency (Agency responsible for granting Tax License for Self-Producer Electricity),” with a specific box placed on the right side of the page dedicated to the operator's References (“Company invited to participate in consultation tables and working groups at the Ministry of Economy - Customs Agency, as t.d.c. for solving issues in the tax sector of electricity, g.d.l. for defining procedural protocols related to the production of motive power with fixed engines (industrial machines) - Company authorized by the Ministry of Economy - Customs Agency as Service Provider for the fulfillment of telematic transmission of excise accounting data of Operators”).</w:t>
      </w:r>
    </w:p>
    <w:p>
      <w:r>
        <w:t>III. INSTRUCTION RESULTS</w:t>
      </w:r>
    </w:p>
    <w:p>
      <w:r>
        <w:t>a) Phase prior to the communication of the initiation of the investigation</w:t>
      </w:r>
    </w:p>
    <w:p>
      <w:r>
        <w:t>2. By communication dated August 5, 2008, the company Tecno S.r.l. reported the alleged misleading nature of the advertising message disseminated by the company Tecnoel S.n.c. on the homepage of the website www.tecnoelsnc.it, noted on May 28, 2008, and July 14, 2008.</w:t>
      </w:r>
    </w:p>
    <w:p>
      <w:r>
        <w:t>In particular, the reporting company contested the statement: “Unique technical consulting company accredited by the Ministry of Economy – Customs Agency – responsible for the activation of self-producers of electricity,” as the Customs Agency had never formalized, approved, and published a procedure regarding the accreditation of companies providing consulting services to businesses in the field of tax benefits and exemptions from excise duties.</w:t>
      </w:r>
    </w:p>
    <w:p>
      <w:r>
        <w:t>3. On January 28, 2009, the company Tecnoel S.n.c. was requested, pursuant to art. 4, paragraph 1, of the Regulation, to provide the following elements: a) documentation proving that Tecnoel S.n.c. constitutes the “unique technical consulting company accredited by the Ministry of Economy - Customs Agency - responsible for the activation of self-producers of electricity”; b) information regarding the period of dissemination of the advertising message; c) indications regarding any further means of communication used to disseminate the message.</w:t>
      </w:r>
    </w:p>
    <w:p>
      <w:r>
        <w:t xml:space="preserve">4. By communication dated February 10, 2009, the company Tecnoel specified the following: </w:t>
        <w:br/>
        <w:t xml:space="preserve">– Tecnoel S.n.c., technical and tax studio, operates as a consulting company in the field of excise duties, dealing with every different area related to the specific tax discipline, with reference to the following sectors: energy products, mineral oils, alcohols and alcoholic beverages, electricity; </w:t>
        <w:br/>
        <w:t xml:space="preserve">– with communication from the Customs Agency, the company Tecnoel was informed that it had been included in the list of operators called to participate in meetings and discussions within the specific consultation table established at the Customs Agency of the Ministry of Economy. This recognition had the direct consequence that the company was called to participate in various working and consultation tables established at the Central Areas of the Customs Agency for the definition of tax issues concerning the specific excise tax sector. This resulted in the inclusion on the website www.tecnoelsnc.it of the expression: “unique technical consulting company accredited by the Ministry of Economy - Customs Agency - responsible for the activation of self-producers of electricity”; </w:t>
        <w:br/>
        <w:t xml:space="preserve">– while not considering in any way that the message subject to the report could be considered "misleading advertising," as it constitutes information corresponding to reality, the company has removed the adjective "unique"; </w:t>
        <w:br/>
        <w:t>– the company has not disseminated this message through further means of communication.</w:t>
      </w:r>
    </w:p>
    <w:p>
      <w:r>
        <w:t>5. On April 3, 2009, the company Tecnoel was requested, pursuant to article 4, paragraph 3, of the Regulation, to remove from the website www.tecnoelsnc.it the entire statement: “technical consulting company accredited by the Ministry of Economy – Customs Agency,” as it was deemed unfounded and likely to mislead recipients regarding the actual qualifications of the advertising operator.</w:t>
      </w:r>
    </w:p>
    <w:p>
      <w:r>
        <w:t>6. On April 16, 2009, the company Tecnoel responded that it would modify the website www.tecnoelsnc.it, inserting the specification: “Company providing services and technical-tax consulting accredited (see References) by the Ministry of Economy - Customs Agency (Agency responsible for granting Tax License for Self-Producer Electricity)” and a specific box dedicated to the operator's References. The professional emphasized that the Customs Agency communicated that the company Tecnoel is authorized, as a service provider, to use the telematic service for the transmission of electronic documents prepared by subjects authorized to submit them, under the conditions and according to the methods determined by the Agency and in compliance with the relevant regulations.</w:t>
      </w:r>
    </w:p>
    <w:p>
      <w:r>
        <w:t>b) Communication of the initiation of the investigation</w:t>
      </w:r>
    </w:p>
    <w:p>
      <w:r>
        <w:t>7. Based on the information acquired, on May 5, 2009, the initiation of the procedure was communicated to the company Tecnoel S.n.c., for the alleged violation of articles 1, 2, and 3 of Legislative Decree no. 145/07, as the message disseminated on the website www.tecnoelsnc.it could mislead the subjects it reaches regarding the actual qualifications of the advertising operator, consequently prejudicing their economic behavior. In particular, the contested statement, in all three indicated versions: “Unique technical consulting company accredited by the Ministry of Economy – Customs Agency – responsible for the activation of self-producers of electricity,” or “company providing services and technical-tax consulting accredited by the Ministry of Economy […]”, or “Company providing services and technical-tax consulting accredited (see References) by the Ministry of Economy […]”, could be considered misleading and likely to create false assurances, as no “accreditation” is provided, either formal or substantial, by the Customs Agency.</w:t>
      </w:r>
    </w:p>
    <w:p>
      <w:r>
        <w:t>8. Concurrently with the communication of the initiation of the procedure, the company Tecnoel was invited, pursuant to art. 9, paragraph 2, of the Regulation, to submit written statements and documents, for the purpose of evaluating the prerequisites for the provisional suspension of the advertising message in question, pursuant to art. 8, paragraph 3, of Legislative Decree no. 145/07.</w:t>
      </w:r>
    </w:p>
    <w:p>
      <w:r>
        <w:t>9. Furthermore, in order to acquire useful knowledge elements for the evaluation of the contested advertising message, the company Tecnoel was requested to provide information and related documentation regarding: a) the activity of services and technical-tax consulting to businesses carried out by the company Tecnoel, with specific indications regarding the reference sector (energy savings and issuance of tax authorizations for the use of subsidized mineral oils) and the clientele it addresses; b) the relationships between the company Tecnoel and the Ministry of Economy - Customs Agency, with particular reference to the alleged accreditation received from this Public Administration; c) any other information useful for the evaluation of the case.</w:t>
      </w:r>
    </w:p>
    <w:p>
      <w:r>
        <w:t>c) The parties' statements</w:t>
      </w:r>
    </w:p>
    <w:p>
      <w:r>
        <w:t>10. By communication received on May 28, 2009, the reporting company, Tecno S.r.l., transmitted some notes received in March and April 2009 from some of its clients. The content of these notes would demonstrate that the misleading advertising of Tecnoel has caused a concrete prejudice to the economic activity of Tecno in the field of consulting for businesses.</w:t>
      </w:r>
    </w:p>
    <w:p>
      <w:r>
        <w:t>11. On May 15, 2009, the company Tecnoel S.n.c. submitted commitments, pursuant to art. 8 of the Regulation.</w:t>
      </w:r>
    </w:p>
    <w:p>
      <w:r>
        <w:t xml:space="preserve">12. On June 10, 2009, the company Tecnoel provided the following information: </w:t>
        <w:br/>
        <w:t xml:space="preserve">– Tecnoel S.n.c. is a technical and tax studio that operates as a consulting company in the field of excise duties, instructing administrative procedures before the competent authorities, including the Customs Agency, for the activation of the tax figures provided for by the excise discipline. The company subsequently manages the technical-tax matters regarding the activated operator, dealing, if necessary, with providing its clients with technical-tax consulting regarding appeals to tax commissions or judicial or extrajudicial expert opinions, possibly also providing legal assistance in court through its external professionals; </w:t>
        <w:br/>
        <w:t xml:space="preserve">– the expression “accredited company,” present on the website www.tecnoelsnc.it, appears justified in light of the fact that the company has been included in the list of operators called to participate in meetings and discussions within the specific consultation table established at the Agency and that it has been authorized as a service provider to use the telematic service for the transmission of electronic documents; </w:t>
        <w:br/>
        <w:t>– the message subject to the procedure is no longer in circulation, as per the commitment made with the note of May 15, 2009.</w:t>
      </w:r>
    </w:p>
    <w:p>
      <w:r>
        <w:rPr>
          <w:b/>
        </w:rPr>
        <w:t>[Pages 46–48]</w:t>
      </w:r>
    </w:p>
    <w:p>
      <w:r>
        <w:t>48 BULLETIN NO. 47 OF DECEMBER 14, 2009</w:t>
      </w:r>
    </w:p>
    <w:p>
      <w:r>
        <w:t>13. On October 7, 2009, a final memorandum was received from the company Tecnoel, in which it reaffirms the correctness of the expression that qualifies it as a "technical-tax consultancy company accredited by the Customs Agency," since it has been included in the list of operators called to participate in meetings and discussions within the specific consultation table established at the Tax Management and User Relations Area; it has been authorized and enabled by the Customs Agency as a "Service Provider" for the fulfillment of telematic transmission of excise accounting data of obligated operators.</w:t>
      </w:r>
    </w:p>
    <w:p>
      <w:r>
        <w:t>In particular, the company Tecnoel made the following concluding remarks:</w:t>
        <w:br/>
        <w:t>– at the moment a private entity is included, by a public administration, in a list of operators formally authorized to carry out a certain "activity" or to participate in a particular "initiative or project," it cannot be excluded that such an entity should be considered "accredited" by the same administration, obviously limited to the specific case for which it has been authorized. If, as in this case, the entity included in said "list" is a consultancy company that is authorized to participate in "consultation tables for the definition of tax issues," it is believed that, even more so, this constitutes a true accreditation by the administration;</w:t>
        <w:br/>
        <w:t>– the Customs Agency, with the note of August 6, 2009, sent to this Authority, provided inaccurate and imprecise information as it improperly cited the communication sent by the same Agency to the company Tecnoel;</w:t>
        <w:br/>
        <w:t>– Tecnoel has been authorized for the telematic transmission of excise accounting data of obligated operators, as a "Service Provider." In this regard, it is believed that the "Service Provider" can only be legitimately considered as "an entity accredited by the Customs Agency," limited, as obvious, to the activity of telematic transmission of the accounting of operators;</w:t>
        <w:br/>
        <w:t>– on the contested website, both in the original version and in the other modified versions at the behest of the Authority, Tecnoel has always specified the reasons why it rightly considers itself a "consultancy company accredited by the Customs Agency," without ever using such expression in a generic manner;</w:t>
        <w:br/>
        <w:t>– in the specific "market" of reference for Tecnoel, the business choices regarding the most suitable consultant to perform the requested services are based exclusively on the trust relationship generated by the good work of the professional within the territorial area of activity of the service requestor. Furthermore, since these are professional services to be "provided" to a company and not the sale of a simple consumer good, the choice of the consultant is always subject to a meeting during which they must prove their competence and professionalism, beyond any possible "advertising" directed or conveyed by other entities;</w:t>
        <w:br/>
        <w:t>– therefore, with regard to the mechanisms of formation of the business choice in the reference market, the expression used on the examined website, even if inappropriate and excessive compared to the actual qualifications of the writer, could never have misled any entity to which it was addressed and consequently could never have harmed any competitor.</w:t>
      </w:r>
    </w:p>
    <w:p>
      <w:r>
        <w:t>In conclusion, the company has presented new commitments pursuant to Article 8 of the Regulation, supplementing the previous ones proposed on May 15, 2009.</w:t>
      </w:r>
    </w:p>
    <w:p>
      <w:r>
        <w:t>BULLETIN NO. 47 OF DECEMBER 14, 2009</w:t>
      </w:r>
    </w:p>
    <w:p>
      <w:r>
        <w:t>d) other investigative obligations</w:t>
      </w:r>
    </w:p>
    <w:p>
      <w:r>
        <w:t>14. On June 4, 2009, the Authority decided to extend the conclusion deadline of the procedure by sixty days, following the submission of commitments by the company Tecnoel on May 15, 2009.</w:t>
      </w:r>
    </w:p>
    <w:p>
      <w:r>
        <w:t>15. On June 18, 2009, the Authority decided not to adopt the precautionary measure of the provisional suspension of the message under evaluation.</w:t>
      </w:r>
    </w:p>
    <w:p>
      <w:r>
        <w:t>16. On July 2, 2009, the Authority decided not to accept the commitments presented by the party.</w:t>
      </w:r>
    </w:p>
    <w:p>
      <w:r>
        <w:t>17. On July 23, 2009, a request for information was sent to the Customs Agency, pursuant to Article 8, paragraph 3, of Legislative Decree no. 145/07 and Article 12, paragraph 1, of the Regulation, regarding the existence of a formal accreditation procedure for companies providing consultancy services to businesses in the field of excise benefits and exemptions. The Customs Agency responded with a communication received on August 10, 2009, specifying that there is no formal procedure that allows consultancy service companies or others to accredit themselves with the Agency. The Agency also noted that the invitation and participation in technical or discussion tables cannot be considered as "formal accreditation" with the Customs Agency, just as those companies that, in light of specific provisions of community legislation, obtain authorization for certain procedural simplifications cannot be considered "accredited."</w:t>
      </w:r>
    </w:p>
    <w:p>
      <w:r>
        <w:t>18. On September 25, 2009, the parties were informed of the conclusion date of the investigative phase pursuant to Article 16, paragraph 1, of the Regulation.</w:t>
      </w:r>
    </w:p>
    <w:p>
      <w:r>
        <w:t>19. On October 28, 2009, the Authority decided not to accept the new commitments presented by the party on October 7, 2009.</w:t>
      </w:r>
    </w:p>
    <w:p>
      <w:r>
        <w:t>IV. OPINION OF THE AUTHORITY FOR GUARANTEES IN COMMUNICATIONS</w:t>
      </w:r>
    </w:p>
    <w:p>
      <w:r>
        <w:t>20. Since the message subject to this provision was disseminated via the internet, on October 12, 2009, an opinion was requested from the Authority for Guarantees in Communications, pursuant to Article 8, paragraph 6, of Legislative Decree no. 145/07.</w:t>
      </w:r>
    </w:p>
    <w:p>
      <w:r>
        <w:t>21. With an opinion received on October 29, 2009, the aforementioned Authority considered that the advertising message in question violates the provisions of Articles 1, 2, and 3 of Legislative Decree no. 145/07, based on the following considerations:</w:t>
        <w:br/>
        <w:t>– the message in question consists of the promotion of the services offered by the company Tecnoel, highlighting in fact that it is "accredited" by the Customs Agency, thereby implying, albeit indirectly, that in order to provide certain services, including those in question, a formal "accreditation" procedure with the aforementioned Agency is necessary;</w:t>
        <w:br/>
        <w:t>– from the formulation and structure of the message in question, the potential user of the consultancy services offered by the company Tecnoel is led to erroneously believe that the advertised accreditation is a necessary requirement to engage professionally with the Customs Agency. In this regard, it is significant that the recipient, led to the erroneous conviction that only accredited companies can perform certain services, may be discouraged from approaching certain companies, as they lack the aforementioned requirement, a circumstance that considerably limits their freedom of choice and significantly alters the competitive level of the reference market;</w:t>
        <w:br/>
        <w:t>– in such a specific market as the one in question, the choice of which consultant to approach can be dictated either by the factor of trust or by the information that can be obtained through the means that the consultant implements to make their commercial offer known, namely advertising messages. Under this latter aspect, it is clear how the use of untrue expressions such as "accreditation" with the Customs Agency significantly distorts the recipient's choice. From the documentation submitted, it emerges that there is no formal or substantial accreditation procedure promoted by the Customs Agency regarding the provision of consultancy services to businesses in the field of excise benefits and exemptions.</w:t>
      </w:r>
    </w:p>
    <w:p>
      <w:r>
        <w:t>The message in question, therefore, appears capable of misleading the subjects to whom it is addressed or reached regarding the professional qualifications of the operator and, due to its misleading nature, seems likely to prejudice their economic behavior, leading them to contact the aforementioned professional instead of others based on a false perception of their actual professional requirements.</w:t>
      </w:r>
    </w:p>
    <w:p>
      <w:r>
        <w:t>V. CONCLUDING EVALUATIONS</w:t>
      </w:r>
    </w:p>
    <w:p>
      <w:r>
        <w:t>22. The recipient of this provision is the company Tecnoel S.n.c. as an advertising operator pursuant to Article 2 of Legislative Decree no. 145/07.</w:t>
      </w:r>
    </w:p>
    <w:p>
      <w:r>
        <w:t>23. The advertising message in question, in all three formulations subject to contestation ("The only technical consultancy company accredited by the Ministry of Economy - Customs Agency," "company [..] accredited by the Ministry of Economy [...]," and "Company providing services and technical-tax consultancy accredited (see References) by the Ministry of Economy [...]"), leads the recipients, namely professionals interested in obtaining consultancy services in the field of excise duties, in the energy tax sector, mineral oils, and alcohols, to believe that the company Tecnoel S.n.c. enjoys formal recognition from the Customs Agency, which confers upon it particular reliability in this matter. The use of the term "accredited" on the company's presentation webpage indeed leads to confidence in the professional's possession of official approval from the public entity, following an evaluation and control procedure aimed at ascertaining the specific qualities and certifying the competence of the company in the relevant sector.</w:t>
      </w:r>
    </w:p>
    <w:p>
      <w:r>
        <w:t>In reality, as emerges from the findings of the investigation carried out, there is no form of official accreditation or any other type of recognition procedure for private entities by the Administration, which can attest to their quality and professionalism in the interest of potential clients. In fact, the only documentation produced by the operator to support the claim "technical consultancy company accredited by the Ministry of Economy - Customs Agency" consists, on one hand, of a note with which the Customs Agency communicates that the company Tecnoel has been included in the list of operators called to participate in meetings and discussions within consultation tables, and on the other hand, of the authorization for the fulfillment of telematic transmission of excise accounting data of obligated operators. Such acts are insufficient to support the contested expression, as</w:t>
      </w:r>
    </w:p>
    <w:p>
      <w:r>
        <w:rPr>
          <w:b/>
        </w:rPr>
        <w:t>[Pages 49–51]</w:t>
      </w:r>
    </w:p>
    <w:p>
      <w:r>
        <w:t>BULLETIN NO. 47 OF DECEMBER 14, 2009 51</w:t>
      </w:r>
    </w:p>
    <w:p>
      <w:r>
        <w:t>have a well-defined meaning and object limited to their specific content, not constituting the outcome of an evaluation process regarding the company's actions, from which an act of recognition by the Administration has arisen. The same Agency, to which a request for information in this regard was submitted, noted that there is no formal procedure that allows consulting service companies or others to accredit themselves with the Agency. The Administration also noted that the invitation and participation in technical or discussion tables cannot be considered as "formal accreditation" with the Customs Agency, just as those companies that, in light of specific provisions of community legislation, obtain authorization for certain procedural simplifications cannot be considered "accredited." This leads to the conclusion that the use of the expression "accredited with the Customs Agency" is incorrect in itself, regardless of any further information or clarification provided to the public through the indication of "References," whether these are included simultaneously or present on additional web pages of the website www.tecnoelsnc.com.</w:t>
      </w:r>
    </w:p>
    <w:p>
      <w:r>
        <w:t>24. In light of the considerations above, therefore, in accordance with the opinion expressed by the Authority for Guarantees in Communications, the expression used on the website www.tecnoelsnc.it to qualify the operator as "consulting company accredited with the Ministry of Economy – Customs Agency" must be considered misleading, as it is likely to mislead professionals to whom it is addressed regarding the actual qualifications of the operator, potentially prejudicing their economic behavior, in violation of the provisions of Articles 2 and 3 of Legislative Decree no. 145/07; the potential prejudice to competitors is in re ipsa: it is undeniable that they could be affected by the diversion of clientele caused by the error into which the recipients might fall when directing their choices, to the detriment of any alternative solutions.</w:t>
      </w:r>
    </w:p>
    <w:p>
      <w:r>
        <w:t>25. It should be noted that the possibility that the recipient is misled about the actual qualifications of the operator—relevant for suggesting greater reliability and quality of the services offered on the market—cannot be excluded by the circumstance, highlighted in its defense memos by the company Tecnoel, that in the specific reference sector, beyond the statements contained on the website, the choice of the consultant is, in any case, always subject to an introductory meeting, during which they must prove their competence and professionalism. In fact, the Legislator intended to safeguard the freedom of self-determination of the recipient of a promotional message from any erroneous interference—that may, even theoretically, affect their choices and the economic repercussions thereof—from the very first advertising contact, thus imposing a precise burden of clarity on the operator in drafting their business communication. Moreover, it is a consolidated interpretative principle of the Authority, as well as of administrative jurisprudence, that the misleading suitability of a message cannot be excluded by the circumstance that the public is placed in a position to learn further information at a time subsequent to reading the message, given that "the promotional purpose is realized exclusively through the message, which exhausts its function in inducing the recipient to turn to the operator."</w:t>
      </w:r>
    </w:p>
    <w:p>
      <w:r>
        <w:t>V. QUANTIFICATION OF THE SANCTION</w:t>
      </w:r>
    </w:p>
    <w:p>
      <w:r>
        <w:t>26. Pursuant to Article 8, paragraph 9, of Legislative Decree August 2, 2007, no. 145, with the decision that accepts the appeal, the Authority orders the application of an administrative pecuniary sanction from €5,000 to €500,000, taking into account the seriousness and duration of the violation. Regarding the quantification of the sanction, account must be taken, as applicable, of the criteria identified by Article 11 of Law November 24, 1981, no. 689, by virtue of the reference provided for in Article 8, paragraph 13, of Legislative Decree no. 145/07: in particular, the seriousness of the violation, the efforts made by the company to eliminate or mitigate the infringement, the personality of the agent, as well as the economic conditions of the company itself.</w:t>
      </w:r>
    </w:p>
    <w:p>
      <w:r>
        <w:t>27. With regard to the seriousness of the violation, the breadth and penetration capacity of the message must be considered, which, due to the dissemination methods via the internet, is likely to have reached a significant number of recipients. As for the duration of the violation, it is considered that, as emerges from the documentation on file, the message was disseminated for a long period (from May 2008 to April 2009).</w:t>
      </w:r>
    </w:p>
    <w:p>
      <w:r>
        <w:t>28. In light of the aforementioned criteria, the sanction to be applied to the company Tecnoel S.n.c. is determined to be €40,000 (forty thousand euros).</w:t>
      </w:r>
    </w:p>
    <w:p>
      <w:r>
        <w:t>29. Furthermore, considering the cooperative behavior of the professional who removed the contested expression from the website tecnoelsnc.it in May 2009, it is deemed appropriate to reduce the indicated sanction by €15,000.</w:t>
      </w:r>
    </w:p>
    <w:p>
      <w:r>
        <w:t>30. Therefore, in light of the considerations expressed, the pecuniary sanction to be imposed on the company Tecnoel S.n.c. is €25,000 (twenty-five thousand euros).</w:t>
      </w:r>
    </w:p>
    <w:p>
      <w:r>
        <w:t>CONSIDERING, therefore, in accordance with the opinion of the Authority for Guarantees in Communications, that, pursuant to Articles 1, 2, and 3 of Legislative Decree no. 145/07, within the limits indicated in the motivation, the advertising message disseminated via the internet by the company Tecnoel S.n.c. is likely to mislead recipients regarding the actual qualifications of the operator, relevant for suggesting greater reliability and quality of the services offered on the market;</w:t>
      </w:r>
    </w:p>
    <w:p>
      <w:r>
        <w:t>RESOLVES</w:t>
      </w:r>
    </w:p>
    <w:p>
      <w:r>
        <w:t>a) that the advertising message described in point II of this provision, disseminated by the company Tecnoel S.n.c., constitutes, for the reasons and within the limits set out in the motivation, a case of misleading advertising pursuant to Articles 1, 2, and 3 of Legislative Decree no. 145/07, and prohibits its further dissemination;</w:t>
      </w:r>
    </w:p>
    <w:p>
      <w:r>
        <w:t>b) that the company Tecnoel S.n.c. be imposed an administrative pecuniary sanction of €25,000 (twenty-five thousand euros).</w:t>
      </w:r>
    </w:p>
    <w:p>
      <w:r>
        <w:t>The administrative sanction referred to in the previous letter b) must be paid within thirty days from the notification of this provision, by direct payment to the service concessionaire for collection or by delegation to the bank or Italian Post, presenting the model attached to this provision, as provided for by Legislative Decree July 9, 1997, no. 237.</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in the same period.</w:t>
      </w:r>
    </w:p>
    <w:p>
      <w:r>
        <w:t>Immediate communication of the payment must be given to the Authority by sending a copy of the model certifying the payment made.</w:t>
      </w:r>
    </w:p>
    <w:p>
      <w:r>
        <w:t>Pursuant to Article 8, paragraph 12, of Legislative Decree no. 145/2007, in case of non-compliance with this resolution, the Authority applies an administrative pecuniary sanction from €10,000 to €150,000. In cases of repeated non-compliance, the Authority may order the suspension of business activity for a period not exceeding thirty days.</w:t>
      </w:r>
    </w:p>
    <w:p>
      <w:r>
        <w:t>This provision will be notified to the interested parties and published in the Bulletin of the Italian Competition Authority.</w:t>
      </w:r>
    </w:p>
    <w:p>
      <w:r>
        <w:rPr>
          <w:b/>
        </w:rPr>
        <w:t>[Pages 52–54]</w:t>
      </w:r>
    </w:p>
    <w:p>
      <w:r>
        <w:t>54 BULLETIN NO. 47 OF DECEMBER 14, 2009</w:t>
      </w:r>
    </w:p>
    <w:p>
      <w:r>
        <w:t>Against this provision, an appeal may be submitted to the TAR of Lazio, pursuant to Article 8, paragraph 13, of Legislative Decree no. 145/07, within sixty days from the date of notification of the provision itself,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r>
    </w:p>
    <w:p>
      <w:r>
        <w:t>THE SECRETARY GENERAL THE PRESIDENT</w:t>
        <w:br/>
        <w:t>Luigi Fiorentino Antonio Catricalà</w:t>
      </w:r>
    </w:p>
    <w:p>
      <w:r>
        <w:t>BULLETIN NO. 47 OF DECEMBER 14, 2009 55</w:t>
      </w:r>
    </w:p>
    <w:p>
      <w:r>
        <w:t>UNFAIR TRADE PRACTICES</w:t>
        <w:br/>
        <w:t>PS1730 - SOMATOLINE COSMETIC</w:t>
        <w:br/>
        <w:t>Provision no. 20493</w:t>
      </w:r>
    </w:p>
    <w:p>
      <w:r>
        <w:t>THE ITALIAN COMPETITION AUTHORITY</w:t>
      </w:r>
    </w:p>
    <w:p>
      <w:r>
        <w:t>IN ITS MEETING of November 18, 2009;</w:t>
      </w:r>
    </w:p>
    <w:p>
      <w:r>
        <w:t>HEARD the Rapporteur Professor Carla Bedogni;</w:t>
      </w:r>
    </w:p>
    <w:p>
      <w:r>
        <w:t>SEEN Title III of Legislative Decree September 6, 2005, no. 206, containing the "Consumer Code," as amended by Legislative Decree August 2, 2007, no. 146 (hereinafter, Consumer Code);</w:t>
      </w:r>
    </w:p>
    <w:p>
      <w:r>
        <w:t>SEEN the "Regulation on investigative procedures regarding unfair commercial practices," adopted by the Authority's resolution of November 15, 2007, published in the Official Gazette no. 283 of December 5, 2007, and entered into force on December 6, 2007 (hereinafter, Regulation);</w:t>
      </w:r>
    </w:p>
    <w:p>
      <w:r>
        <w:t>SEEN its provisions of July 29 and September 23, 2009, which extended the deadline for concluding the procedure;</w:t>
      </w:r>
    </w:p>
    <w:p>
      <w:r>
        <w:t>SEEN the acts of the procedure;</w:t>
      </w:r>
    </w:p>
    <w:p>
      <w:r>
        <w:t>I. THE PARTIES</w:t>
      </w:r>
    </w:p>
    <w:p>
      <w:r>
        <w:t>As a professional:</w:t>
        <w:br/>
        <w:t>1. Società Italo Britannica L.Manetti-H.Roberts &amp; C. S.p.A. (hereinafter also Manetti-H.Roberts) based in Florence, which carries out, among other activities, the production of soaps and detergents for personal use, perfumes, and cosmetics. The company reported a turnover of 296,068,783 euros for the fiscal year ending December 31, 2008.</w:t>
      </w:r>
    </w:p>
    <w:p>
      <w:r>
        <w:t>As the complainant:</w:t>
        <w:br/>
        <w:t>2. Codacons – Coordination of associations for the protection of the environment and the rights of users and consumers (hereinafter also Codacons) is a consumer association with its legal headquarters in Rome, established in 1986 and registered in the national list referred to in Article 5 of Law no. 281/98. Codacons has as its exclusive purpose the protection of the rights and interests of consumers and users.</w:t>
      </w:r>
    </w:p>
    <w:p>
      <w:r>
        <w:t>II. THE SUBJECT OF THE PROCEEDING</w:t>
      </w:r>
    </w:p>
    <w:p>
      <w:r>
        <w:t>3. The investigative procedure concerns the assessment of the unfairness of four commercial practices carried out by the company Manetti-H.Roberts through the dissemination of messages aimed at promoting four slimming products from the Somatoline Cosmetic line. More specifically, the contested conduct at the initiation of the procedure concerns various promotional communications disseminated through print media, website, television commercials, and through the product packaging itself, with the aim of enhancing the effectiveness of the different Somatoline Cosmetic branded products named: Total Body Slimming Gel Treatment; Intensive Night Slimming Treatment; Slimming Solar Treatment; and Belly and Hips Treatment.</w:t>
      </w:r>
    </w:p>
    <w:p>
      <w:r>
        <w:t>4. In particular, regarding the product Total Body Slimming Gel Treatment (A), the advertising communications in question consist of:</w:t>
        <w:br/>
        <w:t>– a full-page print advertisement (of which an image is reproduced) presenting the body of a model with the claim prominently displayed next to it: “slims up to 37% in 4 weeks” accompanied by an asterisk referring to a statement at the bottom of the page which declares: “Clinical instrumental tests conducted at an independent institute on 25 subjects. Slimming consists of a cosmetic reshaping action that does not involve weight loss.” The message also features a depiction of the product packaging on which the text is legible: “acts on localized fat. Slimming effectiveness up to 37%, in 4 weeks.” Additionally, a text of several lines presents the product as “an innovative melting gel” that “slims and reshapes the body profile, especially the hips, legs, and arms [… and …] thanks to the exclusive Biosculpt-complex, counters superficial fat accumulations promoting the drainage of excess fluids”;</w:t>
        <w:br/>
        <w:t>– the website www.somatolinecosmetic.it on the page dedicated to the product has content almost identical to the print message: it states, in fact, that the product is capable of slimming and reshaping the entire body and, in particular, the hips, legs, and arms. In addition to the slimming effectiveness quantified at 37% demonstrated by clinical-instrumental tests conducted on 25 subjects with diffuse superficial adiposity, it emphasizes that the product is intended “to reduce the treated areas by up to 2 cm.” The product is also qualified on the site as “Innovation”;</w:t>
        <w:br/>
        <w:t>– the product packaging prominently displays the claim: “Acts on localized fat. Slimming effectiveness up to 37% in 4 weeks” and the same information present in the other messages regarding the scientific tests conducted and the slimming effectiveness of the product quantifiable also in 2 cm. The ingredients are then listed, and it is specified that the exclusive Biosculpt-complex is a complex consisting of carnitine, cocoa, and African cherry, aimed at promoting the mobilization of superficial fats on the hips, legs, and arms, as well as improving skin elasticity. The word “Innovation” is also prominently featured.</w:t>
      </w:r>
    </w:p>
    <w:p>
      <w:r>
        <w:rPr>
          <w:b/>
        </w:rPr>
        <w:t>[Pages 55–57]</w:t>
      </w:r>
    </w:p>
    <w:p>
      <w:r>
        <w:t>BULLETIN NO. 47 OF DECEMBER 14, 2009 57</w:t>
      </w:r>
    </w:p>
    <w:p>
      <w:r>
        <w:t>5. As for the Intensive Slimming Night Treatment (B), the conduct in question pertains to the following messages:</w:t>
        <w:br/>
        <w:t>– a television spot showing a woman sleeping, while a voiceover states: “Slimming while you sleep? Today it’s possible.” The product packaging is displayed, while the voice declares: “Intensive night slimming, slims up to 33%.” At the same time, the claim: “Slims up to 33%” is prominently featured. A bottom-of-screen text specifies: “Reduction of adipose tissue thickness. Reshaping action, does not involve weight loss”;</w:t>
        <w:br/>
        <w:t>– a full-page print advertisement (of which an image is reproduced) featuring the same female figure sleeping with the indication: “Slims up to 33% in two weeks, while you sleep.” An asterisk refers to a bottom-of-page text stating: “Clinical instrumental tests conducted on 25 subjects. Measurement of the reduction of adipose tissue thickness. Reshaping action, does not involve weight loss.” Next to the depiction of the packaging, on which the indication: “Slimming effectiveness up to 33% in 2 weeks while you sleep” is readable, a brief text states that the product “takes advantage of the skin's particular receptivity during the night hours. Thanks to the exclusive BioUltraslim-complex, it performs a slimming action and promotes the drainage of excess fluids.” Above the image of the packaging, the word “Innovation” is prominently displayed;</w:t>
        <w:br/>
        <w:t>– the product packaging bears the same image and the text: “Slims up to 33% in two weeks, while you sleep” with the specification “Innovation.” It also clarifies that the BioUltraslim-complex is a cosmetic complex based on brown algae and karité butter capable of promoting the mobilization of localized fat and the elimination of excess fluids. The packaging also includes a reference to the clinical-instrumental tests conducted and their results, indicating, in addition to the maximum percentage value of slimming equal to 33% in 2 weeks and 42% in 4 weeks, also the average ultrasound value equal to 15%;</w:t>
        <w:br/>
        <w:t>– the website www.somatolinecosmetic.it in the section dedicated to the product reports the same information present on the packaging and in the print message. Additionally, it specifies that “with another 2 weeks […] a slimming effectiveness of up to 42% (average value 24%) is achieved.” The product is also qualified as “Innovation” on the site.</w:t>
      </w:r>
    </w:p>
    <w:p>
      <w:r>
        <w:t>6. Regarding the Slimming Solar Treatment (C), the conducts to which the assessment refers are:</w:t>
        <w:br/>
        <w:t>– a full-page print advertisement (of which an image is reproduced) featuring the image of a woman in a swimsuit next to the claim: “Slims up to 24% in 2 weeks while protecting from solar rays.” An asterisk refers to the text: “Clinical instrumental tests on 25 subjects with diffuse superficial adiposity. Slimming consists of a cosmetic reshaping action that does not involve weight loss.” The text next to the image of the packaging, on which it reads: “Somatoline Cosmetic Slimming Solar is an innovative treatment that, while protecting the skin from solar rays, slims the silhouette. Thanks to the exclusive Bioslim-complex, it promotes the mobilization of superficial fat and the drainage of excess fluids and, at the same time, tans while protecting the skin from sunburn and photoaging. Available in 3 protection factors: low, medium, and high.” Above the image of the packaging, the word “Innovation” is prominently displayed;</w:t>
        <w:br/>
        <w:t>– the product packaging features the text: “Slims up to 24% in 2 weeks while protecting from solar rays,” and the indication that the Bioslim Complex is a complex based on caffeine and escin that promotes the mobilization of localized superficial fat, as well as the drainage of fluids. From the tests conducted and cited, the demonstration of the product's ability to act on localized fat with a slimming effectiveness of up to 24% in 2 weeks is derived, with the specification that the average ultrasound value is 15%. The product is also qualified as “Innovation” on the packaging;</w:t>
        <w:br/>
        <w:t>– the website www.somatolinecosmetic.it in the section dedicated to slimming solar treatments contains the same effectiveness indications reported on the packaging and in the print message, without providing the average slimming values. The website also boasts that it “tones and firms the tissues by 21% after 2 weeks of application,” as well as the wording “Innovation.”</w:t>
      </w:r>
    </w:p>
    <w:p>
      <w:r>
        <w:t>7. With reference to the Belly and Hips Treatment (D), the conducts refer to the following messages:</w:t>
      </w:r>
    </w:p>
    <w:p>
      <w:r>
        <w:rPr>
          <w:b/>
        </w:rPr>
        <w:t>[Pages 58–60]</w:t>
      </w:r>
    </w:p>
    <w:p>
      <w:r>
        <w:t>60 BULLETIN NO. 47 OF DECEMBER 14, 2009</w:t>
        <w:br/>
        <w:t>– a full-page press message (of which the image is reproduced) in which, in addition to the female figure, the claim appears: “Reduces up to 4 cm in 4 weeks.” The asterisk refers to the text: “Clinical-instrumental tests conducted on 24 subjects. Measurement of the reduction of waist and hip circumference. Reshaping action, does not involve weight loss.” The image of the packaging, with the indication “Innovation,” on which the indication is readable: “Reduces up to 4 cm in 4 weeks – with Bioredux-Complex with slimming cryothermal action,” is accompanied by a text stating: “Somatoline Cosmetic Abdomen and Hips, thanks to the exclusive Bioredux-complex, performs an innovative cryothermal cosmetic action (hot-cold effect) that reshapes the abdominal area by reducing circumference. Ideal also for men”;</w:t>
        <w:br/>
        <w:t>– the website www.somatolinecosmetic.it where the same effectiveness indications regarding the slimming and reshaping action of the product on localized fat at the waist and hips in four weeks are present. In particular, it is specified that “slims the silhouette in 4 weeks in 75% of cases and visibly reshapes the profile in 100% of cases”;</w:t>
        <w:br/>
        <w:t>– the packaging prominently features the claim: “Abdomen and Hips - Slims the silhouette in 4 weeks,” followed by the clarification that this is a slimming cryothermal action carried out by the substances present in the Bioredux-complex, which is defined as a complex of natural microparticles of marine algae and cosmetic active ingredients enriched with microencapsulated fig buds that, among other things, facilitate the mobilization of fat;</w:t>
        <w:br/>
        <w:t>– a television spot showing a sequence focused on the abdomen and hips of a female image, while a voiceover states: “Redesign your figure with Somatoline Abdomen and Hips, reduces circumference up to 4 cm.” At the same time, in addition to the packaging being depicted, the text appears on the screen: “Reduces up to 4 cm in 4 weeks.” At the bottom of the screen, however, there is the clarification: “Reduction of waist and hip circumference. Reshaping action, does not involve weight loss.”</w:t>
      </w:r>
    </w:p>
    <w:p>
      <w:r>
        <w:t>BULLETIN NO. 47 OF DECEMBER 14, 2009 61</w:t>
        <w:br/>
        <w:t>8. With regard to these conducts related to the four products described above, the alleged profiles of unfairness, pursuant to Articles 20, 21, and 22 of the Consumer Code, concerned:</w:t>
        <w:br/>
        <w:t>– the characteristics and effectiveness of the products, presented in percentage values and maximum centimeters, deemed of dubious veracity and, in any case, with ambiguous modalities likely to mislead consumers about the results achievable with their use;</w:t>
        <w:br/>
        <w:t>– the claim of innovativeness and exclusivity attributed to the products due to their components identified with different fanciful names for each product (e.g., Biosculpt-complex, Bioslim-complex, etc.);</w:t>
        <w:br/>
        <w:t>– the reference to the experiments carried out generically defined as clinical-instrumental tests, as it was conducted omitting relevant information regarding the modalities of conducting the tests and the results obtained.</w:t>
        <w:br/>
        <w:t>III. INSTRUCTIONAL FINDINGS</w:t>
        <w:br/>
        <w:t>A) The procedural process</w:t>
        <w:br/>
        <w:t>9. For the purposes of applying the Consumer Code, the messages published in some newspapers on various dates in 2008 and 2009 related to the Slimming Solar Treatments and Abdomen and Hips were acquired ex officio, the web pages present on the site www.somatolinecosmetic.it viewed as of March 19, 2009, dedicated to the slimming line of Somatoline Cosmetic, and the press messages published on March 11, 2009, aimed at promoting the Intensive Night Treatment.</w:t>
        <w:br/>
        <w:t>10. On July 1, 2008, information was requested from the company Manetti–H.Roberts regarding, in particular, the advertising campaign carried out and the clinical tests supporting the claims used in advertising. In a note dated August 1, 2008, the company provided the requested information.</w:t>
        <w:br/>
        <w:t>11. On July 24, 2008, a request for intervention was received from Codacons aimed at reporting as incorrect and misleading the messages disseminated by Manetti-H.Roberts on its website, through periodical and daily press, and television broadcasters, aimed at promoting the Somatoline Cosmetic Slimming Solar Treatment. The Association noted that the advertising promises, which tend to make one believe in the product's suitability to slim and reshape by up to 24%, while protecting from solar rays and, therefore, allowing fat loss in critical body areas at the indicated percentage, were in contrast with the cosmetic nature of the product and not supported by any scientific evidence.</w:t>
        <w:br/>
        <w:t>12. On March 3, 2009, an additional request for intervention was received from Codacons aimed at reporting the advertising campaign carried out through print, television, and the internet in the early months of 2009, related to the Somatoline Abdomen and Hips Treatment, where it is stated that the product allows one to redesign their silhouette in 4 weeks. The advertising claims, in the opinion of the reporting Association, would not be supported by any demonstration of effectiveness from a scientific point of view and appear to be in contrast with the repeatedly expressed orientation of the National Institute of Food and Nutrition Research (INRAN).</w:t>
        <w:br/>
        <w:t>13. On April 24, 2009, the initiation of the procedure pursuant to Article 27, paragraph 6, of the Consumer Code was communicated to the company Manetti-H.Roberts and Codacons, hypothesizing the violation of Articles 20, 21, and 22 of the Consumer Code, with a simultaneous request for information.</w:t>
        <w:br/>
        <w:t>14. On May 21, 2009, a defensive memorandum from the professional was received, along with most of the documentation requested in the initiation communication.</w:t>
        <w:br/>
        <w:t>15. On July 2, 2009, information was requested from IFO – Hospital Physiotherapy Institutes (hereinafter, IFO) concerning: the representativeness of the average reduction and reshaping data indicated by the parties also in relation to the outcome of the experimentation carried out regarding the various products; the possibility of considering that the reshaping and slimming effect manifests with the same effectiveness on all types of localized fat, even if the phenomenon is associated with cellulite pathology; the alleged novelty of the substances present in the composition of the products in cosmetic preparations, also taking into account the modalities with which they are combined; the effectiveness of reduction/reshaping indicated for the various products in centimeters and percentages, specifying whether it translates into an absolute reduction of the circumferences (abdomen, hips, legs, arms) corresponding to the indicated values, or in a different and more circumscribed parameter. On August 5, 2009, IFO requested additional documentation, which was sent to the Institute on August 19, 2009.</w:t>
        <w:br/>
        <w:t>16. On August 26, 2009, the parties were sent the order extending the deadlines of the procedure adopted by the Authority on July 29, 2009.</w:t>
      </w:r>
    </w:p>
    <w:p>
      <w:r>
        <w:rPr>
          <w:b/>
        </w:rPr>
        <w:t>[Pages 61–63]</w:t>
      </w:r>
    </w:p>
    <w:p>
      <w:r>
        <w:t>BULLETIN NO. 47 OF DECEMBER 14, 2009 63</w:t>
      </w:r>
    </w:p>
    <w:p>
      <w:r>
        <w:t>17. On September 21, 2009, information was received (via fax) from the IFO, while the original copy of the document, countersigned by the General Director, was received on September 28, 2009.</w:t>
      </w:r>
    </w:p>
    <w:p>
      <w:r>
        <w:t>18. On September 25, 2009, the hearing of the legal representatives of Manetti &amp; Roberts S.p.A. took place.</w:t>
      </w:r>
    </w:p>
    <w:p>
      <w:r>
        <w:t>19. On September 28, 2009, the parties were informed of the conclusion date of the investigative phase pursuant to Article 16, paragraph 1, of the Regulation, while on September 29, the order extending the deadlines of the procedure adopted on September 23, 2009, was transmitted.</w:t>
      </w:r>
    </w:p>
    <w:p>
      <w:r>
        <w:t>20. On October 9, 2009, the final memorandum from the professional with related attachments was received.</w:t>
      </w:r>
    </w:p>
    <w:p>
      <w:r>
        <w:t>21. On October 14, 2009, the opinion of the Authority for Guarantees in Communications was requested, pursuant to Article 27, paragraph 6, of the Consumer Code, which was received on October 29, 2009. On October 29, 2009, the opinion of the Authority for Guarantees in Communications was received.</w:t>
      </w:r>
    </w:p>
    <w:p>
      <w:r>
        <w:t>B) The information elements acquired</w:t>
      </w:r>
    </w:p>
    <w:p>
      <w:r>
        <w:t>Regarding the marketing of the products and the scope and duration of the related promotional campaigns</w:t>
      </w:r>
    </w:p>
    <w:p>
      <w:r>
        <w:t>22. The Total Body Slimming Gel Treatment (A) was launched on the market in November 2005. During 2008, specifically in May-June 2008, it was the subject of an advertising campaign conducted in daily newspapers (e.g., Corriere della Sera, La Repubblica, La Stampa, and others) and periodicals (e.g., Chi, Donna Moderna, La Repubblica delle Donne, Gioia, Viversani, and others). Throughout May 2009, the product was advertised daily through daily newspapers, while from June 7-20, in July, and in the first half of August 2009, the campaign was conducted through periodicals. The product was also advertised online at least from March 19 to November 16, 2009.</w:t>
      </w:r>
    </w:p>
    <w:p>
      <w:r>
        <w:t>23. The Intensive Night Slimming Treatment (B) was launched on the market in January 2007. It was advertised during 2008 through television spots aired from May 4-10 on channels Italia 1, Canale 5, Rai1, and Rai 2 (up to 7 broadcasts per day), from May 11-17 on Rai 2, Rai 3, Italia 1, and Canale 5 (up to 6 daily broadcasts), and from June 1-14 on channels Italia 1, Canale 5, Rai 1, Rai 2, and Rai 3 (between 2 and 5 broadcasts per day). In 2009, particularly during the periods of May 3-16, May 31-June 13, and September 6-19, it was advertised through television spots. The product was also presented through the website at least from March 19, 2009, to November 16, 2009. The message was disseminated through daily newspapers in March 2009.</w:t>
      </w:r>
    </w:p>
    <w:p>
      <w:r>
        <w:t>24. The Slimming Solar Treatment (C) has been marketed since April 2008. During May and June 2008, it was advertised through numerous daily newspapers (e.g., Corriere della Sera, La Repubblica, La Stampa, and others) and periodicals (e.g., Donna Moderna, Chi, Gente Grazie, and others). Additionally, from May 18 to June 28, 2008, it was advertised through channels Rai 1, Rai 2, Rai 3, Italia 1, and Canale 5 (up to 9 broadcasts per day). The campaign resumed during the last two weeks of May until the first two weeks of August 2009 through television spots broadcast daily on channels La 7, SKY, and other SAT TVs. The product was advertised online on the professional's website at least from March 19, 2009, to November 16, 2009. The dissemination through periodical and daily press occurred in May-June 2008 and, in June 2009, through periodicals.</w:t>
      </w:r>
    </w:p>
    <w:p>
      <w:r>
        <w:t>25. The Belly and Hips Treatment (D) is a product available on the market since 2005 that was advertised in the manner subject to this examination through spots in July 2008 and from February 1 to 14, 2009, and from April 19 to May 2, 2009, through television spots. The campaign through daily newspapers took place between February 22 and March 7, from May 31 to June 13, and between July 5 and 18, 2009. The product was also advertised through the website at least during the period from March to October 2009.</w:t>
      </w:r>
    </w:p>
    <w:p>
      <w:r>
        <w:t>Regarding the action of cosmetics as well as the composition and safety of the products</w:t>
      </w:r>
    </w:p>
    <w:p>
      <w:r>
        <w:t>26. The slimming and reshaping products belong to the category of functional cosmetics, capable of positively interacting with physiological and metabolic processes of the skin. When applied to healthy skin in a non-pathological state, they have purely aesthetic purposes and not therapeutic ones, aimed at maintaining it in good condition and modifying its external appearance in line with the regulatory definition.</w:t>
      </w:r>
    </w:p>
    <w:p>
      <w:r>
        <w:t>27. These slimming products act on the physiological accumulations of subcutaneous fat, which consist of healthy and well-vascularized adipocytes, responsive to various stimuli, including those derived from massage and the application of cosmetic substances that determine their mobilization and relocation to other body areas. In support of the possible mobilization of fats, two technical reports have been attached.</w:t>
      </w:r>
    </w:p>
    <w:p>
      <w:r>
        <w:t xml:space="preserve">1 As also emphasized by UNIPRO in the Position Paper of May 13, 2009, functional cosmetics are legitimate and recognized by the legislator. </w:t>
        <w:br/>
        <w:t>2 In the first report signed by Prof. Pigatto, a specialist in dermatology, dating back to 2006, it is stated that localized adiposity is a condition characterized by alterations in skin topography of varying degrees localized in the pelvic region, abdomen, and lower limbs. Its appearance is due to genetic and racial factors, but the pathophysiological and etiopathogenetic pathways through which it manifests and worsens are still debated. A role in its appearance is attributable to hormonal, dietary, and lifestyle factors. Localized adiposity should not be confused with obesity and cellulite (a complex degenerative pathological process). Some stimuli such as active or passive physical activity can promote blood circulation and, therefore, the mobilization of fats. An effective topical treatment also allows for the reduction of mass and volume in the affected areas. The fat present in localized adiposity, being composed of healthy adipocytes, is easily mobilizable with appropriate treatment that produces a draining effect. Many cosmetic ingredients contained in the Belly and Hips formulation are capable of improving skin microcirculation and thus vascular supply and consequently the draining effects. Furthermore, algae extracts, due to their iodine content, can locally mobilize adipocytes by stimulating lipid catabolism and decreasing the volume of fat nodules, without causing weight loss. In the second report prepared by Prof. Chimenti (Policlinico Tor Vergata), in addition to a detailed analysis of the phenomenon, it is stated that the accumulation of adipose tissue is due to an increase in the number (hyperplasia) and cellular content of adipocytes (hypertrophy). The latter consists of the growth in volume of the cells without an increase in their number. In the case of remodeling of localized adipose tissue, the cell loses its lipid content, reducing its volume, while the number of adipose cells remains unchanged. A correct diet combined with regular physical activity is essential to reduce localized adiposity in the early stages. In cases of mild or moderate adiposity, the fat present in healthy areas can be easily mobilized, resulting in a reshaping of the silhouette, through treatments that utilize massages, manipulations, or active ingredients aimed at restoring microcirculation or optimizing lipolytic pathways. The report states that various substances present in the Belly and Hips treatment are capable of intervening in the metabolism of adipose tissue by restoring the alterations of microcirculation and lipolysis associated with localized adiposity. It is plausible, concludes the report, that continuous treatment with this product allows for the remodeling of subcutaneous tissue through "the mobilization of metabolic products and optimization of the physiology of its anatomical structures, appreciable by the patient himself." The report cites a clinical test conducted on the product in 2004 that would have demonstrated how using the treatment for 4 weeks on a significant number of volunteers would have shown an important reshaping, through a volumetric reduction of the belly and hips areas without weight loss.</w:t>
      </w:r>
    </w:p>
    <w:p>
      <w:r>
        <w:t>BULLETIN NO. 47 OF DECEMBER 14, 2009 65</w:t>
      </w:r>
    </w:p>
    <w:p>
      <w:r>
        <w:t>28. The ingredients and substances contained in the products are frequently used in cosmetics, and the novelty lies in the quantitatively diversified formulas for the 4 products. There are no patents protecting these compositions. The packaging and formulations of the products have remained unchanged since their market introduction, and currently, there are products on the market with similar formulas. The expressions Biosculpt Complex, Bioultraslim Complex, Bioslim Complex, and Bioredux Complex have been registered as trademarks.</w:t>
      </w:r>
    </w:p>
    <w:p>
      <w:r>
        <w:t>29. All Somatoline products are cosmetic in nature, and only cosmetic ingredients are used in their composition in accordance with Law 713/86 containing "Rules for the implementation of the European Community Directives on the production and sale of cosmetics." In accordance with the provisions of Article 10 of the aforementioned law, Manetti-H.Roberts, at the time of marketing the products belonging to the line in question, transmitted a specific communication to the Ministry of Labor, Health, and Social Policies, containing the list of ingredients and sends the updated list of all raw materials used in the cosmetic products marketed by the company to the aforementioned Ministry every six months. The last of these communications was made in March 2009.</w:t>
      </w:r>
    </w:p>
    <w:p>
      <w:r>
        <w:t>Regarding the effectiveness of the products</w:t>
      </w:r>
    </w:p>
    <w:p>
      <w:r>
        <w:t>30. The formulations of the Total Body Slimming Gel, Slimming Solar, and Intensive Night Slimming products have been clinically tested to demonstrate their effectiveness and tolerability for a period of 4 weeks under dermatological control. The effectiveness of each product was measured with instrumental tests (ultrasound and skinfold thickness measurement), and the messages reported data that achieved a statistically significant result. In the overall clinical studies conducted, a slimming action was observed in the examined areas in terms of reduction of the thickness of the subcutaneous adipose tissue, without the volunteers having changed their body weight. The slimming, following the use of the aforementioned products, consists of a cosmetic reshaping action that does not involve weight loss.</w:t>
      </w:r>
    </w:p>
    <w:p>
      <w:r>
        <w:t>31. All percentage data reported in the claims present in the messages related to the Total Body Slimming Gel, Intensive Night Slimming, and Slimming Solar treatments represent the maximum values on the reduction of the thickness of the adipose tissue detected in the various experiments conducted on 1 subject out of 24 tested. In the case of the Belly and Hips treatment, the indicated reduction in centimeters represents a maximum value found on 7 subjects out of 24 tested. The average values obtained from the experiments are lower percentages and centimeters, approximately half of the values declared in the messages.</w:t>
      </w:r>
    </w:p>
    <w:p>
      <w:r>
        <w:t>32. As for the methods by which the slimming results reported in the messages are calculated, as already indicated, it has emerged that these reference the reduction of the thickness of the adipose tissue, measured ultrasonically in millimeters. The percentages related to the slimming effectiveness are, therefore, calculated on the reduction of the adipose tissue. For example, in a normal person, the tissue is 1/1.2 cm, depending on the characteristics of the site.</w:t>
      </w:r>
    </w:p>
    <w:p>
      <w:r>
        <w:t>3 The products do not contain iodine. The only traces of iodine are present in the Belly and Hips and Intensive Night treatments due to the algae contained therein. However, the iodine content in these products is well below the maximum concentration authorized in cosmetics not intended for rinsing.</w:t>
      </w:r>
    </w:p>
    <w:p>
      <w:r>
        <w:t>4 The manufacturing companies of cosmetic products must ensure their compliance with the safety dossier. For the products in question, Manetti &amp; Roberts also tests their tolerability.</w:t>
      </w:r>
    </w:p>
    <w:p>
      <w:r>
        <w:rPr>
          <w:b/>
        </w:rPr>
        <w:t>[Pages 64–66]</w:t>
      </w:r>
    </w:p>
    <w:p>
      <w:r>
        <w:t>66 BULLETIN NO. 47 OF DECEMBER 14, 2009</w:t>
      </w:r>
    </w:p>
    <w:p>
      <w:r>
        <w:t>investigated. In the case of cellulite, localized adiposity, fat, this cushion can reach 3 cm and beyond, but it is not a uniform measurement. The percentage of reduction, which does not indicate weight loss but rather the compaction of tissue that reallocates, has been calculated on this basis (in the case of a 30% reduction on 1 cm, it will be approximately 3 mm).</w:t>
      </w:r>
    </w:p>
    <w:p>
      <w:r>
        <w:t>33. With reference to the measurement in centimeters, these are methodologies not provided for by the Guidelines, the value of which can only be appreciated where the results are confirmed by multiparametric instrumental measurements of the fold, for example, ultrasound or skinfold measurement. In this specific case, the centimeter value expressed with reference to the product Abdomen and Hips has been confirmed by the instrumental measurements carried out during the further experimentation in 2008.</w:t>
      </w:r>
    </w:p>
    <w:p>
      <w:r>
        <w:t>34. As indicated by the same professional, the reduction effect obtained with the use of slimming products is not definitive, in the sense that it can also last for several weeks but is an uncertain or scientifically indefinable eventuality a priori. It is usually suggested to cyclically use such treatments since after a certain period (about a month) the improvement does not continue and appears stable in the effects achieved even postponing the use of the products.</w:t>
      </w:r>
    </w:p>
    <w:p>
      <w:r>
        <w:t>35. A test to verify the slimming properties of the Total Body Slimming Gel Treatment (A) was conducted in 2005 at the University of Pavia IRCCS Policlinico S. Matteo, on 25 volunteers who used it for 4 weeks with 2 applications per day. In the conclusions of the study, it is stated that the analysis of the ultrasound data shows the topical's ability to exert a reducing effect on the investigated sites, supported by the reduction of circumference and thickness of the skin fold. The variation of the average weight data within a physiological range excludes the possibility of attributing the slimming effect to any weight loss. In particular, the average ultrasound data on hips and thighs recorded after 4 weeks is a 16% reduction (reported on the packaging), while the 37.5% represents the maximum value obtained on the thigh from a single volunteer after 4 weeks.</w:t>
      </w:r>
    </w:p>
    <w:p>
      <w:r>
        <w:t>Another test on the same product dates back to 2008 and was conducted at the same University on two groups of volunteers who used it for 4 weeks with 2 applications per day without changing their dietary and physical activity habits. The results obtained are based on instrumental measurements that include ultrasound, skinfold measurement, morphometric measurements, and elastometry. The statistical analysis of the ultrasound data shows a remodeling effect after 28 days of use concerning hips, thighs, and arms. The average ultrasound value on thighs was found to be 19%, while the maximum value related to the thigh is 37% and concerned 1 subject among the 50 subjects tested, while on the hips the average value is 16% with a maximum value, found on 1 subject among 50, equal to 31.91%.</w:t>
      </w:r>
    </w:p>
    <w:p>
      <w:r>
        <w:t>36. An instrumental clinical test conducted in 2006 on the Intensive Night Slimming Treatment (B) also at the aforementioned University aimed to verify the slimming properties, as well as the tolerability of the product on 25 healthy volunteers who used it for 4 weeks with one application per day, through massage, before nighttime rest. The value of 33.3% indicated in advertising represents the maximum reduction value found after 2 weeks from the ultrasound data related to the thigh. The 15% indicated on the packaging refers instead to the average ultrasound value of the hips after 14 days, while the average ultrasound value related to the thigh at 14 days is 9%. The subjects did not experience significant weight changes during the trial.</w:t>
      </w:r>
    </w:p>
    <w:p>
      <w:r>
        <w:t>37. A slimming efficacy test on the Slimming Solar Treatment (C) was conducted in 2007 at the same University on 25 volunteers, following prolonged use for 4 weeks with 3 applications per day. The instrumental and morphometric analyses carried out starting from baseline values and with measurements at 2 and 4 weeks of use and corneometry, highlighted a significant reduction in the treated areas (thighs, hips, and arms) already after 2 weeks. From the analysis of the ultrasound data, the topical's ability to exert a reducing effect on the investigated sites is evident, supported by the reduction of circumference and thickness of the skin fold. The variation of the average weight loss within a physiological range excludes the possibility of attributing the slimming effect to any weight loss. The average ultrasound value recorded (as reported on the packaging) after 2 weeks is a 15% reduction, while the 24.1% reported in advertising represents the maximum reduction ultrasound value obtained from a volunteer on the hips after 2 weeks of treatment.</w:t>
      </w:r>
    </w:p>
    <w:p>
      <w:r>
        <w:t>Another efficacy test on the same product was conducted in 2008 at the same University on 25 healthy volunteers who used it for 4 weeks without changing their lifestyle and diet, and the results were recorded with instrumental and morphometric measurements. The average ultrasound data show a 19% reduction concerning the waist in 2 weeks and 33% after 4 weeks. Regarding the hips, the average ultrasound value after 2 weeks of 23% reached 35.9% after 4 weeks. As for the thigh, the average ultrasound value of 21.9% after 2 weeks increased to 38.4% after 4 weeks.</w:t>
      </w:r>
    </w:p>
    <w:p>
      <w:r>
        <w:t>38. The Abdomen and Hips Treatment (D) was the subject of a clinical test conducted by Derming at the Institute of Research and Bioengineering in Monza. The study aimed to evaluate clinically and morphometrically the slimming activity on 25 subjects who presented localized adiposity on the abdomen and hips and who used it for 4 weeks with 2 applications per day. The variations recorded compared to baseline showed an average reduction of waist circumference of 2.7 cm (the maximum reduction is 4.2 cm on 3 volunteers), an average reduction of hips at the level of the iliac spine of 2.6 cm (maximum reduction of 6.3 cm on 5 subjects), and an average reduction of hips at the level of the subgluteal groove of 0.9 cm.</w:t>
      </w:r>
    </w:p>
    <w:p>
      <w:r>
        <w:t>During the study, volunteers underwent instrumental evaluations of the thickness of the skin layer and the skin fold through ultrasound, skinfold measurement, and morphometric measurements, supported by circumference measurements on hips and thighs.</w:t>
      </w:r>
    </w:p>
    <w:p>
      <w:r>
        <w:t>39. The validity of the studies conducted on the products has been certified by a Professor of Dermatology who confirmed the validity of the methodologies performed, considering them scientifically recognized at the international level, according to the protocols provided by the European guidelines for the study of cosmetics and the international literature (COLIPA). Furthermore, the number of volunteers recruited was deemed adequate and representative for the purposes of the studies. The experimental data were processed and evaluated using appropriate biostatistical methods, and the data supporting the claims used were found to be statistically significant concerning the size of the analyzed sample.</w:t>
      </w:r>
    </w:p>
    <w:p>
      <w:r>
        <w:t>40. In conclusion, the professional emphasizes that the tests related to the Total Body Slimming Gel, Intensive Night Slimming, Slimming Solar, and Abdomen and Hips products were conducted according to valid and adequate scientific criteria and demonstrate the effectiveness and tolerability of the products. The maximum value obtained in relation to the individual experiments is statistically compatible with the distribution of the data, and moreover, the results obtained from the individual tests conducted on the products under verification are not anomalous compared to the rest of the sampled data. Therefore, the claimed assertions appear to be supported by the results from the statistical analysis.</w:t>
      </w:r>
    </w:p>
    <w:p>
      <w:r>
        <w:t>Modifications made to the messages during the procedure</w:t>
      </w:r>
    </w:p>
    <w:p>
      <w:r>
        <w:t>41. Regarding the Total Body Slimming Gel Treatment (A), whose advertising was carried out only through press announcements in newspapers and magazines, starting from May 1, 2009, the message was modified by inserting the warning "Maximum result achieved on 1 subject (average result 16%)." From July 19, the press messages were modified, eliminating the quantification of slimming in the headline. This indication remained legible on the image of the product packaging present in the table and in the body copy of the message itself.</w:t>
      </w:r>
    </w:p>
    <w:p>
      <w:r>
        <w:t>42. Regarding the Intensive Night Slimming Treatment (B), starting from May 3, 2009, the advertisement was modified by adding to the claim "slims up to 33% in 2 weeks" both the warning reported in the super at the bottom of the screen that this is the maximum value found on one subject among the 25 tested, as well as the data corresponding to the average result (15%) achieved. The television campaign interrupted in June resumed on September 5, 2009, with a new version in which the result obtained with the use of the product is no longer quantified: the only claim present states "Slims the silhouette in 2 weeks."</w:t>
      </w:r>
    </w:p>
    <w:p>
      <w:r>
        <w:rPr>
          <w:b/>
        </w:rPr>
        <w:t>[Pages 67–69]</w:t>
      </w:r>
    </w:p>
    <w:p>
      <w:r>
        <w:t>BULLETIN NO. 47 OF DECEMBER 14, 2009 69</w:t>
      </w:r>
    </w:p>
    <w:p>
      <w:r>
        <w:t>43. As for the Slimming Solar Treatment (C), starting from May 17, 2009, it has been advertised through television commercials in which, alongside the statement "Slims up to 24% in 2 weeks," the warning "Reshapes the thickness of the adipose tissue vs before treatment. Max Result on 1 subject. Test on 25 subjects. Average Result 15%. Does not involve weight loss" appears on the screen for 4 seconds; the print advertisement has been supplemented with the same indications. From June 15, 2009, the television advertisement was modified by removing the quantification of slimming, leaving only the claim "Slims the silhouette in 2 weeks."</w:t>
      </w:r>
    </w:p>
    <w:p>
      <w:r>
        <w:t>44. The packaging of the Belly and Hips Treatment (D) will be modified soon, and in particular, the claim currently present on the packaging "slims the silhouette in 4 weeks" will be replaced with "reduces up to 4 cm in 4 weeks." Furthermore, on the sides of the packaging, indications will be included that attest that the claimed results emerged from a clinical-instrumental test conducted on 52 subjects, demonstrating the product's action to reduce the waist and hip circumference by up to 4 cm in 4 weeks, while the average reduction is 2.3 cm. Regarding the television advertisement for the Belly and Hips Treatment, starting from April 19, 2009, the video was modified. In particular, the indication "reduces circumference by up to 4 cm" was clarified in the super with the following specifications: "Does not involve weight loss. Max value for reduction of waist and hip circumference on 7 subjects. Test on 24 subjects. Average value 2.5 cm." From May 31, 2009, the same specification was also included in print ads. From July 5, 2009, the advertisement was further modified by adding, in overlay, in addition to the text "Reduces up to 4 cm in 4 weeks," the average data with the indication "average - 2 cm." In the super at the bottom of the screen, the clarification "Max Result on 7 subjects. Test on 24 subjects does not involve weight loss" was included.</w:t>
      </w:r>
    </w:p>
    <w:p>
      <w:r>
        <w:t>The information provided by the IFO</w:t>
      </w:r>
    </w:p>
    <w:p>
      <w:r>
        <w:t>45. With the report, received by fax on September 21, 2009, and in original, countersigned by the General Director on September 28, 2009, the IFO clarified that the use of cosmetics against localized adiposity responds to two important functions: modifying the skin appearance and maintaining it in good condition. The products in question can only be used concerning localized adiposity, which differs significantly from cellulite, which presents a completely different picture both clinically and histopathologically and therapeutically. In the cosmetic field, the active ingredients used for localized adiposity for topical use are numerous. They can be summarized into 5 categories: agents on the adipocyte of the adipose tissue, methylxanthines, organic and inorganic iodine, carnitine, and glauconine.</w:t>
      </w:r>
    </w:p>
    <w:p>
      <w:r>
        <w:t>46. Regarding the trials conducted by the company on the various formulations of the different products, the Institute notes that there is no evidence that comparative studies with placebo or with another product, which in the field of cosmetics constitutes a primary methodological approach, have been carried out, emphasizing that centimeter or percentage measurements are only valuable if compared with another topical pharmaceutical or physical product. The Institute also reports that the substances used in the products are known in the cosmetic field.</w:t>
      </w:r>
    </w:p>
    <w:p>
      <w:r>
        <w:t>47. As for the possible local mobilization of adipocytes with consequent reshaping of the silhouette supported by the experts indicated by the professional, the Institute, on the assumption that these are interesting interpretations, believes, however, that in this case, the claims regarding the mobilization of superficial fats with the Slimming Gel product are unproven, as there are no in vivo and clinical studies confirming this—such as focal microscopy—that demonstrate the actual mobilization of fat, or the dynamic changes that the adipose mass undergoes following topical pharmacological stimuli.</w:t>
      </w:r>
    </w:p>
    <w:p>
      <w:r>
        <w:t>Summary of the defensive arguments presented by the professional with the memorandum of May 21, during the hearing of September 25, and with the concluding memorandum received on October 9, 2009</w:t>
      </w:r>
    </w:p>
    <w:p>
      <w:r>
        <w:t>a) Preliminary and substantive issues regarding the information provided by the IFO</w:t>
      </w:r>
    </w:p>
    <w:p>
      <w:r>
        <w:t>48. During the hearing and in the concluding memorandum, the professional argued that there are valid procedural and substantive reasons for which the considerations expressed by the IFO should not be taken into account. The company, first of all, raises, regarding the merits, the IFO's observation aimed at contesting the methodological correctness of the tests conducted to support the effectiveness of Somatoline Cosmetic products. In fact, this position, according to the professional, not only contrasts with the opinion expressed by the company's consultant, who operates within the same Institute, but is also not shareable in substance, as the methodologies followed by Manetti-H. Roberts are accepted and recognized, with both placebo and non-placebo tests being valid, the validity of the latter depending only on the fact that they are conducted with instrumental measurements. The cosmetologist manual (D’Agostinis) cited in the IFO report also highlights the difficulty in the cosmetic field of comparisons with placebo. From the same guidelines of Colipa – The European Cosmetic Association – of 2008, it emerges that comparison with placebo is one of the possible methodologies, but not the only one allowed. To consider a study methodology valid, it is necessary to carry out comparisons between the data collected at the end of the study and the initial data. The Guidelines also require certain requirements for the validity of the experimentation and, in particular, a certain sample size with a complex case history (30-40 subjects from a statistical point of view appear reliable), statistical analysis, and the performance of multiparametric instrumental tests that converge on the result.</w:t>
      </w:r>
    </w:p>
    <w:p>
      <w:r>
        <w:t>49. Secondly, the company notes that the signatory of the IFO report is in a clear conflict of interest situation as the author, on behalf of a competing company, of an efficacy test on an anti-cellulite product, the results of which he presented at a scientific medical congress. Moreover, the study in which he participated was conducted without comparison with placebo, but only by comparing the situation before and after treatment.</w:t>
      </w:r>
    </w:p>
    <w:p>
      <w:r>
        <w:t>b) Relationship between the Somatoline Cosmetic line and the Somatoline Drug</w:t>
      </w:r>
    </w:p>
    <w:p>
      <w:r>
        <w:t>50. The medicinal specialty Somatoline and the Somatoline Cosmetic products are radically different from each other in nature, composition, and function and are advertised in different ways. The radio text used to promote the medicinal specialty was authorized by the Ministry through the silence-assent procedure. The medicinal specialty combats cellulite, which is a pathology, while the cosmetics under the Somatoline Cosmetic brand are slimming products that act on physiological accumulations of subcutaneous fat.</w:t>
      </w:r>
    </w:p>
    <w:p>
      <w:r>
        <w:t>IV. OPINION OF THE AUTHORITY FOR GUARANTEES IN COMMUNICATIONS</w:t>
      </w:r>
    </w:p>
    <w:p>
      <w:r>
        <w:t>51. Since the commercial practices subject to this provision have also been disseminated through print media, television commercials, and the internet, on October 14, 2009, the opinion of the Authority for Guarantees in Communications (hereinafter also AGCom) was requested pursuant to Article 27, paragraph 6, of the Consumer Code.</w:t>
      </w:r>
    </w:p>
    <w:p>
      <w:r>
        <w:t>52. In an opinion received on October 29, 2009, the aforementioned Authority considered that the commercial practices in question violate the provisions of Articles 20, 21, and 22 of the Consumer Code, based on the following considerations. The messages with a high persuasive value aim to generate in the average consumer the erroneous belief that they can eliminate, with the simple use of the products, quickly and easily, while even sunbathing or sleeping, any issues related to fat accumulation in certain areas of the body such as the abdomen, legs, and hips, leading them to make commercial decisions they would not otherwise have made. Furthermore, the messages are found to be omissive and misleading, as they refer in a non-exhaustive manner to data that are only peak results from the experimentation, without also specifying what the composition, the minimum potentially obtainable performances, and the real nature of the products (cosmetic or pharmaceutical) are, thus preventing the consumer from making informed choices and evaluations of convenience and the real benefit obtainable from the use of the products.</w:t>
      </w:r>
    </w:p>
    <w:p>
      <w:r>
        <w:t>V. CONCLUDING EVALUATIONS</w:t>
      </w:r>
    </w:p>
    <w:p>
      <w:r>
        <w:t>Autonomy of the commercial practices referred to in letters A), B), C), and D) of point II</w:t>
      </w:r>
    </w:p>
    <w:p>
      <w:r>
        <w:t>53. As a preliminary matter, it is noted that the behaviors related to the overall methods by which the professional has advertised and marketed the Total Body Slimming Gel Treatment (A), Intensive Night Slimming Treatment (B), Slimming Solar Treatment (C), and Belly and Hips Treatment constitute four distinct practices that can be evaluated separately. Although all the products belong to the Somatoline Cosmetic line, the aforementioned behaviors aim to promote different products that differ in name, composition, and specific intended use, as well as in the methods of execution, articulation, and content of their respective advertising campaigns dedicated to them. It must be clearly indicated what type of comparison is being made, distinguishing between before and after, with or without placebo (see G. Pierard "Instrumental non-invasive assessment of cosmetic efficacy").</w:t>
      </w:r>
    </w:p>
    <w:p>
      <w:r>
        <w:rPr>
          <w:b/>
        </w:rPr>
        <w:t>[Pages 70–72]</w:t>
      </w:r>
    </w:p>
    <w:p>
      <w:r>
        <w:t>72 BULLETIN NO. 47 OF DECEMBER 14, 2009</w:t>
      </w:r>
    </w:p>
    <w:p>
      <w:r>
        <w:t>Preliminary Issues</w:t>
      </w:r>
    </w:p>
    <w:p>
      <w:r>
        <w:t>54. The exceptions raised regarding the information provided by the IFO, both concerning the alleged conflict of interest and with reference to the correctness of the considerations expressed by the Institute that contrast with the position of the party's consultant, must be rejected for the reasons that will be outlined.</w:t>
      </w:r>
    </w:p>
    <w:p>
      <w:r>
        <w:t>First of all, it should be noted that the consultancy provided to the professional, moreover subsequent to the initiation of the procedure, refers to the validity of the experimental methodologies followed by the professional to verify the effectiveness of the treatments, whereas this examination concerns the methods by which the products of the Somatoline Cosmetic line are advertised and, in particular, the ways in which the results of the experiments conducted on them have been included and presented.</w:t>
      </w:r>
    </w:p>
    <w:p>
      <w:r>
        <w:t>55. That said, the exceptions regarding the reliability of the information provided by the IFO also appear to lack merit. These are indeed information coming from a public structure of primary scientific relevance, not only concerning healthcare activities but also regarding research in the dermatological field, which was consulted regarding the issues related to the subject of the assessment by virtue of a collaboration protocol signed with the Authority. The report received from the IFO, signed by the Scientific Director and countersigned by the General Director, is an authoritative manifestation of the Institute's point of view, nor can the fact that the speaker provided consultancy on a different product, which is not even competitive with those examined here, have any relevance. In fact, the study in which he participated concerned an anti-cellulite product qualified as a medical device and as such subject to specific regulations, different from those applicable to slimming cosmetics, such as the products in question. The same professional, also a producer of a drug against cellulite, has repeatedly stated that such treatments do not fall among the products specifically dedicated to cellulite and its blemishes.</w:t>
      </w:r>
    </w:p>
    <w:p>
      <w:r>
        <w:t>56. Regarding the methodology followed to test the products, the IFO merely defines a primary methodological approach among the many contemplated by the literature in the field, which makes use of studies comparing with placebo as preferable. This does not contradict the admissibility of other types of experimentation which, however, in the Institute's opinion, do not allow for the enunciation of results valid in percentages or centimeters, nor to express an assessment of their representativeness. The Institute's position in this regard appears legitimate and consistent with what has been expressed in response to previous requests.</w:t>
      </w:r>
    </w:p>
    <w:p>
      <w:r>
        <w:t>It should be considered that the critical remarks regarding the methodology with which the tests were conducted represent only one of the arguments addressed in the information provided by the IFO, which has also expressed itself on several other points such as: the limited scope of action of such products concerning pathological situations such as cellulite; the action of mobilizing fats; the type of substances usually used in cosmetic products aimed at treating localized adiposity.</w:t>
      </w:r>
    </w:p>
    <w:p>
      <w:r>
        <w:t>General considerations on the effectiveness statements of the messages</w:t>
      </w:r>
    </w:p>
    <w:p>
      <w:r>
        <w:t>57. The products in question, as emerges from the investigation carried out, can be classified as cosmetics with reducing properties. These are treatments that can exert their action only on localized adiposity, where the same is not associated with other and more complex phenomena such as obesity and/or cellulite, which cannot benefit from the use of the product. In fact, such topical treatments can, due to the substances contained in them and the necessary massage for their application, intervene on healthy and easily modifiable cells of the subcutaneous adipose tissue, reducing its volume, without producing weight loss and with non-definitive effects, but appreciable at most only for a few weeks after the cessation of treatment.</w:t>
      </w:r>
    </w:p>
    <w:p>
      <w:r>
        <w:t>The slimming action of all the products under examination - Total Body Slimming Gel Treatment, Intensive Night Treatment, Slimming Solar Treatment, and Belly and Hips Treatment - has been the subject of in vivo experiments conducted through clinical-instrumental tests primarily aimed at verifying the reduction of adipose tissue obtainable after 2-4 weeks of product application on specifically identified areas.</w:t>
      </w:r>
    </w:p>
    <w:p>
      <w:r>
        <w:t>58. All treatments, although subject to diversified campaigns, have been advertised through messages that present a similar structure and that, for this reason, can be the subject of unitary considerations under certain profiles. The communications show the image of a female body associated with the claim in which the slimming obtainable locally with the use of the product is emphatically quantified, in percentage or centimeter values, each time advertised as innovative, as well as the timing.</w:t>
      </w:r>
    </w:p>
    <w:p>
      <w:r>
        <w:t>The only further clarifications contained in the messages aim to highlight that the value expresses the measurement of the reduction in the thickness of the adipose tissue detected during tests that involved a certain number of people (mostly numbering 25). In all messages, there is also the clarification that the reshaping action performed by the products does not involve weight loss.</w:t>
      </w:r>
    </w:p>
    <w:p>
      <w:r>
        <w:t>a) Relevant omissions – study methodology and parameters used</w:t>
      </w:r>
    </w:p>
    <w:p>
      <w:r>
        <w:t>59. In the messages, the proposed reduction is specifically quantified, in percentages and centimeters, as an expression of the outcome of experiments conducted by the professional, implying that such data are objective, as scientifically demonstrated.</w:t>
      </w:r>
    </w:p>
    <w:p>
      <w:r>
        <w:t>From what emerged during the procedure, the expressed values appear misleading primarily due to the manner in which they are presented, as consumers are not provided with tools to correctly understand their scope and relevance, or to establish to which parameters and measurements they refer. As repeatedly stated by the Authority, where the professional intends to seal the effectiveness of their products by presenting it as proven by scientific studies, they are required to comprehensively illustrate the methodological approach used, the parameters considered, the measurements carried out, and the results achieved to allow the recipient of the message full understanding of the stated values, possibly referring to another source easily accessible to the consumer, should the medium impose restrictions.</w:t>
      </w:r>
    </w:p>
    <w:p>
      <w:r>
        <w:t>60. In this case, understanding the scope of the quantification made could not disregard clarifications that defined the adipose tissue, in which situations it could be satisfactorily treated through the use of the products in question and, conversely, in which cases the use of the products should be considered inadequate (obesity and cellulite) and, last but not least, on what initial thickness the indicated percentage or centimeter reduction was appreciated.</w:t>
      </w:r>
    </w:p>
    <w:p>
      <w:r>
        <w:t>61. It should be noted that in the examined conduct, the centimeter and percentage values reported are the result of ultrasound measurements that in most cases showed reductions of adipose tissue (of about 1-2 cm thickness) in the treated areas in the order of millimeters.</w:t>
      </w:r>
    </w:p>
    <w:p>
      <w:r>
        <w:t>Very different is the perception that could arise from reading claims that boast absolute reductions ranging from 20% to 40%, or up to 4 cm, of the silhouette without offering further explanations regarding the calculation basis of such values and, therefore, of the tests and measurements actually carried out. Certainly, the methods used to advertise the products, in the absence of the aforementioned references, can create excessive and unjustified reliance on the properties of the products that are not proportionate to the actual slimming effectiveness that can be attributed to them, as can be inferred from the outcome of clinical tests.</w:t>
      </w:r>
    </w:p>
    <w:p>
      <w:r>
        <w:t>b) Usability of the percentage or centimeter measurements obtained from the studies</w:t>
      </w:r>
    </w:p>
    <w:p>
      <w:r>
        <w:t>62. The practices under examination present with great emphasis the percentage and centimeter results that can derive from the use of the products. These are information that has a particular appeal to consumers, as they quantify the promised slimming, mostly in scientific terms and as a result of clinical tests.</w:t>
      </w:r>
    </w:p>
    <w:p>
      <w:r>
        <w:t>The IFO has expressed a very critical assessment on this specific aspect regarding the possibility of relying on centimeter and percentage measurements that can be representative, in the absence of studies comparing with placebo or other products.</w:t>
      </w:r>
    </w:p>
    <w:p>
      <w:r>
        <w:t>Without questioning the reliability of the studies on the effectiveness of the products, it is therefore deemed that, since comparative studies have not been conducted, it is improper and misleading to mention in advertising, moreover in a instrumentally partial manner, the slimming values detected as a result of the experimentation.</w:t>
      </w:r>
    </w:p>
    <w:p>
      <w:r>
        <w:t>c) Quantification of the results reported in the messages</w:t>
      </w:r>
    </w:p>
    <w:p>
      <w:r>
        <w:t>63. Furthermore, in the examined messages, by the professional's express admission and as emerges from the examination of the copious documentation on file, the indicated values integrate maximum reduction values, moreover achieved only in a specific localized area (thigh, hip), whereas the average results are much lower. A generic indication of the average results is reported only on the packaging of the various products. The use in commercial communications of data that reflect only the maximum value achieved in some limited situations is misleading when used in an advertising claim as it cannot in any way correctly represent to the broad public of consumers to whom the advertising communication is addressed the effectiveness derived from the use of the product. Such indication leads, in fact, the consumer to overestimate the properties and possibilities of use of the product, thereby altering their choices.</w:t>
      </w:r>
    </w:p>
    <w:p>
      <w:r>
        <w:t>64. Nor does the use of the phrase "up to," or the inclusion of any clarifications temper the incorrectness of such conduct attributable to all the practices under examination. According to the established orientation of the Authority, no case can be entrusted to super, moreover of poor readability, or to footnotes clarifications that substantially downsize the scope of the main assertions of the messages, to the point of contradicting their contents. In no case is it deemed correct to present the maximum result obtained in the experimental context, even less as a central element of the advertising communication, as it is not an adequately representative data, stigmatizing a very circumscribed result and as such not usable to exemplify to the generality of consumers the effectiveness of a product.</w:t>
      </w:r>
    </w:p>
    <w:p>
      <w:r>
        <w:rPr>
          <w:b/>
        </w:rPr>
        <w:t>[Pages 73–75]</w:t>
      </w:r>
    </w:p>
    <w:p>
      <w:r>
        <w:t>BULLETIN NO. 47 OF DECEMBER 14, 2009 75</w:t>
      </w:r>
    </w:p>
    <w:p>
      <w:r>
        <w:t>d) Significant omissions regarding the slimming effect</w:t>
      </w:r>
    </w:p>
    <w:p>
      <w:r>
        <w:t>65. It should be noted that the messages present further profiles of omission, as they do not clarify that the effects obtained are strictly related to the use of the products, which may at most last for a few weeks after the conclusion of the treatments, the use of which, moreover, does not produce further benefits beyond a certain period.</w:t>
      </w:r>
    </w:p>
    <w:p>
      <w:r>
        <w:t>66. Under the first profile, the central emphasis in all messages on slimming, combined with specifically quantified promises and in the absence of other suitable information, does not allow consumers to understand the extent of the merely cosmetic effectiveness of the product, potentially misleading them regarding a possible weight loss action rather than a slimming one. In light of messages all focused on the slimming effectiveness, the specification present in the messages that emphasizes that the use of the product does not result in weight loss is not sufficient, as it does not have equal graphic relevance in print messages and is relegated to a mere super in television spots.</w:t>
      </w:r>
    </w:p>
    <w:p>
      <w:r>
        <w:t>67. Regarding the duration of the slimming effect, the manner in which the messages are structured and the absence of indications in this regard tend, instead, to make the obtainable slimming appear as a result that, in addition to being easily achievable in a few weeks, can be considered consolidated once achieved, misleading consumers even under this profile.</w:t>
      </w:r>
    </w:p>
    <w:p>
      <w:r>
        <w:t>e) The specific indication of a fat mobilization effect</w:t>
      </w:r>
    </w:p>
    <w:p>
      <w:r>
        <w:t>68. In all product packaging, the complex of substances contained in the treatments is attributed with the property of promoting fat mobilization. The reports from the technicians produced by the party define such action as "plausible," whereas the IFO believes that at this stage such an indication cannot be made as no experimental investigation has yet been conducted through, for example, confocal microscopy, which has verified the dynamic changes that adipose tissue undergoes following topical stimuli. In this respect, it is believed that the indication is misleading and incorrect, as it refers to a possible mechanism of action of the cosmetics that is not scientifically proven at this time.</w:t>
      </w:r>
    </w:p>
    <w:p>
      <w:r>
        <w:t>f) Innovativeness of the formulas/composition of the various products</w:t>
      </w:r>
    </w:p>
    <w:p>
      <w:r>
        <w:t>69. In print messages, packaging, and on the internet, it is represented that the effectiveness of the products, presented from time to time, is attributable also to complexes of substances defined as innovative, identified with high-sounding names and different for each product, implying that the substances used in the formulas employed in their composition are new findings and represent new frontiers of cosmetics. In reality, as a result of the proceedings, from the information provided by the IFO and the same professional, these are widely known and used substances in the cosmetic field, without any patent coverage on the product, on the individual components, and not even on their formulation. It also appears that the formulas of the various products have not undergone modifications since their first market introduction. Therefore, the claim of innovativeness does not appear justified or admissible.</w:t>
      </w:r>
    </w:p>
    <w:p>
      <w:r>
        <w:t>76 BULLETIN NO. 47 OF DECEMBER 14, 2009</w:t>
      </w:r>
    </w:p>
    <w:p>
      <w:r>
        <w:t>Considerations on the practices related to the promotion of individual products</w:t>
      </w:r>
    </w:p>
    <w:p>
      <w:r>
        <w:t>A) Total Body Slimming Gel Treatment</w:t>
      </w:r>
    </w:p>
    <w:p>
      <w:r>
        <w:t>70. The product has been advertised through print, internet, and packaging. In all messages, the main claim emphatically referred to the product's ability to slim the figure by up to 37% after 4 weeks. The website and packaging also state that the slimming value can reach up to 2 cm. The messages emphasize that these are data obtained from a clinical test conducted on 25 people. From the information acquired during the proceedings, the indicated values are maximum values recorded on 1 subject out of the 25 tested, while, in reality, the average slimming values achievable, as shown by the experimentation conducted, range between 16% and 19%, depending on the monitored areas. Only on the packaging is the average value of 16% mentioned incidentally.</w:t>
      </w:r>
    </w:p>
    <w:p>
      <w:r>
        <w:t>71. The practice in question, for the reasons outlined in paragraphs 59-69, is deemed misleading pursuant to Articles 21, paragraph 1, letter b), and 22, paragraphs 1, 2, and 3, as it is likely to mislead the average consumer regarding the characteristics of the product, both concerning its components, in relation to the claimed innovativeness, and regarding the results achievable through its use, particularly with reference to the results of efficacy tests conducted on the product, as, for the reasons mentioned above, on one hand, it appears incorrect to use the percentage or centimeter result of the tests conducted, and on the other hand, the messages omit relevant information that the consumer needs to make an informed commercial decision, both regarding the tests themselves and regarding the effectiveness of the product, which is merely localized and not weight-reducing.</w:t>
      </w:r>
    </w:p>
    <w:p>
      <w:r>
        <w:t>B) Intensive Night Slimming Treatment</w:t>
      </w:r>
    </w:p>
    <w:p>
      <w:r>
        <w:t>72. The treatment in question has been the subject of an extensive advertising campaign conducted through television spots, print messages, the product website, and packaging. In all messages, the product is presented as an innovation, and the main claim emphatically states the product's ability to slim during sleep by up to 33% after 2 weeks. The website also states that the slimming value can reach 42% after an additional 4 weeks, although the indicated values are maximum values recorded in 1 subject out of 25 tested. Only in the print messages on the website and on the packaging is it also indicated that the result comes from experimentation conducted on 24 subjects, while only on the side of the packaging is the average ultrasound value after 2 weeks mentioned, equal to 15% (the average value after 4 weeks is 24%), and it refers to an effect on fat mobilization attributed to the substances present in the product. In reality, from the studies attached to support the effectiveness of the product, it emerges that the average ultrasound value of reduction of adipose tissue of 15% concerns only the measurements on the hips, whereas for the thigh it stands at 9%.</w:t>
      </w:r>
    </w:p>
    <w:p>
      <w:r>
        <w:t>73. The practice in question, for the reasons outlined in paragraphs 59-69, is deemed misleading pursuant to Articles 21, paragraph 1, letter b), and 22, paragraphs 1, 2, and 3, as it is likely to mislead the average consumer regarding the characteristics of the product, both concerning its components, in relation to the claimed innovativeness, and regarding the results achievable through its use, particularly with reference to the results of efficacy tests conducted on the product, as for the reasons mentioned above, it appears incorrect to use such percentage data. Furthermore, the messages omit relevant information that the consumer needs to make an informed commercial decision, both regarding the clinical tests conducted and regarding the effectiveness of the product, which is merely cosmetic and not weight-reducing or localized, without this being justified by the limitations of the medium, except for the television spot, where, however, no more comprehensive information can be found even through reference to another easily accessible source for the consumer.</w:t>
      </w:r>
    </w:p>
    <w:p>
      <w:r>
        <w:t>C) Slimming Solar Treatment</w:t>
      </w:r>
    </w:p>
    <w:p>
      <w:r>
        <w:t>74. The messages used to promote the treatment consist of print and television messages, in the product packaging, and on the pages of the website dedicated to the product. The main claim used in all messages quantifies the slimming at 24% in 2 weeks, although in this case, it is also a maximum value obtained from 1 subject out of 25, whereas the average value, depending on the monitored areas, varies from 15% to 19%. Only on the packaging is the average value present, albeit incidentally.</w:t>
      </w:r>
    </w:p>
    <w:p>
      <w:r>
        <w:t>75. The practice in question, for the reasons outlined in paragraphs 59-69, is deemed misleading pursuant to Articles 21, paragraph 1, letter b), and 22, paragraphs 1, 2, and 3, as it is likely to mislead the average consumer regarding the characteristics of the product, both concerning its components, in relation to the claimed innovativeness, and regarding the results achievable through its use, particularly with reference to the results of efficacy tests conducted on the product, as, as mentioned above, it is misleading to mention the percentage data. Furthermore, the messages omit relevant information that the consumer needs to make an informed commercial decision, both regarding the methodologies followed for conducting the clinical tests and regarding the effectiveness of the product, which is merely cosmetic and not weight-reducing or localized. Such omissions are not justified by the limits of the medium, except for the spots, as the professional has not taken any measures to make such information available.</w:t>
      </w:r>
    </w:p>
    <w:p>
      <w:r>
        <w:t>D) Abdomen and Hips Treatment</w:t>
      </w:r>
    </w:p>
    <w:p>
      <w:r>
        <w:t>76. The product has been advertised through packaging, the internet, print, and television spots, always using the claim "Reduces up to 4 cm in 4 weeks." In this case, the reported data reflects a maximum value found in 4 subjects out of 28 regarding the waist and in 3 subjects out of 28 regarding the hips. In this case, unlike the other messages, the reduction is measured and advertised with a unit of measurement expressed in centimeters, which, as also admitted by the party, has no scientific relevance in itself, as it is not even contemplated by the guidelines. In fact, the reduction values in centimeters are the result of morphometric measurement which, unlike ultrasound measurement, does not consider only the subcutaneous adipose tissue, but the skin tissue in its entirety, including fat and water, and therefore are poorly representative and require confirmation from ultrasound-type instrumental checks.</w:t>
      </w:r>
    </w:p>
    <w:p>
      <w:r>
        <w:t>77. In this case, the results of the ultrasound measurements conducted in subsequent clinical studies do not provide satisfactory support for the advertised centimeter values. In fact, the reductions of adipose tissue recorded with instrumental measurements conducted in the 2008 study showed average reductions of 1.6 mm for the abdomen and 1.9 mm for the hips after one month of treatment. These are values that poorly align with the representation of a reduction of up to 4 centimeters and even with the average value reported on the product packaging. The data reported in the</w:t>
      </w:r>
    </w:p>
    <w:p>
      <w:r>
        <w:rPr>
          <w:b/>
        </w:rPr>
        <w:t>[Pages 76–78]</w:t>
      </w:r>
    </w:p>
    <w:p>
      <w:r>
        <w:t>78 BULLETIN NO. 47 OF DECEMBER 14, 2009</w:t>
      </w:r>
    </w:p>
    <w:p>
      <w:r>
        <w:t>messages are therefore devoid of any scientific consistency and likely to raise expectations among consumers that the use of the product can only disappoint.</w:t>
      </w:r>
    </w:p>
    <w:p>
      <w:r>
        <w:t>78. The practice in question, for the reasons outlined in paragraphs 59-69, is deemed misleading pursuant to Articles 21, paragraph 1, letter b), and 22, paragraphs 1, 2, and 3, as it is capable of misleading the average consumer regarding the characteristics of the product both in relation to its components, concerning the claimed innovativeness, and regarding the results achievable through its use, particularly with reference to the results of efficacy tests conducted on the product. Furthermore, the messages omit relevant information that the consumer needs to make an informed commercial decision both regarding the methodologies followed for conducting the clinical tests and regarding the effectiveness of the product, which is merely cosmetic and not weight-reducing or localized. Such omissions are not justified by the limitations of the medium, except for advertisements, since the professional has not taken any measures to make this information available, possibly through a reference to another easily accessible source.</w:t>
      </w:r>
    </w:p>
    <w:p>
      <w:r>
        <w:t>Violation of Article 20 of the Consumer Code</w:t>
      </w:r>
    </w:p>
    <w:p>
      <w:r>
        <w:t>79. Regarding the lack of professional diligence in the described practice, there is no evidence in this case that the professional exhibited the normal degree of competence and attention that can reasonably be expected, considering the quality of the professional and the characteristics of the activity performed.</w:t>
      </w:r>
    </w:p>
    <w:p>
      <w:r>
        <w:t>In particular, the professional who markets a line of cosmetic products with reducing effects under the well-known brand Somatoline Cosmetic had a particular obligation to implement all necessary precautions to avoid fostering misunderstandings in consumers' perceptions regarding the characteristics, potential uses, and results achievable through the use of the advertised cosmetic products. Instead, by implying that the claimed effects are scientifically proven, they easily exploited the interest of the female public, who, being affected by aesthetic issues related to localized adiposity, is inclined to pay particular attention and credence to proposals that may represent innovative and easy solutions to these discomforts.</w:t>
      </w:r>
    </w:p>
    <w:p>
      <w:r>
        <w:t>VI. QUANTIFICATION OF THE SANCTION</w:t>
      </w:r>
    </w:p>
    <w:p>
      <w:r>
        <w:t>80. Pursuant to Article 27, paragraph 9, of the Consumer Code, with the provision that prohibits the unfair commercial practice, the Authority imposes an administrative pecuniary sanction ranging from €5,000 to €500,000, taking into account the severity and duration of the violation.</w:t>
      </w:r>
    </w:p>
    <w:p>
      <w:r>
        <w:t>81. Since four distinct commercial practices have been identified in this proceeding, relating to four distinct advertising campaigns with different content (Total Body Slimming Gel Treatment (A); Intensive Night Slimming Treatment (B); Slimming Solar Treatment (C) and Belly and Hips Treatment (D)), each of which has structural autonomy and was carried out with conduct lacking the requirement of unity, neither the institution of formal competition nor that of continuation appears applicable, resulting in the exclusion of the favorable regime of legal cumulation and the necessary application of the material cumulation of sanctions.</w:t>
      </w:r>
    </w:p>
    <w:p>
      <w:r>
        <w:t>82.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83. With regard to the severity of the practice related to the Total Body Slimming Gel Treatment (A) described in paragraph II, account must be taken of the importance and economic size of the professional. This is a company of significant size, with revenues in the last fiscal year exceeding €260 million; moreover, being part of a multinational group headed by Bolton Group International S.A. (Bolton Group active in the production and marketing of consumer goods), it can be considered an important operator in the sector particularly well-known to the public.</w:t>
      </w:r>
    </w:p>
    <w:p>
      <w:r>
        <w:t>84. The severity of the practice must then be assessed considering that it appears misleading with respect to a plurality of performance claims and promises of effectiveness directed at consumers, as well as omissive profiles that seem capable of significantly altering the process of consumer decision-making.</w:t>
      </w:r>
    </w:p>
    <w:p>
      <w:r>
        <w:t>85. The severity is also appreciated due to the repeated and widespread dissemination of the censured advertising messages (packaging, internet, periodical and daily press), which, by their nature, are likely to reach a considerable number of consumers.</w:t>
      </w:r>
    </w:p>
    <w:p>
      <w:r>
        <w:t>86. As for the duration of the violation, the advertising campaign for the product, which has been on the market since the end of 2005, took place repeatedly during both 2008 and 2009. In particular, the print messages were disseminated for two months (May-June) in 2008 and for four months (May-August) in 2009. Additionally, the internet message was present on the site for at least 8 months in 2009 (March-November).</w:t>
      </w:r>
    </w:p>
    <w:p>
      <w:r>
        <w:t>87. Considering these elements, it is deemed appropriate to impose an administrative pecuniary sanction of €100,000 (one hundred thousand euros) on the company Manetti-H.Roberts. Furthermore, on one hand, considering the modification of the advertising campaign during the proceedings, with the elimination of the quantification of the result, and on the other hand, that the company is already the recipient of unfairness measures in violation of the Consumer Code, it is deemed appropriate to impose an administrative pecuniary sanction of €100,000 (one hundred thousand euros).</w:t>
      </w:r>
    </w:p>
    <w:p>
      <w:r>
        <w:t>88. With regard to the severity of the practice related to the Intensive Night Slimming Treatment (B) described in paragraph II, the same considerations already expressed regarding the importance of the operator and the plurality of identified misleading profiles apply.</w:t>
      </w:r>
    </w:p>
    <w:p>
      <w:r>
        <w:t>89. The severity of the practice must then be evaluated in relation to the means of dissemination used (television spots, daily press, internet, and packaging), suitable for reaching a considerable number of consumers. As for the duration of the violation, the advertising campaign for the product launched on the market in 2007 took place during both 2008 and 2009. In particular, in 2008 the spots aired for two months during May-June, while in 2009 they aired repeatedly in May, June, and September. The print message was disseminated only in March 2009. Additionally, the message was present on the internet at least from March 2009 to November 2009.</w:t>
      </w:r>
    </w:p>
    <w:p>
      <w:r>
        <w:t>90. Considering these elements, it is deemed appropriate to impose an administrative pecuniary sanction of €120,000 (one hundred twenty thousand euros) on the company Manetti-H.Roberts S.r.l. Furthermore, on one hand, considering the modification of the advertising campaign during the proceedings with the elimination of the quantification of the result, and on the other hand, that the company is already the recipient of unfairness measures in violation of the Consumer Code, it is deemed appropriate to impose an administrative pecuniary sanction of €120,000 (one hundred twenty thousand euros).</w:t>
      </w:r>
    </w:p>
    <w:p>
      <w:r>
        <w:t>91. Regarding the third practice related to the Slimming Solar Treatment (C) described in paragraph II, the considerations already expressed regarding the importance of the operator and the profiles of misleadingness are reiterated.</w:t>
      </w:r>
    </w:p>
    <w:p>
      <w:r>
        <w:t>92. Regarding the dissemination of the promotional campaign for the product marketed since April 2008, it is noted that this also took place through various means (packaging, television spots, press, and internet) and, therefore, is likely to have reached a considerable number of consumers. As for the duration of the violation, the advertising campaign took place during both 2008 and 2009. In particular, in 2008, dissemination through spots and press occurred in May and June. In 2009, dissemination through spots occurred over several weeks in May and August, and through press only in June 2009. On the internet, the message was disseminated for at least 8 months, from March to November 2009.</w:t>
      </w:r>
    </w:p>
    <w:p>
      <w:r>
        <w:t>93. Considering these elements, it is deemed appropriate to impose an administrative pecuniary sanction of €120,000 (one hundred twenty thousand euros) on the company Manetti-H.Roberts. Furthermore, on one hand, considering the modification of the advertising campaign during the proceedings with the elimination of the quantification of the result, and on the other hand, that the company is already the recipient of unfairness measures in violation of the Consumer Code, it is deemed appropriate to impose an administrative pecuniary sanction of €120,000 (one hundred twenty thousand euros).</w:t>
      </w:r>
    </w:p>
    <w:p>
      <w:r>
        <w:t>94. Regarding the fourth practice related to the Belly and Hips Treatment (D) described in paragraph II, the considerations already expressed regarding the importance of the operator and the profiles of misleadingness are reiterated, to which is added the particular unfairness of the claim in centimeters (see paragraphs 76-78).</w:t>
      </w:r>
    </w:p>
    <w:p>
      <w:r>
        <w:t>95. Regarding the dissemination of the promotional campaign, it is noted that this also took place through packaging, television spots, and print media and, therefore, is likely to have reached a considerable number of consumers. As for the duration of the violation, the advertising campaign took place during both 2008 and 2009. In particular, the product, which has been on the market since 2005, was advertised through television spots in July 2008 and in February, April, and May 2009. The print campaign took place repeatedly during the period from February to July 2009. Additionally, the product was advertised through the website for at least 8 months, from March to November 2009.</w:t>
      </w:r>
    </w:p>
    <w:p>
      <w:r>
        <w:t>96. Considering these elements, it is deemed appropriate to impose an administrative pecuniary sanction of €130,000 (one hundred thirty thousand euros) on the company Manetti-H.Roberts. Furthermore, considering that the company is already the recipient of unfairness measures in violation of the Consumer Code, it is deemed appropriate to impose an administrative pecuniary sanction of €150,000 (one hundred fifty thousand euros).</w:t>
      </w:r>
    </w:p>
    <w:p>
      <w:r>
        <w:t>THEREFORE, based on the above considerations, in accordance with the opinion of the Authority for Guarantees in Communications, the commercial practice described in point II, letter A), of this provision is deemed unfair, as it is contrary to the provisions of Articles 20, 21, paragraph 1, letter b), and 22 of the Consumer Code;</w:t>
      </w:r>
    </w:p>
    <w:p>
      <w:r>
        <w:rPr>
          <w:b/>
        </w:rPr>
        <w:t>[Pages 79–81]</w:t>
      </w:r>
    </w:p>
    <w:p>
      <w:r>
        <w:t>BULLETIN NO. 47 OF DECEMBER 14, 2009 81</w:t>
      </w:r>
    </w:p>
    <w:p>
      <w:r>
        <w:t>CONSIDERED, furthermore, based on the above considerations, in accordance with the opinion of the Authority for Communications Guarantees, that the commercial practice described in point II, letter B), of this provision, is deemed incorrect, as it is contrary to the provisions of Articles 20 and 21, paragraph 1, letter b), and 22 of the Consumer Code;</w:t>
      </w:r>
    </w:p>
    <w:p>
      <w:r>
        <w:t>CONSIDERED, furthermore, based on the above considerations, in accordance with the opinion of the Authority for Communications Guarantees, that the commercial practice described in point II, letter C), of this provision, is deemed incorrect, as it is contrary to the provisions of Articles 20 and 21, paragraph 1, letter b), and 22 of the Consumer Code;</w:t>
      </w:r>
    </w:p>
    <w:p>
      <w:r>
        <w:t>CONSIDERED, furthermore, based on the above considerations, in accordance with the opinion of the Authority for Communications Guarantees, that the commercial practice described in point II, letter D), of this provision, is deemed incorrect, as it is contrary to the provisions of Articles 20 and 21, paragraph 1, letter b), and 22 of the Consumer Code;</w:t>
      </w:r>
    </w:p>
    <w:p>
      <w:r>
        <w:t>RESOLVES</w:t>
      </w:r>
    </w:p>
    <w:p>
      <w:r>
        <w:t>a) that the commercial practice described in point II, letter A), of this provision, carried out by the Italo-British Company L.Manetti-H.Roberts &amp; C. S.p.A., constitutes, for the reasons and within the limits stated in the motivation, an unfair commercial practice pursuant to Articles 20, 21, paragraph 1, letter b), and 22 of the Consumer Code, and prohibits its further dissemination;</w:t>
      </w:r>
    </w:p>
    <w:p>
      <w:r>
        <w:t>b) that the commercial practice described in point II, letter B), of this provision, carried out by the Italo-British Company L.Manetti-H.Roberts &amp; C. S.p.A., constitutes, for the reasons and within the limits stated in the motivation, an unfair commercial practice pursuant to Articles 20 and 21, paragraph 1, letter b), and 22 of the Consumer Code, and prohibits its further dissemination;</w:t>
      </w:r>
    </w:p>
    <w:p>
      <w:r>
        <w:t>c) that the commercial practice described in point II, letter C), of this provision, carried out by the Italo-British Company L.Manetti-H.Roberts &amp; C. S.p.A., constitutes, for the reasons and within the limits stated in the motivation, an unfair commercial practice pursuant to Articles 20 and 21, paragraph 1, letter b), and 22 of the Consumer Code, and prohibits its further dissemination;</w:t>
      </w:r>
    </w:p>
    <w:p>
      <w:r>
        <w:t>d) that the commercial practice described in point II, letter D), of this provision, carried out by the Italo-British Company L.Manetti-H.Roberts &amp; C. S.p.A., constitutes, for the reasons and within the limits stated in the motivation, an unfair commercial practice pursuant to Articles 20 and 21, paragraph 1, letter b), and 22 of the Consumer Code, and prohibits its further dissemination;</w:t>
      </w:r>
    </w:p>
    <w:p>
      <w:r>
        <w:t>e) that the Italo-British Company L.Manetti-H.Roberts &amp; C. S.p.A. be imposed, with regard to the unfair commercial practice referred to in the previous letter a), an administrative pecuniary sanction of €100,000 (one hundred thousand euros);</w:t>
      </w:r>
    </w:p>
    <w:p>
      <w:r>
        <w:t>f) that the Italo-British Company L.Manetti-H.Roberts &amp; C. S.p.A. be imposed, with regard to the unfair commercial practice referred to in the previous letter b), an administrative pecuniary sanction of €120,000 (one hundred twenty thousand euros);</w:t>
      </w:r>
    </w:p>
    <w:p>
      <w:r>
        <w:t>82 BULLETIN NO. 47 OF DECEMBER 14, 2009</w:t>
      </w:r>
    </w:p>
    <w:p>
      <w:r>
        <w:t>g) that the Italo-British Company L.Manetti-H.Roberts &amp; C. S.p.A. be imposed, with regard to the unfair commercial practice referred to in the previous letter c), an administrative pecuniary sanction of €120,000 (one hundred twenty thousand euros);</w:t>
      </w:r>
    </w:p>
    <w:p>
      <w:r>
        <w:t>h) that the Italo-British Company L.Manetti-H.Roberts &amp; C. S.p.A. be imposed, with regard to the unfair commercial practice referred to in the previous letter d), an administrative pecuniary sanction of €150,000 (one hundred fifty thousand euros).</w:t>
      </w:r>
    </w:p>
    <w:p>
      <w:r>
        <w:t>ASSIGNS</w:t>
      </w:r>
    </w:p>
    <w:p>
      <w:r>
        <w:t>a term of ninety days from the notification of this provision, pursuant to Article 27, paragraph 10, of the Consumer Code for the necessary adjustment of the sales packaging of the products branded Somatoline Total Body Slimming Gel Treatment; Intensive Night Slimming Treatment; Slimming Solar Treatment and Belly and Hips Treatment through: the removal of quantifications in percentages and centimeters of the reductions achievable with the use of the products; the removal of the wording Innovation, the elimination of generic references to clinical tests or the inclusion of complete information regarding this, as well as the elimination of indications aimed at certifying that the components of the various products may promote the mobilization of localized fat.</w:t>
      </w:r>
    </w:p>
    <w:p>
      <w:r>
        <w:t>The administrative sanctions referred to in the previous letters e), f), g), and h) must be paid within thirty days from the notification of this provision, by direct payment to the concessionaire of the collection service or by delegation to the bank or Italian Post, presenting the form attached to this provision, as provided by Legislative Decree No. 237 of July 9, 1997.</w:t>
      </w:r>
    </w:p>
    <w:p>
      <w:r>
        <w:t>After the aforementioned term, for the period of delay of less than six months, late interest must be paid at the legal rate starting from the day following the expiration of the payment term until the date of payment. In case of further delay in compliance, pursuant to Article 27, paragraph 6, of Law No. 689/81, the amount due for the imposed sanction is increased by one-tenth for each semester starting from the day following the expiration of the payment term until the role is transmitted to the concessionaire for collection; in this case, the increase absorbs the late interest accrued during the same period.</w:t>
      </w:r>
    </w:p>
    <w:p>
      <w:r>
        <w:t>Immediate communication of the payment must be given to the Authority by sending a copy of the form certifying the payment made.</w:t>
      </w:r>
    </w:p>
    <w:p>
      <w: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r>
    </w:p>
    <w:p>
      <w:r>
        <w:t>BULLETIN NO. 47 OF DECEMBER 14, 2009 83</w:t>
      </w:r>
    </w:p>
    <w:p>
      <w:r>
        <w:t>This provision will be notified to the interested parties and published in the Bulletin of the Italian Competition Authority.</w:t>
      </w:r>
    </w:p>
    <w:p>
      <w:r>
        <w:t>Against this provision, an appeal may be filed with the TAR of Lazio, pursuant to Article 27, paragraph 13, of the Consumer Code, within sixty days from the date of notification of the provision itself, or an extraordinary appeal may be proposed to the President of the Republic, pursuant to Article 8, paragraph 2, of the Decree of the President of the Republic No. 1199 of November 24, 1971, within one hundred twenty days from the date of notification of the provision itself.</w:t>
      </w:r>
    </w:p>
    <w:p>
      <w:r>
        <w:t>THE SECRETARY GENERAL THE PRESIDENT</w:t>
      </w:r>
    </w:p>
    <w:p>
      <w:r>
        <w:t>Luigi Fiorentino Antonio Catricalà</w:t>
      </w:r>
    </w:p>
    <w:p>
      <w:r>
        <w:rPr>
          <w:b/>
        </w:rPr>
        <w:t>[Pages 82–84]</w:t>
      </w:r>
    </w:p>
    <w:p>
      <w:r>
        <w:t>errore il consumatore medio riguardo alle caratteristiche del servizio e alle modalità e condizioni economiche alle quali i prestiti vengono effettivamente erogati.</w:t>
      </w:r>
    </w:p>
    <w:p>
      <w:r>
        <w:t>16. Pertanto, si ritiene che il comportamento del Sig. Salvatore Polizzi, consistente nella diffusione del messaggio pubblicitario in questione, integri una violazione degli articoli 20, 21 e 22 del Codice del Consumo, in quanto potenzialmente contrario alla diligenza professionale e idoneo a indurre in errore il consumatore medio.</w:t>
      </w:r>
    </w:p>
    <w:p>
      <w:r>
        <w:t>IV. DISPOSIZIONI FINALI</w:t>
        <w:br/>
        <w:t>17. Per quanto sopra esposto, l’Autorità Garante della Concorrenza e del Mercato, ai sensi dell’articolo 27, comma 1, del Codice del Consumo, dispone che il Sig. Salvatore Polizzi cessi immediatamente la diffusione del messaggio pubblicitario in oggetto e si astenga dal porre in essere comportamenti analoghi in futuro.</w:t>
      </w:r>
    </w:p>
    <w:p>
      <w:r>
        <w:t>18. La presente decisione sarà pubblicata nel Bollettino dell’Autorità Garante della Concorrenza e del Mercato.</w:t>
      </w:r>
    </w:p>
    <w:p>
      <w:r>
        <w:rPr>
          <w:b/>
        </w:rPr>
        <w:t>[Pages 85–87]</w:t>
      </w:r>
    </w:p>
    <w:p>
      <w:r>
        <w:t>BULLETIN NO. 47 OF DECEMBER 14, 2009 87</w:t>
      </w:r>
    </w:p>
    <w:p>
      <w:r>
        <w:t>error consumers regarding the characteristics and conditions of the advertised financing, thereby prejudicing their economic behavior.</w:t>
      </w:r>
    </w:p>
    <w:p>
      <w:r>
        <w:t>16. Therefore, in light of the considerations made, the commercial practice in question, consisting of the dissemination of the described advertising message, is deemed unfair pursuant to Articles 20, paragraph 2, and 22 of Legislative Decree no. 206/05, as it is contrary to professional diligence and capable of distorting the behavior of the average consumer to whom it is directed. With specific regard to the assessment of the standard of professional diligence, it should be noted that the professional did not demonstrate the normal degree of competence and attention that could reasonably be expected in the conduct in question, considering the characteristics of the activity carried out and, in particular, his quality as a professional operator in the sector in question, certified by the qualification of financial agent, held since December 2008, as well as credit broker, registered in the register since December 2006.</w:t>
      </w:r>
    </w:p>
    <w:p>
      <w:r>
        <w:t>17. Finally, the ability to distort the economic behavior of the consumers targeted by the practice under evaluation arises from its omissive nature, to the extent that relevant information is omitted, which the average consumer needs to make an informed commercial decision.</w:t>
      </w:r>
    </w:p>
    <w:p>
      <w:r>
        <w:t>V. QUANTIFICATION OF THE SANCTION</w:t>
      </w:r>
    </w:p>
    <w:p>
      <w:r>
        <w:t>18. Pursuant to Article 27, paragraph 9, of the Consumer Code, with the provision that prohibits the unfair commercial practice, the Authority imposes an administrative pecuniary sanction ranging from €5,000 to €500,000, taking into account the severity and duration of the violation.</w:t>
      </w:r>
    </w:p>
    <w:p>
      <w:r>
        <w:t>19.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20. With regard to the severity of the violation, it is taken into account, in the case at hand, the breadth and penetration capacity of the message, which, due to the method and extent of dissemination (leafleting in the territory of Partinico), is likely to have reached a number of consumers that is not particularly high, the weakness of the recipients, who presumably find themselves in a situation of particular psychological weakness due to their economic conditions, as well as the extent of the potential harm to consumers.</w:t>
      </w:r>
    </w:p>
    <w:p>
      <w:r>
        <w:t>21. Also concerning the severity of the violation, it should be noted that, in this case, it is attributable to the same type of informational omissions found and to the sector to which the offer refers. In relation to this sector, in fact, as noted by the Authority in numerous interventions, the obligation of completeness and clarity of the conveyed information is particularly stringent, also due to the informational asymmetry in which consumers find themselves compared to operators.</w:t>
      </w:r>
    </w:p>
    <w:p>
      <w:r>
        <w:t>22. As for the duration of the violation, from the elements available in the records, the advertising message appears to have been disseminated over a very short period (two days during April 2009).</w:t>
      </w:r>
    </w:p>
    <w:p>
      <w:r>
        <w:t>88 BULLETIN NO. 47 OF DECEMBER 14, 2009</w:t>
      </w:r>
    </w:p>
    <w:p>
      <w:r>
        <w:t>23. Therefore, due to the severity and duration of the violation, it is deemed that the base amount of the sanction to be imposed on Mr. Salvatore Polizzi, owner of the individual enterprise Polizzi Salvatore, should be €35,000 (thirty-five thousand euros).</w:t>
      </w:r>
    </w:p>
    <w:p>
      <w:r>
        <w:t>24. Considering that from the income tax return for the 2008 tax period it appears that the professional recorded a modest income from business activity, the amount of the sanction to be imposed is set at €15,000 (fifteen thousand euros).</w:t>
      </w:r>
    </w:p>
    <w:p>
      <w:r>
        <w:t>CONSIDERING, therefore, based on the aforementioned considerations, that the commercial practice in question is unfair as it is capable of misleading consumers regarding the characteristics and conditions of the financing, potentially prejudicing their economic behavior;</w:t>
      </w:r>
    </w:p>
    <w:p>
      <w:r>
        <w:t>RESOLVES</w:t>
      </w:r>
    </w:p>
    <w:p>
      <w:r>
        <w:t>a) that the commercial practice described in point II of this provision, carried out by Mr. Salvatore Polizzi, owner of the individual enterprise Polizzi Salvatore, constitutes, for the reasons and within the limits stated in the motivation, an unfair commercial practice pursuant to Articles 20, paragraph 2, and 22 of the Consumer Code, and prohibits its further dissemination;</w:t>
      </w:r>
    </w:p>
    <w:p>
      <w:r>
        <w:t>b) that Mr. Salvatore Polizzi be imposed an administrative pecuniary sanction of €15,000 (fifteen thousand euros).</w:t>
      </w:r>
    </w:p>
    <w:p>
      <w:r>
        <w:t>The administrative sanction referred to in the previous letter b) must be paid within thirty days from the notification of this provision, by direct payment to the concessionaire of the collection service or by delegation to the bank or Italian Post, presenting the model attached to this provision, as provided by Legislative Decree no. 237 of July 9, 1997.</w:t>
      </w:r>
    </w:p>
    <w:p>
      <w:r>
        <w:t>After the aforementioned term, for the period of delay of less than six months, late interest must be paid at the legal rate starting from the day following the expiration of the payment term until the date of payment. In case of further delay in compliance, pursuant to Article 27, paragraph 6, of Law no. 689/81, the amount due for the imposed sanction is increased by one-tenth for each semester starting from the day following the expiration of the payment term until the role is transmitted to the concessionaire for collection; in this case, the increase absorbs the late interest accrued during the same period.</w:t>
      </w:r>
    </w:p>
    <w:p>
      <w:r>
        <w:t>Immediate communication of the payment must be given to the Authority by sending a copy of the model certifying the payment made.</w:t>
      </w:r>
    </w:p>
    <w:p>
      <w: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r>
    </w:p>
    <w:p>
      <w:r>
        <w:t>BULLETIN NO. 47 OF DECEMBER 14, 2009 89</w:t>
      </w:r>
    </w:p>
    <w:p>
      <w:r>
        <w:t>This provision will be notified to the interested parties and published in the Bulletin of the Italian Competition Authority.</w:t>
      </w:r>
    </w:p>
    <w:p>
      <w:r>
        <w:t>Against this provision, an appeal may be filed with the TAR of Lazio, pursuant to Article 27, paragraph 13, of the Consumer Code,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r>
    </w:p>
    <w:p>
      <w:r>
        <w:t>Luigi Fiorentino Antonio Catricalà</w:t>
      </w:r>
    </w:p>
    <w:p>
      <w:r>
        <w:rPr>
          <w:b/>
        </w:rPr>
        <w:t>[Pages 88–90]</w:t>
      </w:r>
    </w:p>
    <w:p>
      <w:r>
        <w:t xml:space="preserve">90 BULLETIN NO. 47 OF DECEMBER 14, 2009  </w:t>
        <w:br/>
        <w:t xml:space="preserve">PS2720 - PURINA PROPLAN - "BUY AND WIN" CONTEST  </w:t>
        <w:br/>
        <w:t xml:space="preserve">Provision No. 20513  </w:t>
        <w:br/>
        <w:t xml:space="preserve">THE ITALIAN COMPETITION AUTHORITY  </w:t>
        <w:br/>
        <w:t xml:space="preserve">IN ITS MEETING of November 25, 2009;  </w:t>
        <w:br/>
        <w:t xml:space="preserve">HEARD the Rapporteur Professor Piero Barucci;  </w:t>
        <w:br/>
        <w:t xml:space="preserve">HAVING REGARD to Title III of Legislative Decree No. 206 of September 6, 2005, containing the "Consumer Code," as amended by Legislative Decree No. 146 of August 2, 2007 (hereinafter, Consumer Code);  </w:t>
        <w:br/>
        <w:t xml:space="preserve">HAVING REGARD to the "Regulation on investigative procedures regarding unfair commercial practices," adopted by the Authority's resolution of November 15, 2007, published in the Official Gazette No. 283 of December 5, 2007, and entered into force on December 6, 2007 (hereinafter, Regulation);  </w:t>
        <w:br/>
        <w:t>HAVING REGARD to the acts of the proceeding;</w:t>
      </w:r>
    </w:p>
    <w:p>
      <w:r>
        <w:t xml:space="preserve">I. THE PARTY  </w:t>
        <w:br/>
        <w:t xml:space="preserve">As a professional:  </w:t>
        <w:br/>
        <w:t>1. Nestlé Italiana S.p.A. (hereinafter, Nestlé), with its registered office in Milan, is a world leader in the food products sector, including those for animals through its Purina - PetCare Division. The company reported, based on the latest available financial statement (December 31, 2008), a turnover of €1,732,477,430 (of which €393,437,069 related to the Petfood-Purina Petcare Division), recording a profit of €3,873,201.</w:t>
      </w:r>
    </w:p>
    <w:p>
      <w:r>
        <w:t xml:space="preserve">II. THE SUBJECT OF THE PROCEEDING  </w:t>
        <w:br/>
        <w:t xml:space="preserve">2. The subject of the proceeding concerned the alleged unfairness of the commercial practice carried out by Nestlé, in relation to which a violation of Articles 20, 21, paragraph 1, letters b) and c), and 22 of the Consumer Code was hypothesized.  </w:t>
        <w:br/>
        <w:t xml:space="preserve">3. In particular, Nestlé advertised the contest called "Buy &amp; Win" by affixing a promotional sticker on the packaging of the 15 Kg Purina Pro Plan Dry Dog product (available in 4 different types: adult specialty and maintenance; puppy specialty and maintenance) which, on the one hand, indicated a validity period for the promotion - from May 5 to December 31, 2008 - that did not correspond to the actual deadline by which consumers could participate in the contest by purchasing the product, and on the other hand, did not specify that the contest took place in two distinct phases (instant win and final draw), with different methods of execution and different timeframes established for the participation of purchasers of the product.  </w:t>
        <w:br/>
        <w:t>4. The promotion in question was also disseminated on the website www.purina-proplan.it, on which, as of September 30, 2008, the web pages related to the rules of the aforementioned contest were no longer accessible, thus failing to provide consumers with relevant information about the prize event.</w:t>
      </w:r>
    </w:p>
    <w:p>
      <w:r>
        <w:t xml:space="preserve">BULLETIN NO. 47 OF DECEMBER 14, 2009 91  </w:t>
        <w:br/>
        <w:t>5. The described conduct, therefore, in reference to the characteristics of the offer, that is, in relation to the actual period during which the right to participate in the contest was valid and its actual methods of execution, appeared likely to mislead consumers and to lead them to make a commercial decision that they would not have otherwise made.</w:t>
      </w:r>
    </w:p>
    <w:p>
      <w:r>
        <w:t xml:space="preserve">III. THE INVESTIGATIVE FINDINGS  </w:t>
        <w:br/>
        <w:t xml:space="preserve">a) The procedural process  </w:t>
        <w:br/>
        <w:t xml:space="preserve">6. On November 11, 2008, a request for intervention was received from a consumer who, following the purchase of two packages of the 15 Kg Purina Pro Plan Dry Dog product, made in September and October 2008, reported the alleged unfairness of the "Buy &amp; Win" promotion advertised on the packaging of the product itself through the affixing of the described promotional sticker.  </w:t>
        <w:br/>
        <w:t xml:space="preserve">7. On December 3, 2008, 2 web pages related to the home page of the website www.purina-proplan.it were acquired ex officio.  </w:t>
        <w:br/>
        <w:t xml:space="preserve">8. On April 27, 2009, a request for information was made to both the informant and Nestlé, requesting, among other things, to specify the validity period, the methods of participation in the contest, and the date by which consumers could register for the prize event. Nestlé responded to the request for information on May 25, 2009.  </w:t>
        <w:br/>
        <w:t xml:space="preserve">9. On July 15, 2009, pursuant to Article 27, paragraph 3, of the Consumer Code, the initiation of the investigative proceeding was communicated, and simultaneously, information was requested from the professional concerning the number of packages of the Purina Pro Plan Dry Dog product on which the promotional sticker was affixed and the related distribution period. It was also requested to produce the web pages related to the contest from which the relevant publication date on the website www.purina-proplan.it could be inferred, as well as the reasons why, as of September 30, 2008, the rules of the promotion were no longer available on the same.  </w:t>
        <w:br/>
        <w:t xml:space="preserve">10. On August 10, 2009, the professional responded, submitting his own statements accompanied by additional documents and simultaneously requesting to be heard in a hearing. On September 4, 2009, the party accessed the documents of the proceeding and, on September 11, 2009, was heard in a hearing. On September 25, 2009, the professional submitted an additional statement with the information requested during the hearing.  </w:t>
        <w:br/>
        <w:t xml:space="preserve">11. On September 29, 2009, the party was notified of the closure of the investigative phase, set for October 16, 2009.  </w:t>
        <w:br/>
        <w:t>12. Finally, considering that the commercial practice was also disseminated via the Internet, on October 19, 2009, a request was made to the Authority for Communications Guarantees to express its opinion in accordance with the provisions of Article 16, paragraphs 3 and 4, of the Regulation, an opinion that was subsequently received on November 18, 2009.</w:t>
      </w:r>
    </w:p>
    <w:p>
      <w:r>
        <w:t xml:space="preserve">b) The commercial practice  </w:t>
        <w:br/>
        <w:t xml:space="preserve">13. The commercial practice carried out by the professional consisted of promoting the contest called "Buy and Win" by affixing a circular sticker on the packaging of the 15 Kg Purina Pro Plan Dry Dog product (in its 4 different types) bearing in prominent characters the name of the promotion itself, images of the prizes at stake accompanied by the phrases "a Breil watch every day" and "a card worth €3000 a month" and, in smaller print, the wording "Each Proplan shopping card consists of an electronic purchase voucher loaded on a magnetic stripe card corresponding to the value." On the same sticker, in tiny characters printed along its circumference, it was also stated: "The complete rules are available on the website www.purina-proplan.it. Duration of the promotion: from 5/5/08 to 31/12/08. Total prize pool: €43,595.00."  </w:t>
        <w:br/>
        <w:t xml:space="preserve">14. The "Buy &amp; Win" promotion was also conveyed through the website www.purina-proplan.it, from whose home page it was possible to access the explanatory pages of the contest's execution methods (participation page, prizes page, and rules page). On the latter, in particular, it could be read: "From May 5 to September 30, 2008, purchase at least one 15 Kg package of Purina PRO PLAN Dry Dog, keep the receipt, and try to win immediately. Up for grabs is 1 Breil watch EVERY DAY and 1 Pro Plan Shopping Card worth €3,000 A MONTH!!! Keep the purchase receipt and call 02.46770700 or go to www.purina-proplan.it to provide your details along with the date (day and month), number, hour and minute, and total amount of the receipt, and you will find out immediately if you have won!!! If you win, to claim the prize, send the winning receipt in original by registered mail within 10 days, along with your details and the barcode of the purchased product to: Purina Proplan Contest c/o Winning S.r.l. - Via Settala 16-20124 Milan. You can participate from May 5 to September 30, 2008, from Monday to Saturday, from 9 AM to 8 PM. And if you don't win immediately, participate in the draw for an additional 5 Breil watches and any unawarded prizes from the immediate win phase, by sending the barcode of the purchased product along with your complete personal details and phone number by no later than November 28, 2008, to: Purina Proplan Contest c/o C.P. 14091-20140 Milan. The draw will take place by December 31, 2008. Winners will be notified by phone."  </w:t>
        <w:br/>
        <w:t xml:space="preserve">15. From the examination of the home page of the website www.purina-proplan.it, noted on December 3, 2008, no link to the contest pages and/or the related rules was found, as indicated by the advertising message affixed to the packages.  </w:t>
        <w:br/>
        <w:t>16. The promotion, therefore, as can be inferred from the advertising message disseminated on the internet, was structured in two distinct phases: 1) immediate win, with the possibility of participation by phone or via the internet from May 5 to September 30, 2008, whereby consumers who purchased at least one package of Purina Pro Plan Dry Dog on promotion would have the chance to win one of the prizes offered (a Breil watch every day and a VISA card every month - called Pro Plan Shopping Card - with a commercial value of €3,000); 2) final draw, by December 31, 2008, among all non-winning participants from the first phase, by sending by mail, by November 28, 2008, proof of purchase of the Purina Pro Plan Dry Dog product dated prior to October 1, 2008 (the final draw provided for).</w:t>
      </w:r>
    </w:p>
    <w:p>
      <w:r>
        <w:rPr>
          <w:b/>
        </w:rPr>
        <w:t>[Pages 91–93]</w:t>
      </w:r>
    </w:p>
    <w:p>
      <w:r>
        <w:t>BULLETIN NO. 47 OF DECEMBER 14, 2009 93</w:t>
      </w:r>
    </w:p>
    <w:p>
      <w:r>
        <w:t>the awarding of 5 Breil watches, in addition to any prizes that were not awarded or confirmed in the immediate winning phase of the contest).</w:t>
      </w:r>
    </w:p>
    <w:p>
      <w:r>
        <w:t>17. The contest was regularly conducted and all prizes were regularly awarded both to the winners of the immediate winning phase and to those drawn in the final drawing (in total, 133 Breil Watches with a commercial value of €215.00 each and 5 Pro Plan Shopping Cards with a commercial value of €3,000.00 each).</w:t>
      </w:r>
    </w:p>
    <w:p>
      <w:r>
        <w:t>18. During the validity period of the promotion, from May 5 to December 31, 2008, both the professional and specialized distribution sold [omissis]3 packages of Purina products of which [omissis] were accompanied by the promotional sticker promoting the contest.</w:t>
      </w:r>
    </w:p>
    <w:p>
      <w:r>
        <w:t>19. Entries for the first phase occurred via web and phone (for a total of 3,148 entries), as well as, for the final drawing, through 92 envelopes received by the dedicated post box by November 28, 2008 (among these, it was found that 23 individuals had not participated in the immediate winning phase). The first web entry was recorded on May 7, 2008, and the last win on September 27, 2008.</w:t>
      </w:r>
    </w:p>
    <w:p>
      <w:r>
        <w:t>20. The total cost incurred for the entire promotional campaign amounted to [omissis] euros.</w:t>
      </w:r>
    </w:p>
    <w:p>
      <w:r>
        <w:t>IV. DEFENSIVE ARGUMENTS OF THE PARTY</w:t>
      </w:r>
    </w:p>
    <w:p>
      <w:r>
        <w:t>21. Nestlé, with the submissions filed on May 25, August 10, and September 25, 2009, as well as during the hearing held at the Authority's headquarters on September 11, 2009, represented the methods of conducting and participating in the promotion described above, highlighting that the regulation was made available, for the duration of the promotion, on the appropriate advertising postcards distributed at points of sale, at the toll-free number 800525505, and on the website http://194.244.47.5/PurinaProPlan, accessible through the specific "regulation" banner.</w:t>
      </w:r>
    </w:p>
    <w:p>
      <w:r>
        <w:t>22. The professional preliminarily stated that "a sine qua non condition for participation in the contest, in the planned distinct phases of immediate winning and final drawing, was the purchase of the products, (...) by the date of September 30, 2008. The promotion was also valid in the case of purchasing packages of products without the promotional sticker. On this point, Nestlé indicated the overall duration of the contest in compliance with the current regulations on prize competitions (DPR 430/2001)."</w:t>
      </w:r>
    </w:p>
    <w:p>
      <w:r>
        <w:t>23. In response to the request for information made by the Authority during the preliminary investigation, received on May 25, 2009, it was stated that "consumers who purchased the product after September 30, 2008, would not be denied the opportunity to participate in the contest for the final drawing phase but only in the immediate winning phase."</w:t>
      </w:r>
    </w:p>
    <w:p>
      <w:r>
        <w:t>24. The indication on the product packages of the overall duration of the operations, from May 5 to December 31, 2008, also appears to be in compliance with the provisions of Article 11, paragraphs 2 and 3, of DPR no. 430/01, which states: "the promotional or informational material of the event, if it does not contain or is not accompanied by the regulation of the event, at least reports the conditions of participation, the duration of the event as well as, for prize contests, the total value of the prizes offered."</w:t>
      </w:r>
    </w:p>
    <w:p>
      <w:r>
        <w:t>25. With reference to the same advertising message, Nestlé further clarified that its content also complies with the provisions of Article 11, paragraph 3, of the aforementioned DPR no. 430/01, which states that "advertising messages that, in relation to the different characteristics of the audiovisual media and the spaces used, do not contain all the required indications are permitted, subject to the obligation of specific reference to the regulation, indicating the methods of acquisition or consultation of the same by the promisees."</w:t>
      </w:r>
    </w:p>
    <w:p>
      <w:r>
        <w:t>26. Nestlé then specified that, in addition to the informational material available on the website, the consumer would have easy access to the regulation of the promotion by calling the dedicated toll-free number 800xxx505, and viewing the advertising postcards distributed at points of sale that clearly reported the essential indications of the promotion, since (aside from the indication of the prizes and the total value) they specify that: "you can participate from May 5 to September 30, 2008"; "if you do not win immediately, participate in the final drawing (...) of any prizes not awarded in the immediate winning phase, by sending the barcode of this product (...) no later than November 28, 2008 to: (...)"; "the drawing will take place by December 31, 2008"; "each receipt allows for a single participation and must be issued between May 5 and September 30, 2008."</w:t>
      </w:r>
    </w:p>
    <w:p>
      <w:r>
        <w:t>27. Although the party was unable to produce the web pages from which to ascertain the actual publication period of the aforementioned regulation on the website www.purina-proplan.it, the professional nonetheless noted that, from May 5, 2008, until March 24, 2009, the company managing the aforementioned site ([omissis]) made available online the pages specifically created for the contest and that the only page made inaccessible, from September 30, 2008, was the one for online participation, which was disabled on the same date. According to Nestlé, it would not have made any sense to maintain, as of September 30, 2008, the link/banner dedicated to the regulation, and the fact that this link was not active on December 3, 2008, as noted by the Authority, appears consistent with the dynamics of the contest, as it is a date subsequent to November 28, 2008, indicated as the deadline established by the regulation for submitting requests for participation in the final drawing by mail.</w:t>
      </w:r>
    </w:p>
    <w:p>
      <w:r>
        <w:t>28. Finally, regarding the consumer report mentioned in the communication initiating the procedure, Nestlé, believing it had identified the email message and the report from its customer service, communicated that it had provided the consumer with all the information regarding the duration and methods of participation in the promotion over the phone and, in particular, specified that it does not appear at all that the company's call center operators stated that participation was only possible until September 30, 2008, even in the case of purchases made by that date.</w:t>
      </w:r>
    </w:p>
    <w:p>
      <w:r>
        <w:t>V. OPINION OF THE AUTHORITY FOR GUARANTEES IN COMMUNICATIONS</w:t>
      </w:r>
    </w:p>
    <w:p>
      <w:r>
        <w:t>29. Since the commercial practice related to the Buy and Win Promotion, subject to this provision, was disseminated also via the internet, on October 19, 2009, the opinion was requested from the Authority for Guarantees in Communications, pursuant to Article 27, paragraph 6, of the Consumer Code.</w:t>
      </w:r>
    </w:p>
    <w:p>
      <w:r>
        <w:t>BULLETIN NO. 47 OF DECEMBER 14, 2009 95</w:t>
      </w:r>
    </w:p>
    <w:p>
      <w:r>
        <w:t>30. In the opinion received on November 18, 2009, the aforementioned Authority considered that the message disseminated on the Internet site from May 5, 2008, to September 30, 2008, is likely to mislead the average consumer regarding the methods of drawing, the number, and the characteristics of the various phases of the contest. On the page of the site, the wording "Buy and Win" is presented in a way that emphasizes the word "win," generating in the consumer the illusory idea that from the simple purchase of a package of the advertised product, a win could automatically result. Even the regulation, while providing details of the different phases in which the contest is structured, does not do so clearly. The message does not specify at all that only customers who did not win in the first phase of the game could participate in the final drawing, nor does it clarify the timing of the prize drawings.</w:t>
      </w:r>
    </w:p>
    <w:p>
      <w:r>
        <w:t>31. Furthermore, considering that as of October 1, it was still possible for customers to participate in the final drawing, by removing from the site any information related to the drawing methods, the professional induced customers to purchase the product, without simultaneously providing the tools to understand the limits and conditions of the prize game.</w:t>
      </w:r>
    </w:p>
    <w:p>
      <w:r>
        <w:t>32. In light of the above, the behavior exhibited by Nestlé seems likely to prejudice the economic behavior of the recipients, inducing them to purchase the promoted product instead of those offered by others, based on erroneous beliefs, constituting a violation of the provisions of Articles 20, 21, and 22 of Legislative Decree no. 206/05.</w:t>
      </w:r>
    </w:p>
    <w:p>
      <w:r>
        <w:t>VI. CONCLUDING EVALUATIONS</w:t>
      </w:r>
    </w:p>
    <w:p>
      <w:r>
        <w:t>33. The commercial practice under evaluation, adopted by the professional and described in point III, letter b), of this provision, is in contrast with the provisions of the Consumer Code to the extent that it is contrary to professional diligence and likely to generate false reliance in the consumer regarding the main characteristics of the promotion such as the duration and its execution methods.</w:t>
      </w:r>
    </w:p>
    <w:p>
      <w:r>
        <w:t>34. The ability to distort the economic behavior of consumers of the practice in question derives from its misleading nature, pursuant to Articles 21 and 22 of the Consumer Code, with regard to essential aspects and information related to the promotion of the Buy and Win contest associated with the sale of the offered product.</w:t>
      </w:r>
    </w:p>
    <w:p>
      <w:r>
        <w:t>35. The reference is, in particular, on the one hand, to the incomplete and ambiguous presentation on the packages of Purina Pro Plan Dry Dog 15 Kg, in its 4 different types for sale, of relevant information for the average consumer in order to make an informed commercial decision, and on the other hand, to the removal from the website www.purina-proplan.it, for a significant portion of the validity period of the promotion, of the regulation of the contest, essential for the consumer to understand the methods of execution and the timeframes for competing for the prizes offered.</w:t>
      </w:r>
    </w:p>
    <w:p>
      <w:r>
        <w:t>36. With reference to the sticker affixed to the packages, the use, in the context of the message, of the indication "Duration of the promotion: from 5/5/08 to 31/12/08," appears likely to mislead consumers as it leads the recipients of the message to believe that they have the opportunity, by purchasing the product throughout the entire indicated time period, to participate in the contest. In reality, as emerged from the investigative findings and contrary to what was reported in the promotional message, such participation, both with respect to the winning phase...</w:t>
      </w:r>
    </w:p>
    <w:p>
      <w:r>
        <w:rPr>
          <w:b/>
        </w:rPr>
        <w:t>[Pages 94–96]</w:t>
      </w:r>
    </w:p>
    <w:p>
      <w:r>
        <w:t>96 BULLETIN NO. 47 OF DECEMBER 14, 2009</w:t>
      </w:r>
    </w:p>
    <w:p>
      <w:r>
        <w:t>immediate and to the final draw phase, was found to be substantially limited to the date of September 30, 2008, the deadline by which the purchase of the promotional products entitled participation in the contest in its distinct phases. This circumstance, combined with the distribution of the product even after September 30, 2008, misled consumers regarding the actual period during which they would be allowed to compete for the prizes at stake, that is, until September 30 and not December 31, 2008, as indicated and understood by the consumer from whom the proceeding originated.</w:t>
      </w:r>
    </w:p>
    <w:p>
      <w:r>
        <w:t>37. In this regard, the statement made by the professional in the response provided during the pre-investigation phase, claiming that "consumers who purchased the product after September 30, 2008, would not be denied the opportunity to participate in the contest for the final draw phase but only for the immediate win phase," was found to be untrue.</w:t>
      </w:r>
    </w:p>
    <w:p>
      <w:r>
        <w:t>38. The indications present in the promotion's regulations, in fact, contradict this assertion since it can be read on the regulation itself that "Each receipt will allow 1 single participation in the contest and will then be canceled and must bear an issue date between May 5, 2008, and September 30, 2008."</w:t>
      </w:r>
    </w:p>
    <w:p>
      <w:r>
        <w:t>39. It is particularly emphasized that in relation to the sale of mass-market products, including pet food, the information provided on the product packaging, where promotional initiatives are frequently conveyed, is particularly relevant as it can direct consumer preference towards the purchase of the same. For this reason, what is reported on the packaging of such types of products must necessarily be characterized by clarity and transparency.</w:t>
      </w:r>
    </w:p>
    <w:p>
      <w:r>
        <w:t>40. This circumstance is aggravated by the lack of feedback, from the reporting consumer, regarding the promotion's regulations on the professional's website, to which the advertising message referred, at least since November 11, 2008, the date on which the request for intervention was received. The investigative verification also confirmed that on December 3, the regulations were not present or were not easily accessible.</w:t>
      </w:r>
    </w:p>
    <w:p>
      <w:r>
        <w:t>41. In this regard, the professional was unable, despite being requested, to prove the existence online of the page related to the contest regulations in the period following September 30, 2008, limiting himself to producing a mere statement from the website management company that does not refute what has been demonstrated above.</w:t>
      </w:r>
    </w:p>
    <w:p>
      <w:r>
        <w:t>42. That said, the reference to Article 11, paragraph 3, of Presidential Decree no. 430/014 does not find support in this case because, while the Legislator allows the dissemination of advertising messages characterized by partial information regarding prize competitions, subject to specific reference to the regulations indicating the methods of acquisition or consultation of the same, on the other hand, the norm cannot be applied where the information source referred to is not available. Nor would the consumer have had access to the regulations in any other way, for example by calling the toll-free number dedicated to the initiative, as the aforementioned telephone number is not reported on the stickers affixed to the promotional products.</w:t>
      </w:r>
    </w:p>
    <w:p>
      <w:r>
        <w:t>43. Furthermore, as can be seen from the homepage of the website www.purina-proplan.it, acquired in the proceedings on December 3, 2008, the unavailability of the link to the pages dedicated to the promotion, contrary to what was claimed by the professional, does not appear in any way consistent with the dynamics of the contest since, even after the deadline by which the purchase of the promotional products entitled participation in the contest (September 30, 2008) and the deadline established for sending the necessary coupons to participate in the final draw (November 28, 2008), the consumer should have been made aware that the purchase of the product still in circulation with the promotional stickers would no longer allow him to compete for the prizes.</w:t>
      </w:r>
    </w:p>
    <w:p>
      <w:r>
        <w:t>44. It is also not shareable, then, what Nestlé claimed regarding compliance with the current regulations on prize competitions (DPR 430/2001 cited) concerning the indication of the overall duration of the contest, as such provisions do not exempt from proposing to the public truthful, complete, and transparent advertising messages and not, as in this case, lacking those pieces of information that directly affect the consumer's decision-making sphere regarding the purchase of that product, rather than others offered by competing companies, causing him economic harm if he decides to purchase under the belief that he can participate in the advertised contest.</w:t>
      </w:r>
    </w:p>
    <w:p>
      <w:r>
        <w:t>45. In fact, while the maximum duration of "prize competitions" may coincide with the identification of the winner of the final prize, the duration of the promotion does not coincide at all with that final term but with the period during which the consumer has the actual opportunity to enjoy discounts, offers, and/or advantages, even if only potential, such as participating in a prize competition.</w:t>
      </w:r>
    </w:p>
    <w:p>
      <w:r>
        <w:t>46. In light of the above, the practice adopted by Nestlé through the stickers placed on the packaging of the 15 Kg Purina Pro Plan Dry Dog product, in its 4 different types, misleading consumers into believing, contrary to the truth, that they could participate in the "Buy and Win" promotion until December 31, 2008, must be considered unfair, pursuant to Article 21, paragraph 1, letters b) and c), as it appears likely, in its overall presentation, to mislead the average consumer regarding both the main characteristics of the product, such as the duration of the promotion and its different modes of execution, as well as regarding the extent of the commitments undertaken by the professional, failing to provide relevant information about the actual final deadline for participation in the advertised prize competition.</w:t>
      </w:r>
    </w:p>
    <w:p>
      <w:r>
        <w:t>47. Furthermore, given the unavailability of the regulations on the professional's website to which reference was made in the advertising messages affixed to the product packaging, for a significant portion of the promotion's validity period, in accordance with the opinion provided by the Authority for Guarantees in Communications, the practice in question is found to be omissive of relevant information for the consumer in order to make an informed commercial decision, namely the purchase of the product to which the prize competition was associated, in violation of Article 22 of the Consumer Code.</w:t>
      </w:r>
    </w:p>
    <w:p>
      <w:r>
        <w:t>48. Pursuant to Article 20, paragraph 2, of the Consumer Code, a commercial practice is unfair "if it is contrary to professional diligence and is false or likely to appreciably distort the economic behavior, in relation to the product, of the average consumer it reaches or to whom it is directed." In this case, there is no evidence from the professional of the normal degree of competence and attention that can reasonably be expected, given the quality of the professional itself, the characteristics of the activity carried out, as well as the clarity and completeness of the informative content concerning the duration and methods of participation in the promotion in question.</w:t>
      </w:r>
    </w:p>
    <w:p>
      <w:r>
        <w:t>VII. QUANTIFICATION OF THE SANCTION</w:t>
      </w:r>
    </w:p>
    <w:p>
      <w:r>
        <w:t>49. Pursuant to Article 27, paragraph 9, of the Consumer Code, with the provision that prohibits the unfair commercial practice, the Authority orders the application of an administrative pecuniary sanction from €5,000 to €500,000, taking into account the severity and duration of the violation.</w:t>
      </w:r>
    </w:p>
    <w:p>
      <w:r>
        <w:t>50.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51. With reference to the severity of the violation, the importance of the commercial operator and its economic size are initially relevant, as it concerns a world-leading company in the food products trade, including those for animals. Since Nestlé is a company that enjoys credibility and notoriety with the public, the unfair commercial practices it has implemented can reasonably be considered more harmful and of greater offensive scope.</w:t>
      </w:r>
    </w:p>
    <w:p>
      <w:r>
        <w:t>52. Also regarding the severity of the violation, it should be noted that the commercial practice, given the absolute relevance of the product qualifying as a mass-market good and the particular vehicle represented by the packaging, could reach a significant number of consumers exposing them to appreciable economic harm.</w:t>
      </w:r>
    </w:p>
    <w:p>
      <w:r>
        <w:t>53. As for the duration of the violation, the unfair practice carried out by the professional, although the marketing of the packages bearing the promotional sticker began in May 2008, can be referred to the period September 30 / December 31, 2008, during which it was no longer possible to participate in the prize competition.</w:t>
      </w:r>
    </w:p>
    <w:p>
      <w:r>
        <w:t>54. Considering these elements, as well as the fact that the company belongs to the Nestlé group, which has already been subject to unfairness measures in violation of the Consumer Code, it is deemed appropriate to impose on Nestlé Italiana S.p.A. an administrative pecuniary sanction of €60,000 (sixty thousand euros).</w:t>
      </w:r>
    </w:p>
    <w:p>
      <w:r>
        <w:t>THEREFORE, based on the considerations set forth above, in accordance with the opinion of the Authority for Guarantees in Communications, it is determined that the commercial practice in question, described in point III, letter b), of this provision, is unfair, as it is contrary to the provisions of Articles 20, 21, paragraph 1, letters b) and c), and 22 of the Consumer Code;</w:t>
      </w:r>
    </w:p>
    <w:p>
      <w:r>
        <w:rPr>
          <w:b/>
        </w:rPr>
        <w:t>[Pages 97–99]</w:t>
      </w:r>
    </w:p>
    <w:p>
      <w:r>
        <w:t>BULLETIN NO. 47 OF DECEMBER 14, 2009 99</w:t>
      </w:r>
    </w:p>
    <w:p>
      <w:r>
        <w:t>RESOLUTION</w:t>
      </w:r>
    </w:p>
    <w:p>
      <w:r>
        <w:t>a) that the commercial practice described in point III, letter b), of this resolution, carried out by the company Nestlé Italiana S.p.A., constitutes, for the reasons and within the limits set out in the motivation, an unfair commercial practice pursuant to Articles 20, 21, paragraph 1, letters b) and c), and 22 of the Consumer Code, and prohibits its further dissemination;</w:t>
      </w:r>
    </w:p>
    <w:p>
      <w:r>
        <w:t>b) that a monetary administrative fine of €60,000 (sixty thousand euros) be imposed on the company Nestlé Italiana S.p.A.</w:t>
      </w:r>
    </w:p>
    <w:p>
      <w:r>
        <w:t>The monetary administrative fine referred to in the previous letter b) must be paid within thirty days from the notification of this resolution, by direct payment to the service concessionaire for collection or by delegation to the bank or to Poste Italiane, presenting the form attached to this resolution, as provided by Legislative Decree No. 237 of July 9, 1997.</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fine is increased by one-tenth for each semester starting from the day following the payment deadline until the role is transmitted to the concessionaire for collection; in this case, the increase absorbs the late interest accrued during the same period.</w:t>
      </w:r>
    </w:p>
    <w:p>
      <w:r>
        <w:t>Immediate communication of the payment must be given to the Authority by sending a copy of the form certifying the payment made.</w:t>
      </w:r>
    </w:p>
    <w:p>
      <w:r>
        <w:t>Pursuant to Article 27, paragraph 12, of the Consumer Code, in case of non-compliance with this resolution, the Authority applies a monetary administrative fine ranging from €10,000 to €150,000. In cases of repeated non-compliance, the Authority may order the suspension of business activity for a period not exceeding thirty days.</w:t>
      </w:r>
    </w:p>
    <w:p>
      <w:r>
        <w:t>This resolution will be notified to the interested parties and published in the Bulletin of the Italian Competition Authority.</w:t>
      </w:r>
    </w:p>
    <w:p>
      <w:r>
        <w:t>100 BULLETIN NO. 47 OF DECEMBER 14, 2009</w:t>
      </w:r>
    </w:p>
    <w:p>
      <w:r>
        <w:t>Against this resolution, an appeal may be submitted to the TAR of Lazio, pursuant to Article 27, paragraph 13, of the Consumer Code, within sixty days from the date of notification of the resolution itself, or an extraordinary appeal may be proposed to the President of the Republic, pursuant to Article 8, paragraph 2, of the Decree of the President of the Republic No. 1199 of November 24, 1971, within one hundred and twenty days from the date of notification of the resolution itself.</w:t>
      </w:r>
    </w:p>
    <w:p>
      <w:r>
        <w:t>THE SECRETARY GENERAL THE PRESIDENT</w:t>
      </w:r>
    </w:p>
    <w:p>
      <w:r>
        <w:t>Luigi Fiorentino Antonio Catricalà</w:t>
      </w:r>
    </w:p>
    <w:p>
      <w:r>
        <w:t>BULLETIN NO. 47 OF DECEMBER 14, 2009 101</w:t>
      </w:r>
    </w:p>
    <w:p>
      <w:r>
        <w:t>PS4137 - SAMSUNG - PRODUCT WARRANTY</w:t>
      </w:r>
    </w:p>
    <w:p>
      <w:r>
        <w:t>Resolution No. 20516</w:t>
      </w:r>
    </w:p>
    <w:p>
      <w:r>
        <w:t>THE ITALIAN COMPETITION AUTHORITY</w:t>
      </w:r>
    </w:p>
    <w:p>
      <w:r>
        <w:t>IN ITS MEETING of November 25, 2009;</w:t>
      </w:r>
    </w:p>
    <w:p>
      <w:r>
        <w:t>HEARD the Rapporteur Professor Piero Barucci;</w:t>
      </w:r>
    </w:p>
    <w:p>
      <w:r>
        <w:t>HAVING REGARD TO Title III of Legislative Decree No. 206 of September 6, 2005, containing the "Consumer Code," as amended by Legislative Decree No. 146 of August 2, 2007 (hereinafter, Consumer Code);</w:t>
      </w:r>
    </w:p>
    <w:p>
      <w:r>
        <w:t>HAVING REGARD TO the "Regulation on investigative procedures regarding unfair commercial practices," adopted by the Authority's resolution of November 15, 2007, published in the Official Gazette No. 283 of December 5, 2007, and entered into force on December 6, 2007 (hereinafter, Regulation);</w:t>
      </w:r>
    </w:p>
    <w:p>
      <w:r>
        <w:t>HAVING REGARD TO its resolution of October 15, 2009, which extended the deadline for concluding the procedure, for specific investigative needs, pursuant to Article 7, paragraph 3, of the Regulation;</w:t>
      </w:r>
    </w:p>
    <w:p>
      <w:r>
        <w:t>HAVING REGARD TO the acts of the procedure;</w:t>
      </w:r>
    </w:p>
    <w:p>
      <w:r>
        <w:t>CONSIDERED the following:</w:t>
      </w:r>
    </w:p>
    <w:p>
      <w:r>
        <w:t>I. THE PARTY</w:t>
      </w:r>
    </w:p>
    <w:p>
      <w:r>
        <w:t>1. Samsung Electronics Italia S.p.A. (hereinafter, Samsung), as a professional pursuant to Article 18, letter b), of the Consumer Code, is a subsidiary of the multinational Korean company engaged in the production and sale of consumer electronics. In 2008, Samsung achieved a turnover of approximately €1.5 billion and a profit of approximately €8.5 million.</w:t>
      </w:r>
    </w:p>
    <w:p>
      <w:r>
        <w:t>II. THE REPORTED COMMERCIAL PRACTICE</w:t>
      </w:r>
    </w:p>
    <w:p>
      <w:r>
        <w:t>2. Based on information acquired for the application of the Consumer Code, including twenty reports received from consumers - also through the Call Center activated by the Italian Competition Authority to receive reports regarding alleged cases of unfair commercial practices - certain behaviors of Samsung have been reported to the Authority, relating to alleged obstacles to the exercise of consumer rights concerning the legal and/or conventional warranty due on various products - specifically, mobile phones, DVD players, fax machines, camcorders, printers, LCDs, monitors - that turned out to be defective.</w:t>
      </w:r>
    </w:p>
    <w:p>
      <w:r>
        <w:t>3. More specifically, consumers reported:</w:t>
      </w:r>
    </w:p>
    <w:p>
      <w:r>
        <w:t>a) the failure to recognize the right to warranty assistance for certain malfunctions;</w:t>
      </w:r>
    </w:p>
    <w:p>
      <w:r>
        <w:t>b) paid interventions on products under warranty;</w:t>
      </w:r>
    </w:p>
    <w:p>
      <w:r>
        <w:t>c) the failure to provide prior information on product characteristics that significantly affect the exercise of the right to warranty assistance (e.g., product</w:t>
      </w:r>
    </w:p>
    <w:p>
      <w:r>
        <w:rPr>
          <w:b/>
        </w:rPr>
        <w:t>[Pages 100–102]</w:t>
      </w:r>
    </w:p>
    <w:p>
      <w:r>
        <w:t>102 BULLETIN NO. 47 OF DECEMBER 14, 2009</w:t>
        <w:br/>
        <w:t>of parallel import, deemed even to be without warranty, despite the product sheet indicating the operation of the so-called European warranty);</w:t>
        <w:br/>
        <w:t>d) the failure to replace the malfunctioning product even in cases of parallel import products and in cases of conventional warranty, even in the face of numerous unsuccessful repairs, or the replacement with a defective device;</w:t>
        <w:br/>
        <w:t>e) the failure to inform about repair times, even in the case of promotional operations referred to in sub j);</w:t>
        <w:br/>
        <w:t>f) the delay in returning the product or part of it (even several months) sent for assistance;</w:t>
        <w:br/>
        <w:t>g) the inadequacy of repeated assistance interventions, as well as Samsung's customer service. In some cases, the telephone lines of the assistance center insert a pre-recorded message that prevents direct telephone contact with the operator;</w:t>
        <w:br/>
        <w:t>h) being invited by the final retailer to contact the Samsung assistance center directly and independently to resolve the reported malfunction issues, sometimes assuming a period of 7 days from the purchase of the product, other times assuming it to be a parallel import product;</w:t>
        <w:br/>
        <w:t>i) the unjustified reduction in the duration of the legal warranty on various products;</w:t>
        <w:br/>
        <w:t>j) the failure to recognize the conventional warranty (3 years) on malfunctions of Samsung products distributed during promotional operations (including that promoted by Esso Italia in 2007);</w:t>
        <w:br/>
        <w:t>k) the failure to comply with the conventional warranty by the manufacturer (in particular for warranties called “Pixel0”, “Pick and return” mode or “On site with swap mode”).</w:t>
      </w:r>
    </w:p>
    <w:p>
      <w:r>
        <w:t>III. THE INSTRUCTIONAL FINDINGS</w:t>
        <w:br/>
        <w:t>a) The communication of the initiation of the procedure</w:t>
        <w:br/>
        <w:t>4. Based on the reports received, on July 1, 2009, Samsung was notified of the initiation of the PS4137 investigative procedure, pursuant to art. 27, paragraph 3, of the Consumer Code, as well as pursuant to art. 6 of the Regulation, in order to ascertain whether the reported conduct, listed in point 2, could constitute a violation of articles 20, 21, 22, 24, 25 of the aforementioned Consumer Code.</w:t>
      </w:r>
    </w:p>
    <w:p>
      <w:r>
        <w:t>b) Conduct of the investigation</w:t>
        <w:br/>
        <w:t>5. In order to acquire useful knowledge elements for the evaluation of the case, within the communication of the initiation of the procedure, a request for information was sent to Samsung, pursuant to art. 27, paragraphs 3 and 4, of the Consumer Code and art. 12, paragraph 1, of the Regulation. On September 3, 2009, further information was requested from Samsung regarding the commercial practice subject to the procedure.</w:t>
        <w:br/>
        <w:t>6. By provision of October 15, 2009, the deadline for concluding the procedure was extended by thirty days due to specific investigative needs.</w:t>
      </w:r>
    </w:p>
    <w:p>
      <w:r>
        <w:t>BULLETIN NO. 47 OF DECEMBER 14, 2009 103</w:t>
        <w:br/>
        <w:t>c) Submissions from the party</w:t>
        <w:br/>
        <w:t>7. By note received on August 5, 2009, subsequently supplemented on September 22, 2009, and by note received on November 5, 2009, Samsung responded to the Authority's investigative requests and submitted its defensive submissions.</w:t>
        <w:br/>
        <w:t>8. First of all, Samsung contested that the conduct attributed to it could actually qualify as “commercial practice.” The number of reported cases (20) is, in fact, deemed irrelevant: the statistical data reported by Samsung are such as to categorize the reports to the Authority within the physiological normality in the management of the assistance service. Regarding the nature of the complaints received and managed by Samsung, for the period between April 2008 and June 2009, the company specified that, based on standard complaint management procedures by Samsung, 80% are managed by Samsung with a proposed solution to the customer within three working days. To date, the vast majority of complaints received during the period covered by the investigation can be considered closed. Therefore, in the absence of a consolidated, uniform practice directed at the generality of consumers, the reported cases should be treated as individual cases of litigation between the consumer and the professional, which would see the ordinary judge as their natural resolution venue.</w:t>
        <w:br/>
        <w:t>9. Secondly, regarding the behaviors referred to in point 3, sub a), b), h), i), the party argued that they concern the provision of the legal warranty pursuant to art. 130 of the Consumer Code, for which the company, as the manufacturer, is not bound to the end users of the products—whether they are consumers or professionals—being bound only within the limits of the conventional warranty. In particular, Samsung claims to have no direct relationship with consumers, as a company that operates exclusively at the wholesale distribution level, positioning itself at an intermediate level between production and retail sale. It is therefore not bound by the obligation to guarantee the consumer the conformity of the good to the contract entered into between the retailer and the consumer. Samsung then stated that there are no agreements between the company and the retailers of its products, whether they belong to the GDO or other distribution channels, concerning the provision of legal and/or conventional warranties on Samsung-branded products that deviate from what is provided by law or what is established in the terms of the conventional warranty.</w:t>
        <w:br/>
        <w:t>10. Regarding the conventional warranty on the part of the manufacturer, to which the other complaints of consumers referred to in point 3) can be traced, Samsung first clarified that its after-sales assistance system is structured on two levels: the first—free for anyone wishing to use it, regardless of whether they are consumers or professionals, or whether the warranty on the product has expired or not—operates through a Call Center; the second operates through Samsung's Technical Assistance Centers (hereinafter also CAT).</w:t>
        <w:br/>
        <w:t>11. Samsung then highlighted that within the packaging of each Samsung product there is a conventional warranty statement (warranty card) that operates automatically by virtue of the purchase of the product and that has a substantially uniform content for products distributed within the European Union, which Samsung also defines as “European warranty.” These statements explicitly refer to the non-derogable rights provided by law in favor of the consumer, thus fulfilling the obligations dictated by art. 133 of the</w:t>
      </w:r>
    </w:p>
    <w:p>
      <w:r>
        <w:t>104 BULLETIN NO. 47 OF DECEMBER 14, 2009</w:t>
        <w:br/>
        <w:t>Consumer Code. In fact, in the statement regarding mobile phones, it states: “This warranty does not modify or eliminate the rights of consumers established by law, nor those that the consumer may have against retailers under any sales contracts possibly entered into with the retailers themselves. The warranty... replaces and supersedes any other express and implied warranty [...] unless otherwise provided, the conditions of Italian law regarding warranty for defects apply”; in the statement regarding fax machines, monitors, televisions, camcorders, and DVD players, it states: “This warranty does not affect the rights of the customer prescribed by law according to the applicable national legislation in force, nor the rights of the customer against the retailer arising from the sales contract. In the absence of applicable national legislation, this warranty will be the sole and exclusive safeguard for the customer, and neither Samsung nor its subsidiary or distributor will be responsible for any incidental or indirect damage to Samsung products arising from the violation of the warranty conditions described herein.”</w:t>
        <w:br/>
        <w:t>On LCD televisions accompanied by the warranty referred to in Annex 5 of the first submission, it further states: “these conditions do not prejudice the rights recognized to the consumer by Legislative Decree 2/02/02 no. 24 issued in implementation of European Directive 99/44/EC”; the warranty cards related to TVs and monitors state: “[…] This warranty does not affect the rights of the customer prescribed by law according to the applicable national legislation in force, nor the rights of the customer against the retailer arising from the sales contract. In the absence of applicable national legislation, this warranty is the sole and exclusive safeguard for the customer, and neither Samsung nor its subsidiary or distributor are responsible for any incidental or indirect damage to Samsung products arising from the violation of the warranty conditions described herein. These conditions do not prejudice the rights recognized to the consumer by Legislative Decree 2/02/02 no. 24 issued in implementation of European Directive 99/44/EC.”</w:t>
        <w:br/>
        <w:t>Furthermore, based on this “European warranty,” as specified in the warranty cards, the consumer has the right to obtain, from Samsung branches, the same type of assistance on Samsung products in any EU Member State they are in. In fact, the warranty cards state: “in any case, all retailers and authorized Samsung technical assistance centers present in Western European countries will recognize the validity of this warranty in accordance with the regulations in force in the country concerned.” What is described, however, does not apply to Samsung products not intended for the markets of the European Union: the warranty card relating to such products binds exclusively the Samsung branch established in the territory to which the product was originally intended and in which it was marketed by the relevant Samsung branch. This limitation is reported in the same warranty cards. This same limitation, moreover, does not affect in any way the consumer's ability to exercise the rights recognized by art. 130 of the Consumer Code against the seller.</w:t>
        <w:br/>
        <w:t>12. Regarding the individual reports received by the Authority concerning the conventional warranty, Samsung argued that these are cases that can be framed within a technical type of litigation, for which the company provided specific reasons for the behaviors adopted, due to</w:t>
      </w:r>
    </w:p>
    <w:p>
      <w:r>
        <w:rPr>
          <w:b/>
        </w:rPr>
        <w:t>[Pages 103–105]</w:t>
      </w:r>
    </w:p>
    <w:p>
      <w:r>
        <w:t>BULLETIN NO. 47 OF DECEMBER 14, 2009 105</w:t>
      </w:r>
    </w:p>
    <w:p>
      <w:r>
        <w:t>mostly due to improper use of the product by consumers, which negated the requirements for the warranty performance.</w:t>
      </w:r>
    </w:p>
    <w:p>
      <w:r>
        <w:t>13. With regard specifically to the performance of the additional conventional warranties “Pixel0”, “Pick and return” mode or “On site with swap mode” (as per point 2 sub k), and in particular the related limitations, Samsung asserts that the information available to consumers regarding the operational limits of the same is absolutely clear and complete. In particular, the internet advertising of the “Pixel0” warranty—which provides for the free replacement of the product if even a single pixel on the panel is defective within the first 6 months from purchase—explicitly states that “The Pixel0 policy is an additional conventional warranty that Samsung Electronics Italia S.p.A. offers exclusively on LCD televisions, of any size, directly imported and distributed in Italy, and is made possible thanks to Samsung Italia's control procedures on the products it distributes. Therefore, televisions branded Samsung that are imported and distributed in Italy by parties other than Samsung Electronics Italia S.p.A. are excluded from this specific warranty.” Furthermore, the flyers distributed at retail points state that the Prestige Service and Pixel0 warranties “are valid exclusively for LCD or Plasma televisions distributed by Samsung Electronics Italia S.p.A. in the national territory. All other products are excluded, even if branded Samsung.”</w:t>
      </w:r>
    </w:p>
    <w:p>
      <w:r>
        <w:t>14. Finally, regarding the conventional warranty on parallel import products, i.e., products coming from other EU countries, Samsung first asserts that no misleading action or omission can be attributed to it, as it is quite possible that, unbeknownst to Samsung, third-party retailers import and distribute Samsung-branded products in Italy. These latter will be responsible for any incorrect communications: Samsung does not exercise any control over such alternative sales channels, nor over what the retailers of such products may communicate to consumers, nor is the company able to provide indications regarding the parties that import or have imported Samsung-branded products in Italy. Nevertheless, Samsung provides assistance even on such products coming from other EU countries, in addition to any additional warranties specifically provided by the company on certain categories of products in relation to specific promotional campaigns (e.g., Pixel0 warranty).</w:t>
      </w:r>
    </w:p>
    <w:p>
      <w:r>
        <w:t>d) The information provided by retailers and other parties</w:t>
      </w:r>
    </w:p>
    <w:p>
      <w:r>
        <w:t>15. Auchan S.p.A., in response to a request for information made by the Authority, stated that the contracts in place between Auchan and Samsung Electronics Italia S.p.A. contain no reference to the methods of after-sales assistance and that there are no indemnity agreements with Samsung regarding the provision of legal/conventional warranties on the products. Auchan further specified that it nonetheless protects the consumer from the eventuality that a supplier does not intend to bear, for any reason, the cost related to the warranty intervention: Auchan, in fact, proceeds to withdraw the product, confirmed as defective, and to replace it at its own expense, without prejudice to any possible recourse action against the supplier.</w:t>
      </w:r>
    </w:p>
    <w:p>
      <w:r>
        <w:t>16. Mediamarket S.p.A. and Euronics S.p.A., in response to the Authority's requests, also did not highlight any agreements or commercial practices with Samsung under which there are exceptions in the methods of providing the legal warranty.</w:t>
      </w:r>
    </w:p>
    <w:p>
      <w:r>
        <w:t>17. On October 17, 2009, W.S.C. S.p.A., a company contracted for the assistance service on Samsung-branded products not distributed by Samsung Electronics Italia S.p.A. (i.e., not marketed in the Italian territory by the aforementioned company), transmitted a copy of the contract concluded with the professional regarding assistance on the aforementioned products and attached the operational instructions provided by Samsung concerning the content of the “Pixel0” warranty and in particular the prohibition of providing such warranty on products not distributed by Samsung Electronics Italia S.p.A. From these agreements, no provisions emerge that could limit the methods of exercising the conventional warranty by consumers.</w:t>
      </w:r>
    </w:p>
    <w:p>
      <w:r>
        <w:t>IV. CONCLUDING EVALUATIONS</w:t>
      </w:r>
    </w:p>
    <w:p>
      <w:r>
        <w:t>18. The reports received by the Authority concerned, among other things, two aspects regarding the provision of warranties on sold products: A) obstacles to the provision of the legal warranty pursuant to art. 130 of the Consumer Code; B) various types of obstacles to the provision of the conventional warranty by the manufacturer, also referring to Samsung-branded products sold in Italy, but for which the retailers sourced abroad, thus from parties different from Samsung (so-called parallel import).</w:t>
      </w:r>
    </w:p>
    <w:p>
      <w:r>
        <w:t>19. Regarding the sub A) aspect of the previous point, the law (art. 130 of the Consumer Code) imposes on the retailer the burden of removing the conformity defects of the sold products or replacing the product itself at the consumer's request. From the investigation, no sufficient elements emerged to configure a responsibility or anyway a co-responsibility of Samsung regarding the obstacles posed to the provision of the legal warranty in favor of consumers.</w:t>
      </w:r>
    </w:p>
    <w:p>
      <w:r>
        <w:t>20. Regarding the sub B) aspect concerning the conventional warranty, in light of the information provided by the party, the cases reported to the Authority appear explainable as misunderstandings or disputes attributable to the specificities of the individual relationship established with the consumer. In some of these, Samsung has also highlighted having resolved the problem reported by the consumer, even if the latter was found not to be entitled to the provision of the conventional warranty, due to improper use of the product, or because the product was intended for a market different from the European Union, thus imported by the retailer, and for which the warranty card explicitly stated the limitation concerning the applicability of the conventional warranty only in the destination country of the product.</w:t>
      </w:r>
    </w:p>
    <w:p>
      <w:r>
        <w:t>21. Regarding the information concerning the conventional warranty, and in particular conveyed to the consumer through the warranty cards contained in the product packaging, it is noted that they explicitly state both the geographical extent of the warranty (albeit with a lexical inaccuracy - “Western Europe” instead of “European Union” - nonetheless not such as to mislead the consumer), and, although with a generic reference, the fact that national legislation may provide for a warranty against defects in conformity of the product, to be exercised against the retailer.</w:t>
      </w:r>
    </w:p>
    <w:p>
      <w:r>
        <w:t>BULLETIN NO. 47 OF DECEMBER 14, 2009 107</w:t>
      </w:r>
    </w:p>
    <w:p>
      <w:r>
        <w:t>22. In light of the above, it can be concluded that from the documents collected in the investigation, there are currently no elements against Samsung that would suggest the existence of a misleading or aggressive practice.</w:t>
      </w:r>
    </w:p>
    <w:p>
      <w:r>
        <w:t>THEREFORE, based on the considerations outlined above, it is determined that the commercial practice in question does not appear to be unfair as no sufficient elements have emerged, at this time, to configure a misleading or aggressive practice by Samsung Electronics Italia S.p.A. regarding consumer rights arising from the legal warranty and the conventional warranty;</w:t>
      </w:r>
    </w:p>
    <w:p>
      <w:r>
        <w:t>RESOLVES</w:t>
      </w:r>
    </w:p>
    <w:p>
      <w:r>
        <w:t>that the commercial practice described in point II of this provision, carried out by Samsung Electronics Italia S.p.A., does not constitute, for the reasons outlined in the motivation, an unfair commercial practice pursuant to articles 20, 21, 22, 24, and 25 of the Consumer Code.</w:t>
      </w:r>
    </w:p>
    <w:p>
      <w:r>
        <w:t>This provision will be communicated to the interested parties and published in the Bulletin of the Italian Competition Authority.</w:t>
      </w:r>
    </w:p>
    <w:p>
      <w:r>
        <w:t>Against this provision, an appeal may be filed with the TAR for Lazio, pursuant to Article 27, paragraph 13, of the Consumer Code, within sixty days from the date of communication of the provision itself, or an extraordinary appeal may be proposed to the President of the Republic, pursuant to Article 8, paragraph 2, of the Decree of the President of the Republic of November 24, 1971, no. 1199, within one hundred and twenty days from the date of communication of the provision itself.</w:t>
      </w:r>
    </w:p>
    <w:p>
      <w:r>
        <w:t>THE SECRETARY GENERAL THE PRESIDENT</w:t>
      </w:r>
    </w:p>
    <w:p>
      <w:r>
        <w:t>Luigi Fiorentino Antonio Catricalà</w:t>
      </w:r>
    </w:p>
    <w:p>
      <w:r>
        <w:rPr>
          <w:b/>
        </w:rPr>
        <w:t>[Pages 106–106]</w:t>
      </w:r>
    </w:p>
    <w:p>
      <w:r>
        <w:t>Antitrust Authority Weekly Bulletin</w:t>
        <w:br/>
        <w:t>of Competition and Market Year XIX - No. 47. 2009</w:t>
        <w:br/>
        <w:t>Editorial Coordination Giulia Antenucci</w:t>
        <w:br/>
        <w:t>Editorial Staff Elisabetta Allegra, Valerio Ruocco, Simonetta Schettini</w:t>
        <w:br/>
        <w:t>Italian Competition Authority</w:t>
        <w:br/>
        <w:t>Statistical and IT Inspections Department</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