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https://www.agcm.it/dotcmsdoc/bollettini/2023/47-23.pdf</w:t>
      </w:r>
    </w:p>
    <w:p>
      <w:r>
        <w:t>Pages translated : 12</w:t>
      </w:r>
    </w:p>
    <w:p/>
    <w:p>
      <w:r>
        <w:rPr>
          <w:b/>
        </w:rPr>
        <w:t>[Pages 1–3]</w:t>
      </w:r>
    </w:p>
    <w:p>
      <w:r>
        <w:t>Bulletin</w:t>
        <w:br/>
        <w:t>Weekly</w:t>
        <w:br/>
        <w:t>Year XXXIII - No. 47</w:t>
        <w:br/>
        <w:t>Published on the website www.agcm.it</w:t>
        <w:br/>
        <w:t>December 11, 2023</w:t>
      </w:r>
    </w:p>
    <w:p>
      <w:r>
        <w:t>SUMMARY</w:t>
        <w:br/>
        <w:t>CONCENTRATION OPERATIONS 5</w:t>
        <w:br/>
        <w:t>C12580 - CONAD NORD OVEST/BRANCH OF BENNET COMPANY</w:t>
        <w:br/>
        <w:t>Measure no. 30885 5</w:t>
        <w:br/>
        <w:t>C12581 - MITSUBISHI CHEMICAL EUROPE/CPC</w:t>
        <w:br/>
        <w:t>Measure no. 30886 10</w:t>
      </w:r>
    </w:p>
    <w:p>
      <w:r>
        <w:t>BULLETIN NO. 47 OF DECEMBER 11, 2023 5</w:t>
        <w:br/>
        <w:t>CONCENTRATION OPERATIONS</w:t>
        <w:br/>
        <w:t>C12580 - CONAD NORD OVEST/BRANCH OF BENNET COMPANY</w:t>
        <w:br/>
        <w:t>Measure no. 30885</w:t>
        <w:br/>
        <w:t>THE ITALIAN COMPETITION AUTHORITY</w:t>
        <w:br/>
        <w:t>IN ITS MEETING of 21 November 2023;</w:t>
        <w:br/>
        <w:t>HEARD the Rapporteur Saverio Valentino;</w:t>
        <w:br/>
        <w:t>HAVING REGARD to Council Regulation (EC) No. 139/04;</w:t>
        <w:br/>
        <w:t>HAVING REGARD to Law No. 287 of 10 October 1990;</w:t>
        <w:br/>
        <w:t>HAVING REGARD to Presidential Decree No. 217 of 30 April 1998;</w:t>
        <w:br/>
        <w:t>HAVING REGARD to the communication from the companies Conad Nord Ovest Società Cooperativa and D.G. S.r.l., received on 30 October 2023;</w:t>
        <w:br/>
        <w:t>HAVING REGARD to the documentation on file;</w:t>
        <w:br/>
        <w:t>CONSIDERING the following:</w:t>
        <w:br/>
        <w:t>I. THE PARTIES</w:t>
        <w:br/>
        <w:t>1. Conad Nord Ovest Società Cooperativa (hereinafter "Conad NO") is the company resulting from the merger, which took place in 2019, between the cooperatives Nordiconad Soc. Coop. and Conad del Tirreno Soc. Coop. and is one of the 5 cooperatives belonging to the National Consortium of Retailers CONAD S.c. a r.l. (hereinafter "CONAD"). The company operates in the distribution of food and non-food consumer goods through a network of approximately 600 retail outlets in the large-scale retail sector, both direct and associated, characterized by Conad signage. In particular, based on the existing geographical distribution scheme within the Conad system, Conad NO operates in the following areas: Aosta Valley, Piedmont, Lombardy (province of Mantova), Liguria, Emilia-Romagna (provinces of Modena, Bologna, and Ferrara), Tuscany, Lazio (provinces of Rome and Viterbo), and Sardinia. In 2022, Conad NO achieved a turnover of approximately 2.9 billion euros in Italy.</w:t>
        <w:br/>
        <w:t>2. The organizational model of the CONAD system is structured on three levels:</w:t>
        <w:br/>
        <w:t>(i) the first level is represented by individual entrepreneurs, members of the cooperatives and owners of the retail outlets, who conduct the business and manage the retail outlets in the territory, operating independently and at their own business risk, utilizing the supply of goods and services from the individual cooperative. The individual member is therefore, at the same time, a trader, entrepreneur, and cooperator;</w:t>
        <w:br/>
        <w:t>(ii) the second level, in which Conad NO is situated, is represented by the cooperatives, members of the national CONAD consortium that support and coordinate the individual entrepreneurs by providing administrative, commercial, logistical, and financial services;</w:t>
        <w:br/>
        <w:t>(iii) the third level is constituted by the national CONAD consortium, which operates as a purchasing and service center, is responsible for strategic planning, marketing, and communication activities for the entire system, as well as for the production, promotion, and development of the CONAD brand.</w:t>
      </w:r>
    </w:p>
    <w:p>
      <w:r>
        <w:rPr>
          <w:b/>
        </w:rPr>
        <w:t>[Pages 4–6]</w:t>
      </w:r>
    </w:p>
    <w:p>
      <w:r>
        <w:t>6 BULLETIN NO. 47 OF DECEMBER 11, 2023</w:t>
        <w:br/>
        <w:t>3. GD S.r.l (hereinafter, GD) is a company belonging to the Conad group specialized in the wholesale and retail trade of food and non-food goods. The total revenue of the company in 2022 was approximately 5 million euros in Italy.</w:t>
        <w:br/>
        <w:t>4. The Target business branch of the operation (hereinafter, the Target) consists of a retail outlet belonging to the company Bennet S.p.A. (hereinafter, Bennet), specifically a hypermarket located in [omissis]*. The total revenue of the Target was approximately [10-32] million euros in 2022.</w:t>
        <w:br/>
        <w:t>II. DESCRIPTION OF THE OPERATION</w:t>
        <w:br/>
        <w:t>5. The operation consists of the acquisition of exclusive control by Conad NO, through its associated and participating company DG, of a retail outlet subject to the transfer of a business branch, currently owned by Bennet.</w:t>
        <w:br/>
        <w:t>III. QUALIFICATION OF THE OPERATION</w:t>
        <w:br/>
        <w:t>6. The notified operation constitutes a concentration, pursuant to Article 5, paragraph 1 letter b), of Law No. 287/1990, as it involves the acquisition of control of part of an undertaking. It falls within the scope of application of Law No. 287/1990, as the conditions set out in Article 1 of Council Regulation (EC) No. 139/2004 do not apply, and it is subject to the obligation of prior notification provided for by Article 16, paragraph 1, of the same law, as the total revenue achieved, in the last financial year at a national level, by the group of undertakings involved exceeded 532 million euros and the total revenue achieved, in the last financial year at a national level, individually by at least two of the undertakings involved exceeded 32 million euros.</w:t>
        <w:br/>
        <w:t>7. In fact, the calculation of the relevant revenue must be made with reference to both the Parties of this transaction and to those parties of transactions that have already occurred over the past two years between the same subjects. Specifically, reference is made to the operations notified by Conad NO respectively (i) on March 30, 2023, and assessed by the Authority on June 6, 20231 and (ii) on June 16, 2023, and assessed by the Authority on July 11, 20232. This is due to the need to consider the three operations collectively, given the identity of the subjects involved in the respective agreements, resulting in the aggregation of the revenue values of the business branches subject to the operations themselves and exceeding the thresholds indicated in the national legislative provision3.</w:t>
        <w:br/>
        <w:t>* In this version, some data are omitted, as elements of confidentiality or secrecy of the information were deemed to exist.</w:t>
        <w:br/>
        <w:t>1 See C12532 - Nordovest Insieme / Business branches of Bennet, measure no. 30656 of June 6, 2023.</w:t>
        <w:br/>
        <w:t>2 See C12548 - Nordovest Insieme / Business branch of Bennet, measure no. 30720 of July 11, 2023.</w:t>
        <w:br/>
        <w:t>3 According to the consolidated Communication of the Commission on the criteria for jurisdiction under Council Regulation (EC) No. 139/2004 on the control of concentrations between undertakings (2008/C 95/01), two or more transactions "concluded between the same persons or undertakings within a period of two years, are to be considered a single concentration realized on the day of the last transaction" regardless of the presence of a conditional link. On this point, see also Council of State, June 4, 2020, judgment no. 3534, case C12207 – Sky Italia/R2.</w:t>
      </w:r>
    </w:p>
    <w:p>
      <w:r>
        <w:t>BULLETIN NO. 47 OF DECEMBER 11, 2023 7</w:t>
        <w:br/>
        <w:t>IV. EVALUATION OF THE OPERATION</w:t>
        <w:br/>
        <w:t>IV.1 The relevant markets</w:t>
        <w:br/>
        <w:t>IV.1.1 The market for the retail sale of food and non-food consumer goods</w:t>
        <w:br/>
        <w:t>8. This operation concerns the markets for the retail sale of food and non-food consumer goods through large-scale retail outlets. In this sector, multiple operators operate at a national level, with varied sizes and organizational formulas. In particular, within the large-scale retail trade, the following types of retail outlets are distinguished: hypermarkets, supermarkets, superettes, and discount stores.</w:t>
        <w:br/>
        <w:t>9. In the context of the most recent decisions regarding concentration operations in the large-scale retail trade sector4, the Authority has, first of all, included the retail outlets managed under the discount formula in the relevant markets related to the types of retail outlets of corresponding size, namely superettes (100-399 sqm), supermarkets (400-2,499 sqm), and hypermarkets (from 2,500 sqm and above), as they are considered by consumers to be a substitutable purchasing option with such other types of retail outlets in the large-scale retail trade.</w:t>
        <w:br/>
        <w:t>10. Furthermore, with reference to hypermarkets, supermarkets, and superettes, the Authority has defined the following distinct product markets:</w:t>
        <w:br/>
        <w:t>i) the market for superettes, including all retail outlets with a size between 100 and 2,499 sqm (i.e., superettes, supermarkets, and discount stores smaller than 2,500 sqm);</w:t>
        <w:br/>
        <w:t>ii) the market for supermarkets, including all retail outlets with a size from 100 sqm and above (i.e., supermarkets, superettes, hypermarkets, and discount stores);</w:t>
        <w:br/>
        <w:t>iii) the market for hypermarkets, including all retail outlets from 400 sqm and above (i.e., hypermarkets, supermarkets, and discount stores of a size equal to or greater than 400 sqm).</w:t>
        <w:br/>
        <w:t>11. From a geographical perspective, local markets have been defined consisting of isochrone curves centered on the target retail outlets, with a width of 10 minutes of driving for the market of superettes and 15 minutes of driving for the markets of supermarkets and hypermarkets.</w:t>
        <w:br/>
        <w:t>12. In this case, the relevant market is therefore that of hypermarkets, meaning all retail outlets larger than 400 sqm located within a maximum 15-minute driving isochrone from the retail outlet subject to the acquisition.</w:t>
        <w:br/>
        <w:t>IV.1.2 The markets for the procurement of food and non-food consumer goods</w:t>
        <w:br/>
        <w:t>13. The procurement markets pertain to the purchases made by large-scale retail chains, which represent the demand side, directly from producers of food and non-food consumer goods, which constitute the supply side, for resale in the modern distribution channel5.</w:t>
        <w:br/>
        <w:t>14. Since the service offered by large-scale retail to consumers consists of the possibility of purchasing the entire basket of food and non-food consumer goods, for everyday use, each belonging to a distinct product category, the Authority has previously considered that different procurement markets could be identified, distinct by product categories6. Within the offering of large-scale retail, it is also possible to distinguish the procurement markets based on the brand of the products (e.g., private label or distributor products, branded products, unbranded products).</w:t>
        <w:br/>
        <w:t>15. The procurement markets generally have a national dimension, with both purchases and related negotiations taking place at a national level. However, some categories of fresh products or local specialties, characterized by markets of a more limited size, are generally excluded from the scope of negotiation of purchasing centers.</w:t>
        <w:br/>
        <w:t>16. Regarding these markets, it is nonetheless possible, for the purposes of this decision, to leave the market definition open, since, as will be better illustrated below, the operation does not appear to be capable of significantly hindering effective competition in the market.</w:t>
        <w:br/>
        <w:t>The effects of the operation</w:t>
        <w:br/>
        <w:t>17. As mentioned, the Authority has already assessed the acquisition by Conad NO of certain business branches of Bennet S.p.A.7. These operations, having been concluded between the same undertakings within a period of two years, are to be considered a single concentration. However, since the present operation concerns a different and distinct geographical market, the following assessment will focus solely on this latest acquisition, referring to the decisions of June 6, 2023, and July 11, 2023, for the assessment concerning the other markets.</w:t>
        <w:br/>
        <w:t>18. With reference to the market for the retail sale of food and non-food consumer goods, it is noted that, at the local level, in the market represented by the isochrone constructed around the retail outlet subject to the acquisition, the Target has a market share of [30-40%], while there are no retail outlets under the Conad brand. Therefore, the operation consists of the replacement of one operator with another. There are also numerous and qualified competitors present.</w:t>
        <w:br/>
        <w:t>19. With reference to the procurement of food and non-food consumer goods, at the national level, based on the data provided by the Parties, the Conad chain holds a market share of approximately 15% in the large-scale retail sector, which would increase negligibly as a result of the present operation (also considering the previous acquisitions of the business branches of Bennet). Similarly marginal is the increase in market power resulting from the present operation within the Conad-Finiper purchasing center, which currently holds a national market share of approximately 17.3%, lower than that held by the super central ESD.</w:t>
        <w:br/>
        <w:t>20. In light of the above considerations, the concentration under examination does not appear to be capable of significantly hindering effective competition in the relevant markets and does not lead to the establishment or strengthening of a dominant position.</w:t>
        <w:br/>
        <w:t>THEREFORE, it is deemed that the operation in question does not significantly hinder effective competition in the relevant markets, pursuant to Article 6, paragraph 1, of Law No. 287/1990, and does not result in the establishment or strengthening of a dominant position;</w:t>
        <w:br/>
        <w:t>RESOLVES</w:t>
        <w:br/>
        <w:t>not to initiate the investigation referred to in Article 16, paragraph 4, of Law No. 287/1990.</w:t>
        <w:br/>
        <w:t>The above conclusions will be communicated, pursuant to Article 16, paragraph 4, of Law No. 287/1990, to the interested undertakings and to the Minister of Enterprises and Made in Italy.</w:t>
        <w:br/>
        <w:t>7 See cases C12532 - Nordovest Insieme / Business branches of Bennet, measure no. 30656 of June 6, 2023 and C12548 - Nordovest Insieme / Business branch of Bennet, measure no. 30720 of July 11, 2023.</w:t>
      </w:r>
    </w:p>
    <w:p>
      <w:r>
        <w:rPr>
          <w:b/>
        </w:rPr>
        <w:t>[Pages 7–9]</w:t>
      </w:r>
    </w:p>
    <w:p>
      <w:r>
        <w:t>non concorrenza, esso deve essere limitato ai settori di operatività della Target e non deve estendersi a un ambito più ampio di quello necessario per proteggere gli interessi commerciali dell'Acquirente.</w:t>
      </w:r>
    </w:p>
    <w:p>
      <w:r>
        <w:t>BULLETIN NO. 47 OF DECEMBER 11, 2023</w:t>
      </w:r>
    </w:p>
    <w:p>
      <w:r>
        <w:t>This measure will be published in the Bulletin of the Italian Competition Authority.</w:t>
      </w:r>
    </w:p>
    <w:p>
      <w:r>
        <w:t>THE SECRETARY GENERAL THE PRESIDENT</w:t>
        <w:br/>
        <w:t>Guido Stazi Roberto Rustichelli</w:t>
      </w:r>
    </w:p>
    <w:p>
      <w:r>
        <w:t>BULLETIN NO. 47 OF DECEMBER 11, 2023</w:t>
        <w:br/>
        <w:t>C12581 - MITSUBISHI CHEMICAL EUROPE/CPC</w:t>
        <w:br/>
        <w:t>Measure no. 30886</w:t>
        <w:br/>
        <w:t>THE ITALIAN COMPETITION AUTHORITY</w:t>
        <w:br/>
        <w:t>IN ITS MEETING of 21 November 2023;</w:t>
        <w:br/>
        <w:t>HEARD the Rapporteur Saverio Valentino;</w:t>
        <w:br/>
        <w:t>HAVING REGARD to Council Regulation (EC) No. 139/2004 of 20 January 2004 on the control of concentrations between undertakings;</w:t>
        <w:br/>
        <w:t>HAVING REGARD to Law No. 287 of 10 October 1990;</w:t>
        <w:br/>
        <w:t>HAVING REGARD to Presidential Decree No. 217 of 30 April 1998;</w:t>
        <w:br/>
        <w:t>HAVING REGARD to the act of Mitsubishi Chemical Europe GmbH, received on 30 October 2023;</w:t>
        <w:br/>
        <w:t>HAVING REGARD to the documentation on file;</w:t>
        <w:br/>
        <w:t>CONSIDERING the following:</w:t>
        <w:br/>
        <w:t>I. THE PARTIES</w:t>
        <w:br/>
        <w:t>1. Mitsubishi Chemical Europe GmbH (hereinafter, "MCE" or the "Purchaser") is a company under German law active in the EU and in numerous non-EU countries in the production and sale of highly advanced chemical products.</w:t>
        <w:br/>
        <w:t>2. The share capital of MCE is wholly owned by the Japanese company MCC, which, in turn, is directly and exclusively controlled by the Japanese holding company Mitsubishi Chemical Group Corporation (hereinafter, "MCG" and, together with all companies directly or indirectly controlled by it, "MC Group"). MCG is not subject, under the provisions on the control of concentrations in Italy and Europe, to the exclusive or joint control of any entity or individual.</w:t>
        <w:br/>
        <w:t>3. In 2022, the MC Group achieved a consolidated worldwide turnover of approximately [40-50]* billion euros, of which approximately [4-5] billion euros from sales in the European Union and approximately [532-700] million euros from sales in Italy.</w:t>
        <w:br/>
        <w:t>4. C.P.C. S.r.l. (hereinafter, "CPC") and the company wholly controlled by it, C.P.C. Protoservice S.r.l. (hereinafter, "Protoservice" and, together with CPC, "Target") are active in the production, assembly, and marketing of components and – more limitedly – of structural and aesthetic parts of vehicles, made of composite material (i.e., carbon fiber and fiberglass) and, more marginally, through aluminum casting.</w:t>
        <w:br/>
        <w:t>5. CPC is currently jointly controlled by an individual (hereinafter, the "First Individual") and by MCE, which, while holding 44% of the share capital, exercises joint control over it by virtue of the provisions of a shareholders' agreement signed in 2017 (hereinafter, the "2017 Shareholders' Agreement"). As for the First Individual, they hold 53% of the share capital of the Target through the company Innovative Solutions S.r.l., while the remaining 3% of the share capital is held by another individual (hereinafter, the "Second Individual") through the company Springama S.r.l., indirectly controlled through the trust company Unione Fiduciaria S.p.A..</w:t>
        <w:br/>
        <w:t>* In this version, some data are omitted, as there were deemed to be elements of confidentiality or secrecy of the information.</w:t>
      </w:r>
    </w:p>
    <w:p>
      <w:r>
        <w:t>BULLETIN NO. 47 OF DECEMBER 11, 2023</w:t>
        <w:br/>
        <w:t>6. In 2022, the Target achieved a consolidated worldwide turnover of approximately 154.6 million euros, of which approximately [32-100] million euros from sales in the European Union and approximately [32-100] million euros from sales in Italy.</w:t>
        <w:br/>
        <w:t>II. DESCRIPTION OF THE OPERATION</w:t>
        <w:br/>
        <w:t>7. On 28 September 2023, MCE, as the purchaser, and the other shareholders of CPC – i.e., the First Individual, through Innovative Solutions S.r.l., and the Second Individual, through Springama S.r.l. (hereinafter, collectively, the Sellers) – signed a preliminary sale and purchase agreement (hereinafter, the Sale and Purchase Agreement) under which – subject to the occurrence of certain events set forth therein as suspensive conditions – MCE will acquire the shares of CPC held by the Sellers. Taken together, these shares represent 56% of the share capital of the Target. Following the Operation, the Purchaser will therefore hold the entire share capital of the Target. In particular, it is noted that the Operation concerns the exercise by the Sellers of certain put option rights that were granted to them under the 2017 Shareholders' Agreement, signed when MCE acquired the 44% stake in CPC.</w:t>
        <w:br/>
        <w:t>8. Under the 2017 Shareholders' Agreement, for a period of [omitted] years from the exercise of the put option described, the First Individual and the Second Individual undertake to comply, directly or indirectly, with the following non-competition and non-solicitation obligations: (i) the obligation to refrain from engaging, in the EU and the United States of America, in activities in the sectors of operation of the Target, through investments, such as the acquisition or holding of shares (controlling or otherwise), management, provision of support, holding positions or any other role with respect to companies operating in the aforementioned industrial and territorial areas; and (ii) the obligation not to solicit employees, consultants, customers, or other independent collaborators of the Target to terminate or modify their relationships with it, possibly – in the case of employees, consultants, or other independent collaborators – with job offers from themselves or third parties.</w:t>
        <w:br/>
        <w:t>III. QUALIFICATION OF THE OPERATION</w:t>
        <w:br/>
        <w:t>9. The notified operation constitutes a concentration pursuant to Article 5, paragraph 1, letter b), of Law No. 287/1990, as it involves the transition from joint control to exclusive control of an undertaking.</w:t>
        <w:br/>
        <w:t>10. It falls within the scope of application of Law No. 287/1990, as the conditions set out in Article 1 of Council Regulation (EC) No. 139/2004 do not apply, and it is subject to the prior notification obligation established by Article 16, paragraph 1, of the same law, as the total turnover achieved in the last financial year at the national level by the group of undertakings concerned was over 532 million euros and the turnover achieved individually at the national level by at least two of the undertakings concerned was over 32 million euros.</w:t>
        <w:br/>
        <w:t>11. The non-competition and non-solicitation agreements signed by the Parties and described in the previous paragraphs can be considered directly connected and necessary for the realization of the concentration operation in question, as they are functional to safeguarding the value of the acquired undertaking, provided that they are geographically limited to the area of activity of the acquired undertaking and temporally to a period of two years. As for the non-competition agreement, it must be limited to the sectors of operation of the Target and must not extend to a scope broader than that necessary to protect the commercial interests of the Purchaser.</w:t>
      </w:r>
    </w:p>
    <w:p>
      <w:r>
        <w:rPr>
          <w:b/>
        </w:rPr>
        <w:t>[Pages 10–12]</w:t>
      </w:r>
    </w:p>
    <w:p>
      <w:r>
        <w:t>12 BULLETIN NO. 47 OF DECEMBER 11, 2023</w:t>
        <w:br/>
        <w:t>non-competition agreement must not prevent the sellers from purchasing or holding shares solely for financial investment purposes.</w:t>
      </w:r>
    </w:p>
    <w:p>
      <w:r>
        <w:t>IV. EVALUATION OF THE CONCENTRATION</w:t>
      </w:r>
    </w:p>
    <w:p>
      <w:r>
        <w:t>The relevant market</w:t>
      </w:r>
    </w:p>
    <w:p>
      <w:r>
        <w:t>12. In accordance with the Commission's guidelines, taking into account the activities carried out by the company subject to acquisition, the operation in question concerns, from a product perspective, the production, assembly, and marketing of components and structural parts – produced both through the molding process and through the profiling process – for the automotive industry, with particular regard to components for motor vehicles and light commercial vehicles, both for the structural part and for the chassis.</w:t>
      </w:r>
    </w:p>
    <w:p>
      <w:r>
        <w:t>13. From a geographical perspective, the market in question has a supra-national dimension, corresponding to the European Economic Area (EEA), considering the absence of significant barriers to the movement of products between EEA countries, the low impact of transportation costs on the final price of the product, and the fact that automotive industries choose their suppliers on a community-wide basis, without favoring national companies.</w:t>
      </w:r>
    </w:p>
    <w:p>
      <w:r>
        <w:t>Effects of the operation</w:t>
      </w:r>
    </w:p>
    <w:p>
      <w:r>
        <w:t>14. The operation in question solely results in a change in the control relationships of CPC, moving from an original situation of joint control by MCE and the First Natural Person to a situation of exclusive control by MCE.</w:t>
      </w:r>
    </w:p>
    <w:p>
      <w:r>
        <w:t>15. In the market for the production, assembly, and marketing of components and structural parts for the automotive industry, at the EEA level, the Target holds a share of less than [1-5%], while the MC Group – in addition to jointly holding the Target's share of less than [1-5%] – holds an exclusive share of less than 1%.</w:t>
      </w:r>
    </w:p>
    <w:p>
      <w:r>
        <w:t>16. The MC Group is also active in the market for components made from technical plastics, which are divided into two main categories: thermosetting and thermoplastic; this market is at least equal in size to the EEA and is potentially upstream of the market for the production, assembly, and marketing of components and structural parts for the automotive industry. At the community level, the MC Group holds a market share of less than approximately 1% both in the overall market for components made from technical plastics (i.e., including all types of technical plastics) and in the hypothetical distinct markets for components made from thermosetting plastics and components made from thermoplastics.</w:t>
      </w:r>
    </w:p>
    <w:p>
      <w:r>
        <w:t>17. Numerous qualified competitors are present in these markets.</w:t>
      </w:r>
    </w:p>
    <w:p>
      <w:r>
        <w:t>18. In light of the above considerations, the concentration in question does not appear to significantly hinder effective competition in the relevant markets or to lead to the establishment or strengthening of a dominant position.</w:t>
      </w:r>
    </w:p>
    <w:p>
      <w:r>
        <w:t>CONSIDERING, therefore, that the operation in question does not significantly hinder effective competition in the relevant markets pursuant to Article 6, paragraph 1, of Law No. 287/1990 and does not lead to the establishment or strengthening of a dominant position;</w:t>
      </w:r>
    </w:p>
    <w:p>
      <w:r>
        <w:t>CONSIDERING, also, that the non-competition and non-solicitation obligations between the parties are ancillary to this operation only to the limits described above and that the Authority reserves the right to evaluate, where the conditions exist, the aforementioned agreements that extend beyond the indicated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Italian Competition Authority.</w:t>
      </w:r>
    </w:p>
    <w:p>
      <w:r>
        <w:t>THE SECRETARY GENERAL THE PRESIDENT</w:t>
        <w:br/>
        <w:t>Guido Stazi Roberto Rustichelli</w:t>
      </w:r>
    </w:p>
    <w:p>
      <w:r>
        <w:t>Italian Competition Authority Weekly Bulletin</w:t>
        <w:br/>
        <w:t>of Competition and Market Year XXXIII - No. 47 - 2023</w:t>
        <w:br/>
        <w:t>Editorial Coordination Giulia Antenucci</w:t>
        <w:br/>
        <w:t>Editorial Staff Angela D’Auria, Valerio Ruocco, Manuela Villani</w:t>
        <w:br/>
        <w:t>Italian Competition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