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https://www.agcm.it/dotcmsdoc/bollettini/2020/48-20.pdf</w:t>
      </w:r>
    </w:p>
    <w:p>
      <w:r>
        <w:t>Pages translated : 34</w:t>
      </w:r>
    </w:p>
    <w:p/>
    <w:p>
      <w:r>
        <w:rPr>
          <w:b/>
        </w:rPr>
        <w:t>[Pages 1–3]</w:t>
      </w:r>
    </w:p>
    <w:p>
      <w:r>
        <w:t xml:space="preserve">Bulletin  </w:t>
        <w:br/>
        <w:t xml:space="preserve">Weekly  </w:t>
        <w:br/>
        <w:t xml:space="preserve">Year XXX - No. 48  </w:t>
        <w:br/>
        <w:t xml:space="preserve">Published on the website www.agcm.it  </w:t>
        <w:br/>
        <w:t>December 7, 2020</w:t>
      </w:r>
    </w:p>
    <w:p>
      <w:r>
        <w:t xml:space="preserve">SUMMARY  </w:t>
        <w:br/>
        <w:t xml:space="preserve">AGREEMENTS AND ABUSE OF DOMINANT POSITION 5  </w:t>
        <w:br/>
        <w:t xml:space="preserve">I806B - AGREEMENTS BETWEEN OPERATORS IN THE HELICOPTER SERVICES SECTOR -  </w:t>
        <w:br/>
        <w:t xml:space="preserve">REDETERMINATION OF SANCTION ELIOSSOLA AND ELITELLINA  </w:t>
        <w:br/>
        <w:t xml:space="preserve">Decision No. 28450 5  </w:t>
        <w:br/>
        <w:t xml:space="preserve">UNFAIR TRADE PRACTICES 6  </w:t>
        <w:br/>
        <w:t xml:space="preserve">PS11595 - ACTIVISION BLIZZARD - IN-GAME PURCHASES  </w:t>
        <w:br/>
        <w:t xml:space="preserve">Decision No. 28452 6  </w:t>
        <w:br/>
        <w:t xml:space="preserve">PS11653 - PARCLICK - PAYPAL COMMISSION  </w:t>
        <w:br/>
        <w:t xml:space="preserve">Decision No. 28453 20  </w:t>
        <w:br/>
        <w:t xml:space="preserve">PAYMENT ACCESSIBILITY - CONSUMER PROTECTION 29  </w:t>
        <w:br/>
        <w:t xml:space="preserve">PV14 - AMERICAN EXPRESS - DISCRIMINATION AGAINST FOREIGN IBANs  </w:t>
        <w:br/>
        <w:t>Decision No. 28457 29</w:t>
      </w:r>
    </w:p>
    <w:p>
      <w:r>
        <w:t xml:space="preserve">BULLETIN NO. 48 OF DECEMBER 7, 2020 5  </w:t>
        <w:br/>
        <w:t xml:space="preserve">AGREEMENTS AND ABUSE OF DOMINANT POSITION  </w:t>
        <w:br/>
        <w:t xml:space="preserve">I806B - AGREEMENTS BETWEEN OPERATORS IN THE HELICOPTER SERVICES SECTOR -  </w:t>
        <w:br/>
        <w:t xml:space="preserve">REDETERMINATION OF SANCTION ELIOSSOLA AND ELITELLINA  </w:t>
        <w:br/>
        <w:t xml:space="preserve">Decision No. 28450  </w:t>
        <w:br/>
        <w:t xml:space="preserve">THE ANTITRUST AUTHORITY  </w:t>
        <w:br/>
        <w:t xml:space="preserve">IN ITS MEETING of November 17, 2020;  </w:t>
        <w:br/>
        <w:t xml:space="preserve">HEARD the Rapporteur Professor Michele Ainis;  </w:t>
        <w:br/>
        <w:t xml:space="preserve">HAVING REGARD to Article 101 of the Treaty on the Functioning of the European Union (TFEU);  </w:t>
        <w:br/>
        <w:t xml:space="preserve">HAVING REGARD to Council Regulation (EC) No. 1/2003 of December 16, 2002, concerning  </w:t>
        <w:br/>
        <w:t xml:space="preserve">the application of the competition rules laid down in Articles 81 and 82 of the EC Treaty (now 101 and 102  </w:t>
        <w:br/>
        <w:t xml:space="preserve">TFEU);  </w:t>
        <w:br/>
        <w:t xml:space="preserve">HAVING REGARD to Law No. 287 of October 10, 1990;  </w:t>
        <w:br/>
        <w:t xml:space="preserve">HAVING REGARD to Presidential Decree No. 217 of April 30, 1998;  </w:t>
        <w:br/>
        <w:t xml:space="preserve">HAVING REGARD to its decision No. 27563 of February 13, 2019 (hereinafter also the Decision),  </w:t>
        <w:br/>
        <w:t xml:space="preserve">with which the Authority found that: i) the companies Airgreen S.r.l., Elifriulia S.r.l., Eliossola S.r.l.,  </w:t>
        <w:br/>
        <w:t xml:space="preserve">Elitellina S.r.l., Heliwest S.r.l., Star Work Sky S.a.s. have engaged in, in violation of Article  </w:t>
        <w:br/>
        <w:t xml:space="preserve">101 TFEU, a unique, ongoing, and complex agreement aimed at conditioning the  </w:t>
        <w:br/>
        <w:t xml:space="preserve">market for AIB services; ii) the companies Airgreen S.r.l., Babcock Mission Critical Services Italia S.p.A.  </w:t>
        <w:br/>
        <w:t xml:space="preserve">jointly with the parent company Babcock Mission Critical Services International S.A., Elifriulia S.r.l.,  </w:t>
        <w:br/>
        <w:t xml:space="preserve">Eliossola S.r.l., Elitellina S.r.l., Heliwest S.r.l., Star Work Sky S.a.s., Air Corporate S.r.l. jointly  </w:t>
        <w:br/>
        <w:t xml:space="preserve">with the parent company Airi S.r.l., as well as the trade association Associazione Elicotteristica Italiana  </w:t>
        <w:br/>
        <w:t xml:space="preserve">have engaged in, in violation of Article 101 TFEU, a unique, ongoing, and complex agreement aimed at  </w:t>
        <w:br/>
        <w:t xml:space="preserve">the ex ante setting, within the Associazione Elicotteristica Italiana (AEI), of the price list related to  </w:t>
        <w:br/>
        <w:t xml:space="preserve">helicopter services;  </w:t>
        <w:br/>
        <w:t xml:space="preserve">HAVING REGARD to the request from Eliossola S.r.l., received on October 7, 2020, in which it requests  </w:t>
        <w:br/>
        <w:t xml:space="preserve">to rectify the Decision in the part where, due to a mere material error, the amount due from it for the  </w:t>
        <w:br/>
        <w:t xml:space="preserve">sanctions imposed against it is indicated as 1,364,018 euros instead of 1,273,340 euros, which would  </w:t>
        <w:br/>
        <w:t xml:space="preserve">instead be attributed to the amount due from the company Elitellina S.r.l.;  </w:t>
        <w:br/>
        <w:t xml:space="preserve">CONSIDERING that, due to a mere material error, the names of the companies Elitellina S.r.l. and  </w:t>
        <w:br/>
        <w:t xml:space="preserve">Eliossola S.r.l. were erroneously reversed in the table reported in letter f) of the deliberation of the  </w:t>
        <w:br/>
        <w:t xml:space="preserve">aforementioned Decision, as can be seen from Table 16 referred to in point 448 of the  </w:t>
        <w:br/>
        <w:t xml:space="preserve">Decision, which correctly reports the values of the sanctions imposed for each of the two  </w:t>
        <w:br/>
        <w:t xml:space="preserve">agreements, corresponding, in both cases and for both companies, to the maximum penalty provided for in  </w:t>
        <w:br/>
        <w:t xml:space="preserve">Article 15 of Law No. 287/90, equal to 682,009.10 euros for Elitellina S.r.l. and 636,670.00 euros for Eliossola  </w:t>
        <w:br/>
        <w:t>S.r.l.;</w:t>
      </w:r>
    </w:p>
    <w:p>
      <w:r>
        <w:rPr>
          <w:b/>
        </w:rPr>
        <w:t>[Pages 4–6]</w:t>
      </w:r>
    </w:p>
    <w:p>
      <w:r>
        <w:t>6 BULLETIN NO. 48 OF DECEMBER 7, 2020</w:t>
      </w:r>
    </w:p>
    <w:p>
      <w:r>
        <w:t>CONSIDERED, therefore, that it is necessary to proceed with the correction of the material error contained in the table reported in letter f) of the resolution, in the manner indicated below:</w:t>
      </w:r>
    </w:p>
    <w:p>
      <w:r>
        <w:t>i) to attribute, against Eliossola S.r.l., a total amount of the sanction equal to 1,273,340 euros, instead of the amount of 1,364,018 euros erroneously attributed to it;</w:t>
      </w:r>
    </w:p>
    <w:p>
      <w:r>
        <w:t>ii) to attribute, against Elitellina S.r.l., a total amount of the sanction equal to 1,364,018 euros, instead of the amount of 1,273,340 euros erroneously attributed to it;</w:t>
      </w:r>
    </w:p>
    <w:p>
      <w:r>
        <w:t>CONSIDERED that such correction should take place in contradiction with the parties;</w:t>
      </w:r>
    </w:p>
    <w:p>
      <w:r>
        <w:t>RESOLVES</w:t>
      </w:r>
    </w:p>
    <w:p>
      <w:r>
        <w:t>a) to initiate a proceeding aimed at correcting the material error contained in the table reported in letter f) of the resolution of provision no. 27563 of February 13, 2019;</w:t>
      </w:r>
    </w:p>
    <w:p>
      <w:r>
        <w:t>b) to set a deadline of thirty days, starting from the date of notification of this provision, for the exercise by the legal representatives of the parties of the right to be heard, specifying that the request for a hearing must be received by the Manufacturing and Services Directorate of this Authority at least seven days before the expiration of the above-mentioned deadline;</w:t>
      </w:r>
    </w:p>
    <w:p>
      <w:r>
        <w:t>c) that the person responsible for the proceeding is Dr. Anna Manzoni;</w:t>
      </w:r>
    </w:p>
    <w:p>
      <w:r>
        <w:t>d) that the documents of the proceeding can be viewed at the Manufacturing and Services Directorate of this Authority by the legal representatives of the party or by persons delegated by them;</w:t>
      </w:r>
    </w:p>
    <w:p>
      <w:r>
        <w:t>e) that the proceeding must be concluded by February 15, 2021.</w:t>
      </w:r>
    </w:p>
    <w:p>
      <w:r>
        <w:t>This provision will be notified to the interested party and published in the Bulletin of the Competition and Market Authority.</w:t>
      </w:r>
    </w:p>
    <w:p>
      <w:r>
        <w:t>THE SECRETARY GENERAL THE PRESIDENT</w:t>
        <w:br/>
        <w:t>Filippo Arena Roberto Rustichelli</w:t>
      </w:r>
    </w:p>
    <w:p>
      <w:r>
        <w:t>UNFAIR TRADE PRACTICES</w:t>
        <w:br/>
        <w:t>PS11595 - ACTIVISION BLIZZARD - IN-GAME PURCHASES</w:t>
        <w:br/>
        <w:t>Provision no. 28452</w:t>
      </w:r>
    </w:p>
    <w:p>
      <w:r>
        <w:t>THE COMPETITION AND MARKET AUTHORITY</w:t>
      </w:r>
    </w:p>
    <w:p>
      <w:r>
        <w:t>BULLETIN NO. 48 OF DECEMBER 7, 2020</w:t>
      </w:r>
    </w:p>
    <w:p>
      <w:r>
        <w:t>IN ITS MEETING of November 17, 2020;</w:t>
      </w:r>
    </w:p>
    <w:p>
      <w:r>
        <w:t>HEARD the Rapporteur Professor Michele Ainis;</w:t>
      </w:r>
    </w:p>
    <w:p>
      <w:r>
        <w:t>VIEWED Part II, Title III and Part III, Title III of Legislative Decree September 6, 2005, No. 206,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received on March 23, 2020, as subsequently supplemented on July 27 and September 25, 2020, with which the companies Activision Blizzard Inc., Activision Blizzard International B.V., and Blizzard Entertainment S.a.s. submitted commitments, pursuant to Article 27, paragraph 7, of the Consumer Code and Article 9 of the Regulation;</w:t>
      </w:r>
    </w:p>
    <w:p>
      <w:r>
        <w:t>VIEWED Article 103 of Decree-Law No. 18/2020 and Article 37 of Decree-Law No. 23/2020, which provided for a legal suspension of procedural deadlines, as a result of which the deadline for concluding this proceeding was postponed to November 19, 2020;</w:t>
      </w:r>
    </w:p>
    <w:p>
      <w:r>
        <w:t>VIEWED the "Communication on the interpretation of Article 103 of Decree-Law March 17, 2020, No. 18, as amended by Article 37 of Decree-Law April 8, 2020, No. 23," approved by the Authority's College in the meetings of April 1 and April 10, 2020;</w:t>
      </w:r>
    </w:p>
    <w:p>
      <w:r>
        <w:t>VIEWED the documents of the proceeding;</w:t>
      </w:r>
    </w:p>
    <w:p>
      <w:r>
        <w:t>I. THE PARTIES</w:t>
      </w:r>
    </w:p>
    <w:p>
      <w:r>
        <w:t>1. Activision Blizzard Inc. (hereinafter, AB Inc), as the professional, pursuant to Article 18, letter b), of the Consumer Code. The company, based in the United States, is active in the development and marketing in the field of interactive software products and entertainment that can be reproduced on various platforms and devices such as consoles, personal computers, and mobile devices.</w:t>
      </w:r>
    </w:p>
    <w:p>
      <w:r>
        <w:t>2. The professional is active in Europe through the companies Activision Blizzard International B.V., based in the Netherlands, and Blizzard Entertainment S.a.s., based in France, which, among other things, act as licensees of the services and video games of the Activision Blizzard group for European users. Blizzard also manages its own online video game store, Battle.net, through which it digitally distributes the group's content.</w:t>
      </w:r>
    </w:p>
    <w:p>
      <w:r>
        <w:t>3. Altroconsumo and Movimento Difesa del Cittadino, as consumer associations reporting.</w:t>
      </w:r>
    </w:p>
    <w:p>
      <w:r>
        <w:t>II. THE CONDUCTS SUBJECT TO THE PROCEEDING</w:t>
      </w:r>
    </w:p>
    <w:p>
      <w:r>
        <w:t>4. The proceeding concerns the behavior carried out by the companies Activision Blizzard Inc., Activision Blizzard International B.V., and Blizzard Entertainment S.a.s. (collectively, Activision Blizzard group or the professional), in relation to the promotion and sale in the Italian market, through the websites www.eu.shop.battle.net/it-it, www.eu.battle.net, www.blizzard.com, and www.playheartstone.com, of certain video games of the Group (specifically, the video games Overwatch and Hearthstone), which offer the possibility of making in-game purchases and purchases through loot boxes.</w:t>
      </w:r>
    </w:p>
    <w:p>
      <w:r>
        <w:t>5. In-game purchases can be made within a video game using real money. Through them, various utilities (such as weapons, equipment, special moves, upgrades related to the nature of the game, virtual coins, etc.) are obtained, which allow players to enhance their character or team and advance quickly in the game. In other cases, purchases achieve aesthetic or choreographic improvements of the character without affecting gameplay performance.</w:t>
      </w:r>
    </w:p>
    <w:p>
      <w:r>
        <w:t>6. Loot boxes are a particular set of in-game purchases. They allow players to obtain a certain quantity of game elements randomly, which are not previously known, that can have a direct effect on gameplay performance or consist of aesthetic or choreographic decorations. Collectively, in-game purchases and loot boxes are also referred to as microtransactions.</w:t>
      </w:r>
    </w:p>
    <w:p>
      <w:r>
        <w:t>7. From the reports acquired in the case file and from the official investigations carried out on November 5 and 29, 2019, and January 20, 2020, it emerged that the examined sites do not clearly and easily convey, from the first contact, the significant information that the video games include in-game purchases. Furthermore, free-to-play games (i.e., games that do not have an initial purchase cost, such as Hearthstone), presented as free, include in-game purchases, in the absence of contextual indications clarifying their presence.</w:t>
      </w:r>
    </w:p>
    <w:p>
      <w:r>
        <w:t>8. At the initiation of the proceeding, the Activision group was accused of:</w:t>
      </w:r>
    </w:p>
    <w:p>
      <w:r>
        <w:t>a) having disseminated, through the aforementioned sites, misleading and/or omissive information regarding the characteristics and costs to be incurred in video games that implement in-game purchases and loot boxes, even when such games can be used by children and adolescents. From this perspective, the lack of transparent and comprehensive information about the presence of in-game purchases and loot boxes within the games and the presentation of the game Hearthstone as free appear likely to mislead consumers regarding the characteristics of the video game and the actual costs to be incurred for its enjoyment. Furthermore, this lack of information could prevent parents from making an informed purchase or subsequently exercising control over their children's gaming activities;</w:t>
      </w:r>
    </w:p>
    <w:p>
      <w:r>
        <w:t>b) having activated in the video game Hearthstone, classified as PEGI 7 and, therefore, accessible to children and adolescents, a game mechanism aimed at inducing minors to make purchases or to request their parents to do so, disseminating messages aimed at the same purpose.</w:t>
      </w:r>
    </w:p>
    <w:p>
      <w:r>
        <w:rPr>
          <w:b/>
        </w:rPr>
        <w:t>[Pages 7–9]</w:t>
      </w:r>
    </w:p>
    <w:p>
      <w:r>
        <w:t>BULLETIN NO. 48 OF DECEMBER 7, 2020 9</w:t>
      </w:r>
    </w:p>
    <w:p>
      <w:r>
        <w:t>III. THE OUTCOMES OF THE PROCEEDING: THE PRESENTATION OF COMMITMENTS</w:t>
      </w:r>
    </w:p>
    <w:p>
      <w:r>
        <w:t>1) The procedure process</w:t>
      </w:r>
    </w:p>
    <w:p>
      <w:r>
        <w:t>9. In relation to the aforementioned conducts, on January 31, 2020, the companies Activision Blizzard Inc., Activision Blizzard International B.V., and Blizzard Entertainment S.a.s. were notified of the initiation of investigation proceeding No. PS11595. It was hypothesized that the conducts of the companies could constitute unfair commercial practices, in violation of Articles 20, 21, paragraph 1, letters b) and d), 21 paragraph 4, 22, 24, and 26, letter e) of the Consumer Code, as they were contrary to professional diligence and potentially capable of appreciably distorting the economic behavior of consumers in relation to the promotion and sale of the professional's video games.</w:t>
      </w:r>
    </w:p>
    <w:p>
      <w:r>
        <w:t>10. On April 30, 2020, the Activision Blizzard group responded to the request for information made in the initiation communication of the proceeding and presented its defensive arguments through notes received on April 30 and October 12, 2020.</w:t>
      </w:r>
    </w:p>
    <w:p>
      <w:r>
        <w:t>11. The Activision Blizzard group had access to the documents of the proceeding and extracted copies of the documents acquired in the file on February 24, 2020.</w:t>
      </w:r>
    </w:p>
    <w:p>
      <w:r>
        <w:t>12. On June 15, 2020, the professional was heard in a hearing.</w:t>
      </w:r>
    </w:p>
    <w:p>
      <w:r>
        <w:t>13. On March 23, 2020, the professional submitted a proposal of commitments, pursuant to Article 27, paragraph 7, of the Consumer Code and Article 9 of the Regulation, subsequently supplemented on July 27 and September 25, 2020. A consolidated version was provided on October 12, 2020.</w:t>
      </w:r>
    </w:p>
    <w:p>
      <w:r>
        <w:t>14. On October 1, 2020, the date of conclusion of the investigative phase was communicated to the Parties, pursuant to Article 16, paragraph 1, of the Regulation.</w:t>
      </w:r>
    </w:p>
    <w:p>
      <w:r>
        <w:t>2) The acquired elements and the commitments of the professional</w:t>
      </w:r>
    </w:p>
    <w:p>
      <w:r>
        <w:t>15. In the memorandum of April 30 and October 12, 2020, the professional described the characteristics and functioning of in-game purchases present in its video games. The Activision Blizzard group emphasized that its conducts do not constitute violations of consumer protection regulations and stated:</w:t>
        <w:br/>
        <w:t>- that in-game purchases are not necessary for the gaming experience and can be easily avoided, nor are they necessary to complete the video game;</w:t>
        <w:br/>
        <w:t>- that it has already introduced a wide range of information for consumers regarding the fact that in-game purchases may be included in the video games it produces or distributes;</w:t>
        <w:br/>
        <w:t>- that it already provides its users with a parental control system that parents can use to monitor their children's use of video games and prevent them from making unwanted in-game purchases; through the Parental Control, parents can indeed control and set numerous gaming parameters for their children through a series of functionalities that concern, among other things, access to certain games, gaming time, the ability to interact with other users, and finally, the possibility or not to make purchases and with what monthly spending limit;</w:t>
      </w:r>
    </w:p>
    <w:p>
      <w:r>
        <w:t>10 BULLETIN NO. 48 OF DECEMBER 7, 2020</w:t>
      </w:r>
    </w:p>
    <w:p>
      <w:r>
        <w:t>- that the video games of the group, as well as all related advertising material, including the information present in the Battle store, are fully compliant with the indications of the PEGI system.</w:t>
      </w:r>
    </w:p>
    <w:p>
      <w:r>
        <w:t>The PEGI and AGCOM video game classification systems</w:t>
      </w:r>
    </w:p>
    <w:p>
      <w:r>
        <w:t>16. The Pan European Game Information (PEGI) is a video game classification system based on age that uses five age categories and eight content descriptions. The PEGI classification examines the suitability of a game by providing a recommendation regarding the minimum age based on the game's content. Established in the spring of 2003 to help European parents make informed decisions when purchasing computer games, the PEGI system has replaced various national age classification systems and has established itself as a unique system in most European countries.</w:t>
      </w:r>
    </w:p>
    <w:p>
      <w:r>
        <w:t>17. In this regard, Article 17 of the Regulation on the classification of audiovisual works intended for the web and video games referred to in Article 10, paragraphs 1 and 2, of Legislative Decree No. 203 of December 7, 2017, entitled "Display of pictograms and thematic descriptors in video games," establishes: "The pictograms associated with each age class and the thematic descriptors are displayed, in the forms and with the methods detailed in the guidelines referred to in Article 14, on the physical product, on the digital product, and in online promotion and sales." Paragraph 2 of the guidelines regarding the classification of video games ("regulation on the classification of audiovisual works intended for the web and video games" approved by resolution No. 74/19/cons) has considered video games already subjected to the PEGI classification procedure as compliant with the provisions of this Regulation, recognizing the equivalence between the PEGI and AGCOM classification systems.</w:t>
      </w:r>
    </w:p>
    <w:p>
      <w:r>
        <w:t>18. One of the thematic descriptors of video games provided by the PEGI classification system is related to in-game purchases. The pictogram for in-game purchases, introduced in September 2018, is represented by a hand with a credit card in the act of making a payment. In April 2020, PEGI announced a new thematic description in cases where in-game purchases include random items (such as loot boxes). Information must be provided in the form of a notice (Includes Paid Random Items) on the game packaging or on the website page.</w:t>
      </w:r>
    </w:p>
    <w:p>
      <w:r>
        <w:t>19. On March 23, 2020, the Activision Blizzard group submitted, pursuant to Article 27, paragraph 7, of the Consumer Code and Article 9 of the Regulation, a proposal of commitments, subsequently supplemented on July 27 and September 25, 2020.</w:t>
      </w:r>
    </w:p>
    <w:p>
      <w:r>
        <w:t>20. The measures proposed by the Activision Blizzard Group, exemplified through screenshots related to the video games Hearthstone and Overwatch, will be introduced in all the group's video games that offer in-game purchases and loot boxes. These commitments - which in their final version are attached to this provision and constitute an integral part thereof - are structured as follows:</w:t>
      </w:r>
    </w:p>
    <w:p>
      <w:r>
        <w:t>Commitment A. The professional will introduce the following improvements regarding the presence, functioning, and purposes of in-game purchases and loot boxes present in the group's video games:</w:t>
        <w:br/>
        <w:t>i) it will display the PEGI pictogram indicating "in-game" purchases on the detail page related to the video games in the online Battle store accessible by Italian consumers (https://eu.shop.battle.net/it-it) in a prominent position and in a manner clearly perceivable by consumers. Furthermore, for video games that include loot boxes and card packs, it will also display the Italian version of the disclaimer recently introduced by PEGI that informs consumers of the presence of loot boxes. In particular, the PEGI label will be reproduced in the first frame of the page, in a prominent position compared to the other content present and in a manner clearly visible to consumers upon accessing the page (see figure 1);</w:t>
      </w:r>
    </w:p>
    <w:p>
      <w:r>
        <w:t>Figure 1: new version of the detail page of the video game Overwatch on the Battle store.</w:t>
      </w:r>
    </w:p>
    <w:p>
      <w:r>
        <w:rPr>
          <w:b/>
        </w:rPr>
        <w:t>[Pages 10–12]</w:t>
      </w:r>
    </w:p>
    <w:p>
      <w:r>
        <w:t>BULLETIN NO. 48 OF DECEMBER 7, 2020</w:t>
      </w:r>
    </w:p>
    <w:p>
      <w:r>
        <w:t>ii) The PEGI pictogram indicating in-game purchases and the disclaimer referred to in Commitment A. i) will also be displayed within the group's websites dedicated to each video game (listed in Annex 1 to the statement of commitments), in a manner similar to that described for the Battle store, subject to the technical-editorial limitations of each video game site;</w:t>
      </w:r>
    </w:p>
    <w:p>
      <w:r>
        <w:t>iii) The informational caption already used in the detail pages of the video games in the Battle store to indicate the presence of in-game purchases will be reformulated to "Offers the possibility of making optional purchases," making it clearer and more understandable for consumers. This information will be shown in a prominent position within the detail page of the video game, near the box where the purchase can be made and in addition to the PEGI label, both in the Battle store and on the site dedicated to the specific video game;</w:t>
      </w:r>
    </w:p>
    <w:p>
      <w:r>
        <w:t>iv) The indications "Play for free" (present in the video game Hearthstone) and "Free for all" (as indicated in the video game Call of Duty: Warzone), used within the Battle store and on the video game sites, will be modified by inserting new wording and qualifying the games that can be downloaded for free through appropriate disclaimers and clarifications. For example, on the detail page of the video game Hearthstone in the Battle store, the expression "Play for free" will be replaced by the wording "Download Now." Additionally, both the PEGI pictogram on in-game purchases and the new disclaimer regarding the presence of such purchases will be prominently added, as indicated in the previous points (see Figure 2). These modifications will be made not only with reference to the Battle store and the individual video game sites but also on promotional material distributed by the group through its social media accounts intended for Italian-speaking consumers (listed in Annex 2 to the statement of commitments);</w:t>
      </w:r>
    </w:p>
    <w:p>
      <w:r>
        <w:t>Figure 2</w:t>
      </w:r>
    </w:p>
    <w:p>
      <w:r>
        <w:t>The above measures will be implemented as soon as possible after the communication of the Authority's decision that makes the related commitment binding for the Activision Blizzard Group, and in any case within 90 days.</w:t>
      </w:r>
    </w:p>
    <w:p>
      <w:r>
        <w:t>Commitment B. With reference to video games that implement the possibility of making purchases through loot boxes or card packs, the professional, in order to improve the information provided to consumers, commits to adopting the following measures:</w:t>
      </w:r>
    </w:p>
    <w:p>
      <w:r>
        <w:t>i) Information on the probabilities of obtaining specific in-game items through loot boxes or card packs will be provided directly on the detail page in the Battle store dedicated to the respective video game via a prominent statement in uppercase letters ("INFORMATION ON THE PROBABILITIES RELATING TO THE CONTENT OF YOUR PURCHASE"), which will also constitute a hyperlink to a specific page containing detailed information on the probabilities relating to the contents of the loot boxes (see Figure 3 regarding the game Overwatch and Figure 4 showing what the detail page regarding the probabilities of the card packs for the video game Hearthstone will look like). The professional has also provided the text of the page containing the probability information related to the game Overwatch: "The Overwatch team specifies that the probabilities of obtaining items of different rarity in each loot box are detailed below. Each loot box contains 4 randomly selected items that can be used to customize heroes or the player's profile. Each item is associated with a specific rarity level (Common, Rare, Epic, and Legendary) and each loot box contains at least one item of Rare quality or better. The official probabilities related to the loot boxes are as follows: • RARE – 1 item of Rare quality or better is included in every loot box; • EPIC – 1 item of Epic quality is included in approximately 18.5% of loot boxes; • LEGENDARY – 1 item of Legendary quality is included in approximately 7.5% of loot boxes."</w:t>
      </w:r>
    </w:p>
    <w:p>
      <w:r>
        <w:t>Figure 3</w:t>
      </w:r>
    </w:p>
    <w:p>
      <w:r>
        <w:t>Figure 4: detail page regarding the probabilities of the card packs for the video game Hearthstone</w:t>
      </w:r>
    </w:p>
    <w:p>
      <w:r>
        <w:rPr>
          <w:b/>
        </w:rPr>
        <w:t>[Pages 13–15]</w:t>
      </w:r>
    </w:p>
    <w:p>
      <w:r>
        <w:t>BULLETIN NO. 48 OF DECEMBER 7, 2020 15</w:t>
      </w:r>
    </w:p>
    <w:p>
      <w:r>
        <w:t>ii) Information on the probabilities of obtaining certain items through loot boxes or card packs will also be made available to consumers, in a manner similar to that described in the previous point, within the store accessible during the gaming experience (subject to specific adjustments required due to the peculiar functioning and graphical characterization of each video game).</w:t>
      </w:r>
    </w:p>
    <w:p>
      <w:r>
        <w:t>The above measures will be implemented as soon as possible after the communication of the Authority's decision that makes the related commitment binding for the Activision Blizzard Group, and in any case within 90 days from such communication.</w:t>
      </w:r>
    </w:p>
    <w:p>
      <w:r>
        <w:t>Commitment C. With reference to the Parental Control system, already present in its online stores, the Activision Blizzard Group, in order to ensure that appropriate tools are made available to parents/guardians to supervise the use of video games by children and adolescents and to prevent unwanted purchases, commits to adopting the following measures:</w:t>
      </w:r>
    </w:p>
    <w:p>
      <w:r>
        <w:t>i) The email sent to parents/guardians during the account registration process for minor children will continue to include a link to the Parental Control management interface present in the Battle store, as well as an invitation to the parent/guardian to keep the aforementioned email to effectively and quickly manage the Parental Control system at any time;</w:t>
      </w:r>
    </w:p>
    <w:p>
      <w:r>
        <w:t>ii) The professional will ensure that parents/guardians are required to take an active and conscious role to allow minors to make in-game purchases, providing that the "Allow in-game purchases" function (or similar wording) in the Parental Control management interface present in the Battle store must be voluntarily selected by the parent/guardian (by checking the appropriate box) and is not automatically pre-selected (see Figure 5 taken from the main page of the Parental Control).</w:t>
      </w:r>
    </w:p>
    <w:p>
      <w:r>
        <w:t>16 BULLETIN NO. 48 OF DECEMBER 7, 2020</w:t>
      </w:r>
    </w:p>
    <w:p>
      <w:r>
        <w:t>The professional clarified that this is a commitment to maintain consumer protection systems already offered by the Activision Blizzard Group.</w:t>
      </w:r>
    </w:p>
    <w:p>
      <w:r>
        <w:t>Commitment D. Finally, the Activision Blizzard Group will communicate to third-party platforms that distribute the Group's video games the acceptance of the commitments referred to in the previous letters A, B, and C by the Authority.</w:t>
      </w:r>
    </w:p>
    <w:p>
      <w:r>
        <w:t>The above measure will be implemented as soon as possible after the communication of the Authority's decision that makes the related commitment binding for the Activision Blizzard Group, and in any case within 90 days.</w:t>
      </w:r>
    </w:p>
    <w:p>
      <w:r>
        <w:t>IV. OPINION OF THE AUTHORITY FOR GUARANTEES IN COMMUNICATIONS</w:t>
      </w:r>
    </w:p>
    <w:p>
      <w:r>
        <w:t>21. Since the commercial practice subject to this provision has also been disseminated via the internet, on October 13, 2020, the opinion was requested from the Authority for Guarantees in Communications, pursuant to Article 27, paragraph 6, of the Consumer Code.</w:t>
      </w:r>
    </w:p>
    <w:p>
      <w:r>
        <w:t>22. With an opinion received on November 12, 2020, the aforementioned Authority deemed that the internet is a suitable tool to significantly influence the implementation of the practice in question, also in light of the fact that in online sales, the words and images used on the website assume particular importance for the purchasing choice, even more so for goods intended for children.</w:t>
      </w:r>
    </w:p>
    <w:p>
      <w:r>
        <w:t>BULLETIN NO. 48 OF DECEMBER 7, 2020 17</w:t>
      </w:r>
    </w:p>
    <w:p>
      <w:r>
        <w:t>The means of communication used, in this case, is suitable for developing a significant impact on consumers who, based on the information contained on the professional's websites, could be induced to make a commercial decision that they would not have otherwise made, thus concretely developing the full promotional potential of online communication.</w:t>
      </w:r>
    </w:p>
    <w:p>
      <w:r>
        <w:t>V. EVALUATION OF THE COMMITMENTS</w:t>
      </w:r>
    </w:p>
    <w:p>
      <w:r>
        <w:t>23. The commitments proposed by the Activision Blizzard group must be evaluated within the context of a commercial trend that has introduced in-game purchases and purchases through loot boxes within video games, also aimed at children and adolescents. The business model of video games is gradually shifting from selling copies of a certain game at a profitable price to building an engaging environment that encourages the user to purchase content and features within the game itself. In-game purchases are increasingly becoming a significant source of revenue (if not the only one, as in the case of free-to-play games) for industry operators.</w:t>
      </w:r>
    </w:p>
    <w:p>
      <w:r>
        <w:t>24. In this context, since video games are also intended for vulnerable users such as children and adolescents, who may not have a clear awareness of the economic and psychological mechanisms underlying in-game purchases, maximum clarity and transparency for consumers and parents regarding the possibility of making such purchases is necessary. This is even more true in relation to video games that contain in-game purchases in the form of loot boxes, where randomness is a characteristic element.</w:t>
      </w:r>
    </w:p>
    <w:p>
      <w:r>
        <w:t>25. That said, the Authority believes that the commitments presented by the Activision Blizzard group are suitable to remedy the possible unfairness profiles of the commercial practices contested in the initiation communication of the proceeding dated January 31, 2020.</w:t>
      </w:r>
    </w:p>
    <w:p>
      <w:r>
        <w:t>26. The proposed measures, in fact, offer concrete elements to provide consumers with awareness regarding the characteristics of the purchase they are about to make, or of the video game they are about to download, namely that the enjoyment of the game may involve payments in the form of in-game purchases or loot boxes.</w:t>
      </w:r>
    </w:p>
    <w:p>
      <w:r>
        <w:t>27. In this sense, the commitments referred to in letter A, concerning the inclusion of the PEGI pictogram in the first frame of the video game description page, in a prominent position and in a manner clearly perceivable by consumers, accompanied by a new explanatory note, are significant. This commitment ensures that the user, before purchasing the video game, is immediately warned that it offers the possibility of making purchases (see Figure 1 regarding the video game Overwatch). The professional also commits to include the Italian version of the new disclaimer introduced by PEGI that informs consumers of the presence of loot boxes. The highlighting of the PEGI pictogram and the inclusion of the related caption contribute to strengthening the responsible purchasing choice of consumers, amplifying the usefulness of the PEGI system for the adoption of informed decisions by parents.</w:t>
      </w:r>
    </w:p>
    <w:p>
      <w:r>
        <w:t>10 It should be noted in this regard that the PEGI website contains a specific section dedicated to in-game purchases, in which advice is given to parents regarding how to control such purchases on the platforms and devices used by their children (see https://pegi.info/it/node/50).</w:t>
      </w:r>
    </w:p>
    <w:p>
      <w:r>
        <w:rPr>
          <w:b/>
        </w:rPr>
        <w:t>[Pages 16–18]</w:t>
      </w:r>
    </w:p>
    <w:p>
      <w:r>
        <w:t>BULLETIN NO. 48 OF DECEMBER 7, 2020</w:t>
      </w:r>
    </w:p>
    <w:p>
      <w:r>
        <w:t>28. It should be emphasized that information on in-game purchases will be provided to consumers not only on the online Battle store (where it is possible to proceed with the purchase of games), but also on the group’s websites (including the general websites www.activision.com/it and www.blizzard.com/it) intended for the presentation and promotion of the group’s video games listed in Annex 1 to the commitment declaration. In this way, it ensures that consumers can obtain all necessary information about the video games from the first contact with the professional, regardless of the channel used (online store or dedicated sites).</w:t>
      </w:r>
    </w:p>
    <w:p>
      <w:r>
        <w:t>29. The commitments also appear suitable to remedy the complaint in the initiation communication of the proceeding regarding the circumstance that free-to-play games (such as the video game Hearthstone) are presented as free without indications about the presence of in-game purchases.</w:t>
      </w:r>
    </w:p>
    <w:p>
      <w:r>
        <w:t>30. In fact, with the commitment referred to in letter A iv), the professional commits to removing the expressions “Play for free” and “Free for all,” currently placed on the button that starts the download of the game, replacing them with the wording “Download Now.” Next to this wording, the PEGI pictogram on in-game purchases and the above-mentioned caption regarding the presence of such purchases will be prominently added, as indicated in the previous points. Therefore, the professional provides adequate information in a position of particular prominence that cannot escape the consumer (see Figure 2). It is also particularly commendable that the commitment to make these changes applies not only to the Battle store and the individual video game sites but also to the promotional material distributed by the group through its social media accounts aimed at Italian-speaking consumers (included in Annex 2 to the commitment declaration). This circumstance allows consumers to receive all necessary information about the presence of in-game purchases from the first contact with the professional, even if it occurs through social media.</w:t>
      </w:r>
    </w:p>
    <w:p>
      <w:r>
        <w:t>31. It is worth noting the professional's commitment to implement the proposed commitments beyond just the video games identified in the initiation communication of the proceeding. The Activision Blizzard group, in fact, commits to extending the described interventions to all video games developed and marketed by it that offer in-game purchases (listed in Annex 1 to the commitment declaration).</w:t>
      </w:r>
    </w:p>
    <w:p>
      <w:r>
        <w:t>32. The information set for users and parents is enriched and completed by the commitment referred to in letter B, concerning the provision of information regarding the probabilities of finding certain items in loot boxes or card packs. Such information will be made available to consumers directly on the detail page in the Battle store dedicated to the respective video game through a statement in uppercase letters that will also constitute a hyperlink to a specific information page. Users will therefore be placed in a position to know, before purchasing a loot box or a card pack, the probability of obtaining a certain game item.</w:t>
      </w:r>
    </w:p>
    <w:p>
      <w:r>
        <w:t>33. The informational improvements described above are accompanied by tools that allow parents to supervise the use of video games by children and adolescents and to prevent unwanted purchases by them (commitments referred to in letter C). The Activision Blizzard group will continue to include, in the email sent to parents during the account registration process for their minor children, a link to the Parental Control management interface present on the Battle store. The professional has pointed out in this regard that through Parental Control, parents can monitor and set numerous gaming parameters for their children. The commitment makes it extremely easy for parents to access the functionalities of Parental Control through a hyperlink. In this sense, it is particularly commendable that the “Allow in-game purchases” function in the Parental Control management interface must be voluntarily selected by the parent, if desired, by checking a box that is not automatically pre-selected. This measure appears suitable to prevent children and adolescents from making purchases within the game without specific consent from their parents.</w:t>
      </w:r>
    </w:p>
    <w:p>
      <w:r>
        <w:t>34. Regarding the commitment referred to in letter D – that is, the communication to third-party platforms distributing the group’s video games of the commitments referred to in the previous points – the professional disseminates a standard of transparency for the benefit of Italian consumers that can trigger a virtuous process by other market operators with potential benefits for users in the promotion and sale of video games that include in-game purchases.</w:t>
      </w:r>
    </w:p>
    <w:p>
      <w:r>
        <w:t>35. Finally, the Activision Blizzard group commits to implementing the above measures as soon as possible and in any case within three months from the communication of the decision to accept commitments. The implementation of the commitments within the indicated timeframe is justified by the technical needs related to the modification of the websites and is, moreover, in line with previous cases in the Authority's sector.</w:t>
      </w:r>
    </w:p>
    <w:p>
      <w:r>
        <w:t>36. The commitments described above, considered as a whole, for the reasons stated above, are such as to resolve the alleged violations in the initiation communication of the proceeding.</w:t>
      </w:r>
    </w:p>
    <w:p>
      <w:r>
        <w:t>37. In light of the above considerations, it is believed that the commitments presented meet the requirements set forth in Article 27, paragraph 7, of the Consumer Code.</w:t>
      </w:r>
    </w:p>
    <w:p>
      <w:r>
        <w:t>CONSIDERING that the commitments presented by the companies Activision Blizzard Inc., Activision Blizzard International B.V., and Blizzard Entertainment S.a.s., in the terms outlined above, are suitable to eliminate the possible profiles of unfairness of the commercial practices under investigation;</w:t>
      </w:r>
    </w:p>
    <w:p>
      <w:r>
        <w:t>CONSIDERING to order the mandatory nature of the aforementioned commitments towards the companies Activision Blizzard Inc., Activision Blizzard International B.V., and Blizzard Entertainment S.a.s.;</w:t>
      </w:r>
    </w:p>
    <w:p>
      <w:r>
        <w:t>CONSIDERING, therefore, to be able to close the proceeding without determining the infringement;</w:t>
      </w:r>
    </w:p>
    <w:p>
      <w:r>
        <w:t>RESOLVES</w:t>
      </w:r>
    </w:p>
    <w:p>
      <w:r>
        <w:t>a) to make mandatory, towards the companies Activision Blizzard Inc., Activision Blizzard International B.V., and Blizzard Entertainment S.a.s., pursuant to Article 27, paragraph 7, of the Consumer Code and Article 9, paragraph 2, letter a), of the Regulation, the commitments proposed by the same companies on March 23, 2020, subsequently supplemented on July 27 and September 25, 2020, and submitted in the final consolidated version on October 12, 2020, as described in the declaration attached to this decision;</w:t>
      </w:r>
    </w:p>
    <w:p>
      <w:r>
        <w:t>b) to close the proceeding without determining the infringement, pursuant to Article 27, paragraph 7, of the Consumer Code and Article 9, paragraph 2, letter a), of the Regulation;</w:t>
      </w:r>
    </w:p>
    <w:p>
      <w:r>
        <w:t>c) that the companies Activision Blizzard Inc., Activision Blizzard International B.V., and Blizzard Entertainment S.a.s., within ninety days from the date of notification of this resolution, inform the Authority of the implementation of the commitments.</w:t>
      </w:r>
    </w:p>
    <w:p>
      <w:r>
        <w:t>Pursuant to Article 9, paragraph 3, of the Regulation, the proceeding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decision will be notified to the interested parties and published in the Bulletin of the Authority for the Protection of Competition and the Market.</w:t>
      </w:r>
    </w:p>
    <w:p>
      <w:r>
        <w:t>THE SECRETARY GENERAL THE PRESIDENT</w:t>
        <w:br/>
        <w:t>Filippo Arena Roberto Rustichelli</w:t>
      </w:r>
    </w:p>
    <w:p>
      <w:r>
        <w:t>PS11653 - PARCLICK-COMMISSIONE PAYPAL</w:t>
        <w:br/>
        <w:t>Decision No. 28453</w:t>
        <w:br/>
        <w:t>THE AUTHORITY FOR THE PROTECTION OF COMPETITION AND THE MARKET</w:t>
        <w:br/>
        <w:t>IN ITS MEETING of November 17, 2020;</w:t>
      </w:r>
    </w:p>
    <w:p>
      <w:r>
        <w:t>HEARD the Rapporteur, Dr. Gabriella Muscolo;</w:t>
      </w:r>
    </w:p>
    <w:p>
      <w:r>
        <w:t>VIEWED Part II, Title III and Part III,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rPr>
          <w:b/>
        </w:rPr>
        <w:t>[Pages 19–21]</w:t>
      </w:r>
    </w:p>
    <w:p>
      <w:r>
        <w:t>BULLETIN NO. 48 OF DECEMBER 7, 2020 21</w:t>
      </w:r>
    </w:p>
    <w:p>
      <w:r>
        <w:t>CONSIDERING the ex lege suspension of deadlines in administrative proceedings, pursuant to Article 103 of Decree-Law No. 18 of March 17, 2020, and Article 37 of Decree-Law No. 23 of April 8, 2020;</w:t>
      </w:r>
    </w:p>
    <w:p>
      <w:r>
        <w:t>CONSIDERING the communication received on May 20, 2020, supplemented on June 9 and 11, 2020, and finally on July 10, 2020, through which the company Parclick S.L. submitted commitments pursuant to Article 27, paragraph 7, of the Consumer Code and Article 9 of the Regulation;</w:t>
      </w:r>
    </w:p>
    <w:p>
      <w:r>
        <w:t>CONSIDERING the acts of the proceeding;</w:t>
      </w:r>
    </w:p>
    <w:p>
      <w:r>
        <w:t>I. THE PARTY</w:t>
      </w:r>
    </w:p>
    <w:p>
      <w:r>
        <w:t>1. The company Parclick S.L. (hereinafter also the company or the professional), under Spanish law, as a professional, pursuant to Article 18, letter b), of the Consumer Code. The company operates, through the website www.parclick.it, a comparison and reservation service for private parking.</w:t>
      </w:r>
    </w:p>
    <w:p>
      <w:r>
        <w:t>II. THE CONDUCTS</w:t>
      </w:r>
    </w:p>
    <w:p>
      <w:r>
        <w:t>2. The proceeding concerns the behavior carried out by the professional in the context of the activity conducted through its website www.parclick.it, of comparing the characteristics and different prices of private parking, consisting of requesting, during the reservation process of the chosen parking, the payment of management fees and a surcharge in case of payment via PayPal.</w:t>
      </w:r>
    </w:p>
    <w:p>
      <w:r>
        <w:t>III. THE OUTCOMES OF THE PROCEEDING: THE PRESENTATION OF COMMITMENTS</w:t>
      </w:r>
    </w:p>
    <w:p>
      <w:r>
        <w:t>1) The course of the proceeding</w:t>
      </w:r>
    </w:p>
    <w:p>
      <w:r>
        <w:t>3. In relation to the above-described conducts, on February 14, 2020, the professional was notified of the initiation of the investigative proceeding No. PS11653. In this context, it was hypothesized that the conduct of Parclick S.L. could constitute a violation of Articles 20, 21, 22, 62, and 66 bis of the Consumer Code.</w:t>
      </w:r>
    </w:p>
    <w:p>
      <w:r>
        <w:t>4. In particular, the request by the professional, during the reservation process, for the payment of management fees not included in the price initially indicated to the consumer seemed to constitute an unfair conduct in violation of Articles 20, 21, and 22 of the aforementioned Code; in fact, the initial presentation of a different price, as it did not include the management fees, compared to what must be paid for the services rendered by the professional, could be considered potentially capable of misleading consumers and inducing them to make a commercial decision that they would not otherwise have made.</w:t>
      </w:r>
    </w:p>
    <w:p>
      <w:r>
        <w:t>5. The application of the aforementioned management fees, as well as the surcharge for the use of an electronic payment method PayPal, both requested during the reservation process, in addition to the initially indicated price of the service, seemed to constitute violations of Article 62 of the Consumer Code.</w:t>
      </w:r>
    </w:p>
    <w:p>
      <w:r>
        <w:t>6. Finally, the provision, in case of disputes, of a jurisdiction different from that competent appeared to be in contrast with Article 66 bis of the same Code.</w:t>
      </w:r>
    </w:p>
    <w:p>
      <w:r>
        <w:t>7. Concurrently with the initiation communication, in order to acquire useful knowledge elements for the evaluation of the commercial practice under examination, the professional was requested, pursuant to Article 27, paragraphs 3 and 4, of the Consumer Code and Article 12, paragraph 1, of the Regulation, to provide information regarding the conduct under investigation.</w:t>
      </w:r>
    </w:p>
    <w:p>
      <w:r>
        <w:t>8. With communication dated March 9, 2020, the professional provided the information requested in the initiation communication of the proceeding.</w:t>
      </w:r>
    </w:p>
    <w:p>
      <w:r>
        <w:t>9. On May 20, 2020, a proposal of commitments was received to settle the proceeding without determining the infringement, a proposal that was subsequently supplemented with communications on June 9 and 11, 2020, and finally on July 10, 2020.</w:t>
      </w:r>
    </w:p>
    <w:p>
      <w:r>
        <w:t>10. On June 3, 2020, assistance was requested pursuant to Article 5, paragraphs 3 and 4, of Legislative Decree No. 70 of April 9, 2003 - implementing Directive 2000/31/EC on certain legal aspects of information society services in the internal market, with particular reference to electronic commerce - from the Ministerio de Energía Turismo y Agenda Digital - Secretaría de Estado de Telecomunicaciones y para la Sociedad de la Información (Spain).</w:t>
      </w:r>
    </w:p>
    <w:p>
      <w:r>
        <w:t>11. On July 15, 2020, the date of conclusion of the investigative phase was communicated to the Party pursuant to Article 16, paragraph 1, of the Regulation.</w:t>
      </w:r>
    </w:p>
    <w:p>
      <w:r>
        <w:t>12. On November 17, 2020, the Authority notified, pursuant to Article 5, paragraph 3, letter b) of the aforementioned Legislative Decree No. 70/2003, the Directorate-General for Internal Market of the European Commission and the Spanish Authority (Ministerio de Energía Turismo y Agenda Digital) of its intention to adopt measures against the Company, pursuant to Article 27 of the Consumer Code.</w:t>
      </w:r>
    </w:p>
    <w:p>
      <w:r>
        <w:t>2) The elements acquired and the commitments of the professional</w:t>
      </w:r>
    </w:p>
    <w:p>
      <w:r>
        <w:t>13. Based on the information acquired in the acts of the proceeding, it emerged that the professional offers, on its website parclick.it, the possibility to compare the characteristics of different private parking and their respective prices, then presenting, only during the reservation process of the chosen parking, the payment of management fees and a surcharge for payment with PayPal.</w:t>
      </w:r>
    </w:p>
    <w:p>
      <w:r>
        <w:t>14. Specifically, from the findings acquired in the case file related to a simulation of a reservation through the aforementioned website, it was found that, once the parking was chosen, in light of the different characteristics and various prices presented in relation to the specific location and the period of interest identified, a screen appears containing the indication of its characteristics and the price of the reservation (fig. 1 below):</w:t>
      </w:r>
    </w:p>
    <w:p>
      <w:r>
        <w:t>BULLETIN NO. 48 OF DECEMBER 7, 2020 23</w:t>
      </w:r>
    </w:p>
    <w:p>
      <w:r>
        <w:t>Fig. 1</w:t>
      </w:r>
    </w:p>
    <w:p>
      <w:r>
        <w:t>15. Subsequently, by clicking on "book," a screen appears indicating the management fees that are added to the price of the parking (fig. 2):</w:t>
      </w:r>
    </w:p>
    <w:p>
      <w:r>
        <w:t>Fig. 2</w:t>
      </w:r>
    </w:p>
    <w:p>
      <w:r>
        <w:rPr>
          <w:b/>
        </w:rPr>
        <w:t>[Pages 22–24]</w:t>
      </w:r>
    </w:p>
    <w:p>
      <w:r>
        <w:t>BULLETIN NO. 48 OF DECEMBER 7, 2020</w:t>
      </w:r>
    </w:p>
    <w:p>
      <w:r>
        <w:t>24</w:t>
      </w:r>
    </w:p>
    <w:p>
      <w:r>
        <w:t>16. Finally, after entering their details and clicking on "submit," a screen appears through which the consumer can choose their preferred payment method (fig. 3 and 4) and, selecting the PayPal payment option (fig. 4), the initially indicated price is further increased by a PayPal fee:</w:t>
      </w:r>
    </w:p>
    <w:p>
      <w:r>
        <w:t>17. The aforementioned increase, detailed in the cost items, is also expressly stated in the "Contractual and Usage Conditions," where it is provided that "The final amount includes: the price of the reservation, possible management fees, applicable taxes, PayPal fees in case this payment option is chosen, and any discounts that may have been applied. This breakdown is indicated to the Customer at the time of confirmation of the reservation and payment, and must have been accepted by the Customer" (emphasis added). In another passage, it is stated that "The User can make the payment for the reservation via: - Accepted credit cards: American Express, Carta SI, CB, Maestro, MasterCard, Postepay, VISA, VISA Electrón; - PayPal," specifying here that "When a User wishes to confirm the purchase of their reservation through their PayPal account, PARCLICK will charge an additional fee that varies based on the total amount of the purchase made by the Customer on the Platform" (emphasis added).</w:t>
      </w:r>
    </w:p>
    <w:p>
      <w:r>
        <w:t>18. The professional also provides, within the "terms and conditions" presented, that "Any dispute arising or related to the use of the Platform will be subject to the jurisdiction of the Spanish courts of the city of Madrid."</w:t>
      </w:r>
    </w:p>
    <w:p>
      <w:r>
        <w:t>19. With communication dated March 9, 2020, the professional provided the information requested in the initiation communication of the proceeding. In particular, the company represented that: i) regarding the cost of the parking reservation, it would limit itself to providing the actual price of the reservation charged by the parking facility with the addition of the necessary management fees to maintain the service; ii) the management fees would be indicated on the second screen, when the user interested in purchasing the service enters the necessary data to calculate the price, indicating the parking facility they prefer, based on location and price; iii) the amount of the management fees applied would be variable, depending on the price of the reservation; iv) with the PayPal service, the user would make a secure transaction, as PayPal allows recovering the amount paid, at a later time after the payment authorization and even when the service has already been rendered; v) PayPal cannot be considered a mere payment tool, but an additional service at the user's choice, which is provided by an independent third-party company with respect to Parclick S.L.; vi) the PayPal service is associated with a variable fee that is added to the final price and has been applied since June 2017.</w:t>
      </w:r>
    </w:p>
    <w:p>
      <w:r>
        <w:t>20. That said, Parclick S.L. communicated that it had modified, after the notification of the initiation communication, the provision regarding the jurisdiction, aligning it with the provisions of the Consumer Code. In any case, the professional noted that "the necessity for a user to take legal action against the company has never materialized," because in the face of issues related to the service, the company would always have refunded the customer.</w:t>
      </w:r>
    </w:p>
    <w:p>
      <w:r>
        <w:t>21. With a note received on May 20, 2020, supplemented on June 9 and 11, and finally on July 10, 2020, the professional submitted, pursuant to Article 27, paragraph 7, of the Consumer Code and Article 9 of the Regulation, a proposal of commitments.</w:t>
      </w:r>
    </w:p>
    <w:p>
      <w:r>
        <w:t xml:space="preserve">22. In particular, these commitments – which in their final version are attached to this provision and constitute an integral part thereof – provide as follows: </w:t>
        <w:br/>
        <w:t>1) information on management fees: Parclick S.L. commits to "show the total final price (parking plus management fees) immediately after the user has selected the city and the arrival and departure dates." The new total final price will then be indicated (i) on the second screen in the list of parking facilities and on the map and (ii) on the third screen, where the user</w:t>
      </w:r>
    </w:p>
    <w:p>
      <w:r>
        <w:rPr>
          <w:b/>
        </w:rPr>
        <w:t>[Pages 25–27]</w:t>
      </w:r>
    </w:p>
    <w:p>
      <w:r>
        <w:t>BULLETIN NO. 48 OF DECEMBER 7, 2020 27</w:t>
      </w:r>
    </w:p>
    <w:p>
      <w:r>
        <w:t>has selected the parking lot. Furthermore, once the user clicks on "BOOK," they will be able, on the fourth screen, to view both amounts individually (as well as the total to be paid). Parclick S.L. is willing to make the modification of the website Parclick.it as described above "within a minimum period of two weeks from the approval of the commitments by the Authority";</w:t>
      </w:r>
    </w:p>
    <w:p>
      <w:r>
        <w:t>2) removal of PayPal from the website: Parclick S.L. has already removed the PayPal payment service from its site and eliminated it from the general conditions explaining its operation. Furthermore, the professional commits to offering users (Italian or foreign) who, using the PayPal service since June 19, 2017, have booked a parking space (in Italy or abroad) on the website Parclick.it, a 5% discount on their next booking made on the same website. Additionally, following the possible approval of the commitments, the professional "will proceed to inform this Authority of the fulfillment";</w:t>
      </w:r>
    </w:p>
    <w:p>
      <w:r>
        <w:t>3) modification of the competent forum: Parclick S.L. has already "modified the mention of the competent forum for the resolution of possible judicial disputes," specifying on its website that in disputes arising with consumers "the courts of the place of residence or domicile of the customer will have jurisdiction."</w:t>
      </w:r>
    </w:p>
    <w:p>
      <w:r>
        <w:t>IV. OPINION OF THE AUTHORITY FOR GUARANTEES IN COMMUNICATIONS</w:t>
      </w:r>
    </w:p>
    <w:p>
      <w:r>
        <w:t>23. Since the commercial practice subject to this provision has been disseminated via the Internet, on October 12, 2020, the opinion was requested from the Authority for Guarantees in Communications, pursuant to Article 27, paragraph 6, of the Consumer Code.</w:t>
      </w:r>
    </w:p>
    <w:p>
      <w:r>
        <w:t>24. The Authority for Guarantees in Communications did not communicate its opinion within the thirty-day period from the receipt of the request and did not represent any further investigative needs.</w:t>
      </w:r>
    </w:p>
    <w:p>
      <w:r>
        <w:t>V. EVALUATION OF THE COMMITMENTS</w:t>
      </w:r>
    </w:p>
    <w:p>
      <w:r>
        <w:t>25. The Authority believes that the commitments proposed by the professional are suitable to remedy the possible profiles of illegitimacy of the conducts contested in the initiation communication of February 14, 2020. In particular, it is believed that the proposed measures regarding information on management fees, the removal of the PayPal payment system from the company website, and the correction of the competent forum are suitable to eliminate the possible profiles of unfairness outlined at the initiation for the reasons set forth below.</w:t>
      </w:r>
    </w:p>
    <w:p>
      <w:r>
        <w:t>26. In particular, regarding the first commitment, the measure that Parclick S.L. intends to adopt will ensure that the user is notified, immediately after selecting the city of interest and the dates of arrival and departure, of the existence of management fees, where applicable. By virtue of the proposed commitment, the consumer will be able to obtain transparent and complete information on the composition of the final price of the service they are about to purchase online, with a detailed breakdown of the amounts individually (parking and management fees).</w:t>
      </w:r>
    </w:p>
    <w:p>
      <w:r>
        <w:t>27. In relation to the second commitment, the measure consisting of the removal of the PayPal payment system from the professional's website, which has already been implemented as a precaution, allows for the avoidance, in the future, of price supplements related to the electronic payment method, so that situations will not recur in which the consumer finds themselves paying an illegitimate fee not foreseen at the beginning of the online booking process.</w:t>
      </w:r>
    </w:p>
    <w:p>
      <w:r>
        <w:t>28. Furthermore, the additional measure that provides for the granting of a discount on the booking of a parking space in favor of consumers who previously had to pay the price supplement associated with the PayPal system responds to the purpose of compensating for the economic damage suffered by them.</w:t>
      </w:r>
    </w:p>
    <w:p>
      <w:r>
        <w:t>29. Lastly, the changes regarding the competent forum, already made by the professional, are consistent with the provisions of Article 66 bis of the Consumer Code, which states that for civil disputes concerning the application of the same Code "the mandatory territorial jurisdiction is that of the judge of the place of residence or domicile of the consumer, if located within the territory of the State."</w:t>
      </w:r>
    </w:p>
    <w:p>
      <w:r>
        <w:t>30. In light of the above considerations, it is believed that the commitments presented meet the requirements set forth in Article 27, paragraph 7, of the Consumer Code.</w:t>
      </w:r>
    </w:p>
    <w:p>
      <w:r>
        <w:t>THEREFORE, it is deemed that the commitments presented by the company Parclick S.L., as outlined above, are suitable to eliminate the possible profiles of illegality of the conducts subject to investigation;</w:t>
      </w:r>
    </w:p>
    <w:p>
      <w:r>
        <w:t>IT IS DEEMED to impose the obligation of the aforementioned commitments on the company Parclick S.L.;</w:t>
      </w:r>
    </w:p>
    <w:p>
      <w:r>
        <w:t>IT IS DEEMED, therefore, to be able to close the proceeding without determining the infringement;</w:t>
      </w:r>
    </w:p>
    <w:p>
      <w:r>
        <w:t>RESOLVES</w:t>
      </w:r>
    </w:p>
    <w:p>
      <w:r>
        <w:t>a) to make mandatory, with respect to the company Parclick S.L., pursuant to Article 27, paragraph 7, of the Consumer Code and Article 9, paragraph 2, letter a), of the Regulation, the commitments proposed by the same company on July 10, 2020, as described in the statement attached to this provision;</w:t>
      </w:r>
    </w:p>
    <w:p>
      <w:r>
        <w:t>b) to close the proceeding without determining the infringement, pursuant to Article 27, paragraph 7, of the Consumer Code and Article 9, paragraph 2, letter a), of the Regulation;</w:t>
      </w:r>
    </w:p>
    <w:p>
      <w:r>
        <w:t>c) that the company Parclick S.L., within thirty days from the date of notification of this resolution, informs the Authority of the fulfillment of the commitments.</w:t>
      </w:r>
    </w:p>
    <w:p>
      <w:r>
        <w:t>Pursuant to Article 9, paragraph 3, of the Regulation, the proceeding may be reopened ex officio, where:</w:t>
      </w:r>
    </w:p>
    <w:p>
      <w:r>
        <w:t>a) the professional does not fulfill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BULLETIN NO. 48 OF DECEMBER 7, 2020 29</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SECRETARY GENERAL THE PRESIDENT</w:t>
      </w:r>
    </w:p>
    <w:p>
      <w:r>
        <w:t>Filippo Arena Roberto Rustichelli</w:t>
      </w:r>
    </w:p>
    <w:p>
      <w:r>
        <w:t>ACCESSIBILITY OF PAYMENT - CONSUMER PROTECTION</w:t>
      </w:r>
    </w:p>
    <w:p>
      <w:r>
        <w:t>PV14 - AMERICAN EXPRESS - DISCRIMINATION FOREIGN IBAN</w:t>
      </w:r>
    </w:p>
    <w:p>
      <w:r>
        <w:t>Provision No. 28457</w:t>
      </w:r>
    </w:p>
    <w:p>
      <w:r>
        <w:t>THE AUTHORITY FOR COMPETITION AND THE MARKET</w:t>
      </w:r>
    </w:p>
    <w:p>
      <w:r>
        <w:t>IN ITS MEETING of November 17, 2020;</w:t>
      </w:r>
    </w:p>
    <w:p>
      <w:r>
        <w:t>HEARD the Rapporteur Dr. Gabriella Muscolo;</w:t>
      </w:r>
    </w:p>
    <w:p>
      <w:r>
        <w:t>VIEWED Regulation (EU) No. 260/2012 of the European Parliament and of the Council establishing technical and commercial requirements for credit transfers and direct debits in euros and amending Regulation (EC) No. 924/2009, with particular reference to Article 9;</w:t>
      </w:r>
    </w:p>
    <w:p>
      <w:r>
        <w:t>VIEWED Legislative Decree No. 135/2015, implementing Article 11 of Regulation (EU) No. 260/2012, with particular reference to paragraph 3 of Article 3;</w:t>
      </w:r>
    </w:p>
    <w:p>
      <w:r>
        <w:t>VIEWED Part II, Title III, of Legislative Decree No. 206 of September 6, 2005, containing the "Consumer Code" and subsequent amendments (hereinafter, Consumer Code) and, in particular, Article 27;</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 of September 30, 2020, with which, pursuant to Article 7, paragraph 3, of the Regulation, the deadline for concluding the proceeding was extended, in consideration of the needs related to the evaluation activity of the commitments presented;</w:t>
      </w:r>
    </w:p>
    <w:p>
      <w:r>
        <w:t>VIEWED the acts of the proceeding;</w:t>
      </w:r>
    </w:p>
    <w:p>
      <w:r>
        <w:rPr>
          <w:b/>
        </w:rPr>
        <w:t>[Pages 28–30]</w:t>
      </w:r>
    </w:p>
    <w:p>
      <w:r>
        <w:t>BULLETIN NO. 48 OF DECEMBER 7, 2020</w:t>
      </w:r>
    </w:p>
    <w:p>
      <w:r>
        <w:t>I. THE PARTY</w:t>
      </w:r>
    </w:p>
    <w:p>
      <w:r>
        <w:t>1. American Express Italia S.r.l. (hereinafter Amex) is a company active in the financial services sector, issuing and managing credit cards. The company's financial statements for the fiscal year ending December 2019 show revenues, calculated according to the provisions for determining the turnover of credit institutions and other financial entities under Article 5, paragraph 3, of Regulation (EC) No. 139/2004 on the control of concentrations between enterprises, amounting to approximately 250 million euros.</w:t>
      </w:r>
    </w:p>
    <w:p>
      <w:r>
        <w:t>II. THE CONDUCT SUBJECT TO THE PROCEEDING</w:t>
      </w:r>
    </w:p>
    <w:p>
      <w:r>
        <w:t>2. The proceeding concerns the behavior carried out by Amex in the marketing and management of its financial services, consisting of not allowing customers to pay the balance of their credit card via direct debit on bank accounts opened with banks located in all European Union countries other than Italy and, therefore, with IBANs with different standards and national prefixes from those "IT..." of Italian banks, and in not issuing credit cards associated with such types of accounts.</w:t>
      </w:r>
    </w:p>
    <w:p>
      <w:r>
        <w:t>III. THE OUTCOMES OF THE PROCEEDING</w:t>
      </w:r>
    </w:p>
    <w:p>
      <w:r>
        <w:t>1) The course of the proceeding</w:t>
      </w:r>
    </w:p>
    <w:p>
      <w:r>
        <w:t>3. Following some reports and office investigations, on June 4, 2020, the Authority communicated to Amex the initiation of the investigative proceeding PV14.</w:t>
      </w:r>
    </w:p>
    <w:p>
      <w:r>
        <w:t>4. In this context, it was specifically contested that Amex does not accept direct debits for the payment of the balance of its credit cards on accounts opened with banking institutions located in the territory of the European Union, but not situated in the national territory, thus creating a geographical discrimination in the use of the aforementioned payment instruments (so-called "IBAN discrimination").</w:t>
      </w:r>
    </w:p>
    <w:p>
      <w:r>
        <w:t>5. On July 20, 2020, pursuant to Article 27, paragraph 7, of the Consumer Code, Amex submitted commitments aimed at removing the unlawful aspects of the contested conduct. On August 5, 2020, Amex filed a defense memorandum also providing the information requested in the initiation communication of the proceeding.</w:t>
      </w:r>
    </w:p>
    <w:p>
      <w:r>
        <w:t>6. On September 11, 2020, Amex was heard in a hearing.</w:t>
      </w:r>
    </w:p>
    <w:p>
      <w:r>
        <w:t>7. On October 8, 2020, the Party further supplemented and clarified some aspects of the commitments proposed to the Authority.</w:t>
      </w:r>
    </w:p>
    <w:p>
      <w:r>
        <w:t>8. On October 21, 2020, the Party was informed of the conclusion date of the investigative phase pursuant to Article 16, paragraph 1, of the Regulation.</w:t>
      </w:r>
    </w:p>
    <w:p>
      <w:r>
        <w:t>9. On November 3, 2020, the professional submitted the consolidated and non-confidential version of its commitments.</w:t>
      </w:r>
    </w:p>
    <w:p>
      <w:r>
        <w:t>2) The evidence acquired</w:t>
      </w:r>
    </w:p>
    <w:p>
      <w:r>
        <w:t>10. The investigative findings highlight that Amex has long initiated initiatives aimed at allowing direct debits on foreign SEPA accounts, both with reference to back office systems (management that has been automated since the end of June 2020) and for front-end systems. In particular, for the latter, for consumer clients, the request for direct debit on foreign IBANs via the online channel has been managed automatically since the end of June 2020 but limited to 17 countries out of a total of 27 EU countries in the SEPA area. Furthermore, regarding the paper acquisition channel (mail, email, or direct sales), potential customers can request any American Express product, indicating indifferently in the application a bank account with an Italian or foreign SEPA IBAN from any country in the SEPA area for which SEPA direct debit services are available; Amex receives, manages, and processes such requests in a standard manner, similarly to what happens for requests related to national bank accounts. However, there remain some cases of ad hoc manual processing:</w:t>
        <w:br/>
        <w:t>1) back office: fully automated, except for two minor types of corporate cards;</w:t>
        <w:br/>
        <w:t>2) the only current manual exceptions for the online consumer channel concern the remaining countries outside the aforementioned group of 17 for which the procedure is already automated;</w:t>
        <w:br/>
        <w:t>3) for the "Agents and telemarketing" channel, as well as for online requests from small and medium-sized enterprises (SMEs).</w:t>
      </w:r>
    </w:p>
    <w:p>
      <w:r>
        <w:t>3) The commitments presented by the Party</w:t>
      </w:r>
    </w:p>
    <w:p>
      <w:r>
        <w:t>11. With the aforementioned communications of July 20, October 8, and November 3, 2020, Amex presented commitments concerning the following four main profiles:</w:t>
      </w:r>
    </w:p>
    <w:p>
      <w:r>
        <w:t>I. Updating existing back-office and front-end systems and procedures</w:t>
        <w:br/>
        <w:t>Amex will update its existing back-office and front-end systems and procedures to introduce fully automated solutions that allow, respectively:</w:t>
        <w:br/>
        <w:t>a) Amex to effectively acquire, manage, and process all SEPA direct debit mandates, allowing all customers to pay the balance of their American Express payment card via a SEPA direct debit on a bank account with a SEPA Italian or foreign IBAN from any country in the SEPA area for which SEPA direct debit services are available;</w:t>
        <w:br/>
        <w:t>b) potential customers to request any American Express product through all acquisition channels, indicating in the application a bank account with a SEPA Italian or foreign IBAN from any country in the SEPA area for which SEPA direct debit services are available;</w:t>
        <w:br/>
        <w:t>c) Amex to effectively acquire, process, and manage in an automated manner all applications under letter b).</w:t>
      </w:r>
    </w:p>
    <w:p>
      <w:r>
        <w:t>II. Changes to Amex's contractual documentation and promotional material</w:t>
        <w:br/>
        <w:t>Amex will modify its contractual documentation and promotional material available on its website (www.americanexpress.com/it/) as follows:</w:t>
        <w:br/>
        <w:t>a) the terms and conditions relating to all its products for SBS and corporate customers will provide that the respective holders may indicate and use indifferently any bank account with a SEPA IBAN from any country in the SEPA area for which SEPA direct debit services are available;</w:t>
        <w:br/>
        <w:t>b) the section of the website www.americanexpress.com/it/ dedicated to consumer, SBS, and corporate products will inform potential customers of the possibility to indicate - at the time of application for an American Express payment card or at any time during the contractual relationship - a bank account with a SEPA Italian or foreign IBAN from any country in the SEPA area for which SEPA direct debit services are available. This institutional website will also provide information on how to indicate and use such bank accounts. For the purposes of this commitment II.b), Amex will modify the page accessible via the "Learn More" link for each of the consumer payment cards included in the "Personal Cards" section of the Amex website, as well as the pages for SBS payment cards and those for "Corporate" cards on the Amex website.</w:t>
      </w:r>
    </w:p>
    <w:p>
      <w:r>
        <w:t>III. Communications to the entire active customer base of Amex</w:t>
        <w:br/>
        <w:t>To the extent permitted by applicable law, Amex will send a communication to all holders of an active payment card, inserting a specific message ("CIP message") in two consecutive statements. The CIP message:</w:t>
        <w:br/>
        <w:t>a) will remind the holder of the possibility to use a SEPA IBAN from any country in the SEPA area for which SEPA direct debit services are available;</w:t>
        <w:br/>
        <w:t>b) will refer to the relevant page of the Amex website mentioned in Commitment II.b, where the holder can find the necessary information for this purpose.</w:t>
      </w:r>
    </w:p>
    <w:p>
      <w:r>
        <w:t>IV. Email communication to a cluster of existing and potential holders</w:t>
        <w:br/>
        <w:t>To the extent permitted by applicable law, Amex will send an email communication ("Communication") to existing holders and potential holders, whose addresses are present in Amex's database, who have requested to use a non-Italian SEPA IBAN, but whose request has not concluded with the entry of the requested bank account. The Communication will contain the following elements:</w:t>
        <w:br/>
        <w:t>a) will remind the customer of the possibility to use a SEPA IBAN from any country in the SEPA area for which SEPA direct debit services are available;</w:t>
        <w:br/>
        <w:t>b) will refer to the relevant page of the Amex website mentioned in Commitment II.b, where the customer can find all the necessary information to: (i) indicate, in the application for the relevant American Express product, a non-Italian SEPA IBAN from any country in the SEPA area for which SEPA direct debit services are available; (ii) modify the bank account already indicated and in use concerning their American Express product. For the purposes of this Commitment, "existing holders" and "potential holders" are defined respectively as: a) "Existing holders," individuals who, following Amex's response to their initial request, have decided to use an Italian SEPA IBAN; b) "Potential holders," individuals who, following Amex's response to their</w:t>
      </w:r>
    </w:p>
    <w:p>
      <w:r>
        <w:rPr>
          <w:b/>
        </w:rPr>
        <w:t>[Pages 31–33]</w:t>
      </w:r>
    </w:p>
    <w:p>
      <w:r>
        <w:t>BULLETIN NO. 48 OF DECEMBER 7, 2020 33</w:t>
      </w:r>
    </w:p>
    <w:p>
      <w:r>
        <w:t>request, decided to refrain from submitting an application for an American Express payment card or to terminate their contractual relationship with Amex.</w:t>
      </w:r>
    </w:p>
    <w:p>
      <w:r>
        <w:t>12. The Commitments will be implemented according to the following timeline:</w:t>
        <w:br/>
        <w:t>a) for Commitments I, II, and III, within 6 months from the date of notification of the decision accepting the commitments;</w:t>
        <w:br/>
        <w:t>b) for Commitment IV, within 7 months from the same date.</w:t>
      </w:r>
    </w:p>
    <w:p>
      <w:r>
        <w:t>13. During the hearing on September 11, 2020, and with the documentation subsequently submitted, Amex clarified the following regarding some specific operational modalities and the timing of the commitments:</w:t>
        <w:br/>
        <w:t>a) for the application through the agents/telemarketing channel managing corporate clients, as well as online for small and medium enterprises, the testing phase is scheduled for October 2020 to then proceed to full operation;</w:t>
        <w:br/>
        <w:t>b) for the consumer website (“e-application”), automatic direct debit is already operational for interested consumers covering 17 EU countries; the implementation of the extension of this list will be operational by the deadline communicated in the proposal of commitments and, hopefully, even earlier in case of positive outcomes from the necessary testing phases.</w:t>
      </w:r>
    </w:p>
    <w:p>
      <w:r>
        <w:t>IV. EVALUATIONS</w:t>
      </w:r>
    </w:p>
    <w:p>
      <w:r>
        <w:t>14. As a preliminary matter, it is appropriate to emphasize that the elimination of geographical discrimination in the use of transfers and direct debits in euros, as an obstacle to the full implementation of the SEPA system and, more generally, to the realization of the single payment market, represents and has been considered a priority objective at the European level.</w:t>
      </w:r>
    </w:p>
    <w:p>
      <w:r>
        <w:t>15. In this regard, Article 9 of Regulation (EU) No. 260/2012 establishes, in particular, that “The beneficiary who accepts a transfer or receives funds by direct debit from a payer holding a payment account within the Union does not specify the Member State in which such payment account is located, provided that the payment account is reachable in accordance with Article 3.”</w:t>
      </w:r>
    </w:p>
    <w:p>
      <w:r>
        <w:t>16. The commitments presented by Amex in their final version appear to be decisive for the elimination of the violation under contestation, as they will allow users in the future to generally proceed with the use of the IBAN of their foreign current account in accordance with EU standards of the SEPA system in the same way that Italian bank IBANs are currently used. In fact, Amex will complete the permanent modifications of its customer management systems, which will allow customers to pay the balance of their credit card through current accounts of banking institutions located in any Member State of the Union (even different from Italy). The request can be submitted through all available contact channels for customers or through the following channels:</w:t>
        <w:br/>
        <w:t>a) digital (web channel); b) paper; c) agents (e.g., airport stands); d) telemarketing.</w:t>
      </w:r>
    </w:p>
    <w:p>
      <w:r>
        <w:t>8 In the “Report of the Commission to the European Parliament and the Council on the application of Regulation (EU) No. 260/2012” dated November 27, 2017 (COM (2017) 683 final), the elimination of IBAN discrimination is defined as the "main priority of the European Commission regarding the application of the SEPA regulation."</w:t>
      </w:r>
    </w:p>
    <w:p>
      <w:r>
        <w:t>34 BULLETIN NO. 48 OF DECEMBER 7, 2020</w:t>
      </w:r>
    </w:p>
    <w:p>
      <w:r>
        <w:t>In particular, new customers - in relation to all the aforementioned acquisition channels - will have an automated direct debit procedure available on any foreign account within the SEPA area. The commitments presented by Amex will make it possible to remove all existing limitations, allowing its customers to benefit from “fully automated” systems for direct debits on foreign IBANs with SEPA standards without any differentiation compared to national IBANs.</w:t>
      </w:r>
    </w:p>
    <w:p>
      <w:r>
        <w:t>17. The commitments presented by Amex therefore appear suitable to remove the contested profiles by conforming the company's conduct to what is established by community law, as they provide for a global and “systemic” modification of all automated direct debit procedures. This modification of the payment systems architecture will therefore allow all consumers with current accounts at foreign banks within the EU to independently request and obtain direct debits using such foreign accounts. The commitment proposed by Amex to modify its systems will indeed allow requests to be managed in a fully automated and undifferentiated manner, without having to resort to specific processing. Direct debits on foreign accounts will be treated in the same way as requests for direct debits on national IBANs, without implementing forms of discrimination that European legislation expressly prohibits.</w:t>
      </w:r>
    </w:p>
    <w:p>
      <w:r>
        <w:t>18. The commitments also include an information campaign to inform consumers of the possibility of direct debiting payments on foreign accounts. This will be articulated across various dissemination channels, including personalized communications to customers.</w:t>
      </w:r>
    </w:p>
    <w:p>
      <w:r>
        <w:t>CONSIDERING, therefore, that the commitments presented by American Express Italia S.r.l., in the terms outlined above, are suitable to eliminate the possible profiles of illegality of the conduct under investigation;</w:t>
      </w:r>
    </w:p>
    <w:p>
      <w:r>
        <w:t>CONSIDERING to impose the obligation of the aforementioned commitments on the company American Express Italia S.r.l.;</w:t>
      </w:r>
    </w:p>
    <w:p>
      <w:r>
        <w:t>CONSIDERING, therefore, that it is possible to close the proceeding without determining the infringement;</w:t>
      </w:r>
    </w:p>
    <w:p>
      <w:r>
        <w:t>RESOLVES</w:t>
      </w:r>
    </w:p>
    <w:p>
      <w:r>
        <w:t>a) to make mandatory, towards the company American Express Italia S.r.l., pursuant to Article 27, paragraph 7, of the Consumer Code and Article 9, paragraph 2, letter a), of the Regulation, the commitments proposed by the company in their final version on November 3, 2020, as described in the statement attached to this decision;</w:t>
      </w:r>
    </w:p>
    <w:p>
      <w:r>
        <w:t>b) to close the proceeding without determining the infringement, pursuant to Article 27, paragraph 7, of the Consumer Code and Article 9, paragraph 2, letter a), of the Regulation;</w:t>
      </w:r>
    </w:p>
    <w:p>
      <w:r>
        <w:t>c) that the company American Express Italia S.r.l., within thirty days from the date of implementation of Commitment IV, informs the Authority of the implementation of the commitments by submitting a report supported by documentary evidence.</w:t>
      </w:r>
    </w:p>
    <w:p>
      <w:r>
        <w:t>Pursuant to Article 9, paragraph 3, of the Regulation, the proceeding may be reopened ex officio, where:</w:t>
      </w:r>
    </w:p>
    <w:p>
      <w:r>
        <w:t>BULLETIN NO. 48 OF DECEMBER 7, 2020 35</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decision will be notified to the interested parties and published in the Bulletin of the Authority for Competition and Market.</w:t>
      </w:r>
    </w:p>
    <w:p>
      <w:r>
        <w:t>THE SECRETARY GENERAL THE PRESIDENT</w:t>
      </w:r>
    </w:p>
    <w:p>
      <w:r>
        <w:t>Filippo Arena Roberto Rustichelli</w:t>
      </w:r>
    </w:p>
    <w:p>
      <w:r>
        <w:rPr>
          <w:b/>
        </w:rPr>
        <w:t>[Pages 34–34]</w:t>
      </w:r>
    </w:p>
    <w:p>
      <w:r>
        <w:t xml:space="preserve">Antitrust Authority Weekly Bulletin  </w:t>
        <w:br/>
        <w:t xml:space="preserve">of Competition and Market Year XXX - No. 48 - 2020  </w:t>
        <w:br/>
        <w:t xml:space="preserve">Editorial Coordination Giulia Antenucci  </w:t>
        <w:br/>
        <w:t xml:space="preserve">Editorial Staff Sandro Cini, Valerio Ruocco, Simonetta Schettini,  </w:t>
        <w:br/>
        <w:t xml:space="preserve">Manuela Villani  </w:t>
        <w:br/>
        <w:t xml:space="preserve">Antitrust Authority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