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https://www.agcm.it/dotcmsDOC/bollettini/49-15.pdf</w:t>
      </w:r>
    </w:p>
    <w:p>
      <w:r>
        <w:t>Pages translated : 117</w:t>
      </w:r>
    </w:p>
    <w:p/>
    <w:p>
      <w:r>
        <w:rPr>
          <w:b/>
        </w:rPr>
        <w:t>[Pages 1–3]</w:t>
      </w:r>
    </w:p>
    <w:p>
      <w:r>
        <w:t>Bulletin</w:t>
        <w:br/>
        <w:t>Weekly</w:t>
        <w:br/>
        <w:t>Year XXV - No. 49</w:t>
        <w:br/>
        <w:t>Published on the website www.agcm.it</w:t>
        <w:br/>
        <w:t>January 18, 2016</w:t>
      </w:r>
    </w:p>
    <w:p>
      <w:r>
        <w:t>SUMMARY</w:t>
        <w:br/>
        <w:t>AGREEMENTS AND ABUSE OF DOMINANT POSITION 5</w:t>
        <w:br/>
        <w:t>I723B - AGREEMENT IN THE ROAD BARRIER MARKET - REDETERMINATION OF THE SANCTION METALMECCANICA FRACASSO</w:t>
        <w:br/>
        <w:t>Decision No. 25796 5</w:t>
        <w:br/>
        <w:t>AL14 - COOP ITALIA - CENTRALE ADRIATICA / CONTRACTUAL CONDITIONS WITH SUPPLIERS</w:t>
        <w:br/>
        <w:t>Decision No. 25797 15</w:t>
        <w:br/>
        <w:t>I780 - CONCRETE MARKET IN VENETO</w:t>
        <w:br/>
        <w:t>Decision No. 25801 50</w:t>
        <w:br/>
        <w:t>CONCENTRATION OPERATIONS 83</w:t>
        <w:br/>
        <w:t>C12018 - A2A TRADING / BUSINESS BRANCH OF SORGENIA POWER</w:t>
        <w:br/>
        <w:t>Decision No. 25798 83</w:t>
        <w:br/>
        <w:t>C12024 - MARINVEST / GRANDI NAVI VELOCI</w:t>
        <w:br/>
        <w:t>Decision No. 25799 87</w:t>
        <w:br/>
        <w:t>C12025 - TERNA / RAILWAY ELECTRIC COMPANY</w:t>
        <w:br/>
        <w:t>Decision No. 25800 90</w:t>
        <w:br/>
        <w:t>REPORTING AND CONSULTATIVE ACTIVITIES 93</w:t>
        <w:br/>
        <w:t>AS1246 – CONSIP - TENDER FOR THE CONCLUSION OF A FRAMEWORK AGREEMENT FOR EVOLVED TELEPHONE EXCHANGES 93</w:t>
        <w:br/>
        <w:t>AS1247 – CONSIP - TENDER FOR THE PROVISION OF SUBSTITUTE CANTEEN SERVICE THROUGH ELECTRONIC MEAL VOUCHERS EDITION 1 94</w:t>
        <w:br/>
        <w:t>AS1248 – CONSIP - PROVISION OF MANAGEMENT AND MAINTENANCE SERVICES FOR IP AND PDL SYSTEMS 96</w:t>
        <w:br/>
        <w:t>AS1249 - REGION OF SARDINIA - LABORATORY HEALTH SERVICES UNDER SERVICE 97</w:t>
        <w:br/>
        <w:t>AS1250 - MUNICIPALITY OF CARSOLI (AQ) - SPELEOLOGICAL GUIDES 100</w:t>
        <w:br/>
        <w:t>UNFAIR COMMERCIAL PRACTICES 103</w:t>
        <w:br/>
        <w:t>IP244 - AVRON - REGISTRATION IN THE REGISTER AND PAYMENT REMINDERS</w:t>
        <w:br/>
        <w:t>Decision No. 25803 103</w:t>
        <w:br/>
        <w:t>IP245 - EXPO GUIDE</w:t>
        <w:br/>
        <w:t>Decision No. 25804 107</w:t>
        <w:br/>
        <w:t>PS10039 - PHILIPS - SWEEP LEGAL/COMMERCIAL WARRANTY</w:t>
        <w:br/>
        <w:t>Decision No. 25805 111</w:t>
      </w:r>
    </w:p>
    <w:p>
      <w:r>
        <w:t>BULLETIN NO. 49 OF JANUARY 18, 2016 5</w:t>
        <w:br/>
        <w:t>AGREEMENTS AND ABUSE OF DOMINANT POSITION</w:t>
        <w:br/>
        <w:t>I723B - AGREEMENT IN THE ROAD BARRIER MARKET - REDETERMINATION OF THE SANCTION METALMECCANICA FRACASSO</w:t>
        <w:br/>
        <w:t>Decision No. 25796</w:t>
        <w:br/>
        <w:t>THE ANTITRUST AUTHORITY</w:t>
        <w:br/>
        <w:t>IN ITS MEETING of December 22, 2015;</w:t>
        <w:br/>
        <w:t>HEARD the Rapporteur Dr. Gabriella Muscolo;</w:t>
        <w:br/>
        <w:t>HAVING REGARD to Law No. 287 of October 10, 1990;</w:t>
        <w:br/>
        <w:t>HAVING REGARD to Article 101 of the Treaty on the Functioning of the European Union (TFEU);</w:t>
        <w:br/>
        <w:t>HAVING REGARD to its decision No. 23931 of September 28, 2012, closing the investigation I723 - Road Barrier Market, with which it was decided that the companies Car Segnaletica Stradale S.r.l., Ilva Pali Dalmine S.p.A. in extraordinary administration, Ilva Pali Dalmine Industries S.r.l. (formerly S.p.A.), Industria Meccanica Varricchio – I.Me.Va. S.p.A., Marcegaglia S.p.A., Metalmeccanica Fracasso S.p.A., San Marco S.p.A. – Industria Costruzioni Meccaniche in liquidation, and Tubosider S.p.A. engaged in an agreement restricting competition contrary to Article 101 of the Treaty on the Functioning of the European Union (TFEU), consisting of a single and complex agreed practice continued over time aimed at severely distorting the competitive comparison mechanisms in the national market for metal safety devices;</w:t>
        <w:br/>
        <w:t>CONSIDERING that for the aforementioned established violation, due to the seriousness and duration of the infringement, a pecuniary administrative sanction in the amount of €11,013,165.40 has been imposed in particular on the company Metalmeccanica Fracasso S.p.A.;</w:t>
        <w:br/>
        <w:t>HAVING REGARD to the ruling of the Council of State, Section VI, June 9, 2015, No. 3291, which partially upheld the appeal filed by the company Metalmeccanica Fracasso S.p.A.;</w:t>
        <w:br/>
        <w:t>HAVING REGARD, in particular, to the reasoning of the ruling of the Council of State which, in partial acceptance of the appeal of the company Metalmeccanica Fracasso S.p.A., ordered the annulment of the aforementioned decision in the part relating to the quantification of the sanction imposed on the aforementioned company, observing, in particular, that “the undeniable seriousness of the sanctioned behavior does not diminish the duty, for the Authority, to consider the effectiveness of the revenues obtained by the subject who engaged in such behavior as a result of the contested unlawful act, as well as the extent of its possible contribution to the agreement itself,” elements that are relevant “for the purposes of quantifying the specific sanction to be imposed on the subject acting in the agreement. In the case at hand, the Authority has not adequately specified the revenues obtained by the sanctioned company as a result of the unlawful behavior, and the contribution of the same to the formation of the unlawful agreement;”</w:t>
      </w:r>
    </w:p>
    <w:p>
      <w:r>
        <w:rPr>
          <w:b/>
        </w:rPr>
        <w:t>[Pages 4–6]</w:t>
      </w:r>
    </w:p>
    <w:p>
      <w:r>
        <w:t>6 BULLETIN NO. 49 OF JANUARY 18, 2016</w:t>
        <w:br/>
        <w:t>NOTING, furthermore, that the Council of State deemed it appropriate to delegate to the Authority the concrete new quantification of the sanction in question, “in renewal of the proceeding for the part in question, so that all relevant elements are taken into detailed consideration”;</w:t>
      </w:r>
    </w:p>
    <w:p>
      <w:r>
        <w:t>NOTING its own provision no. 25608 of September 3, 2015, with which the Authority initiated a new proceeding for the re-determination of the sanction to be imposed on the company Metalmeccanica Fracasso S.p.A., for the violation established by the aforementioned provision no. 23931 of September 28, 2012, in contradiction with the Party, in compliance with the decision of the Council of State no. 3291 of June 9, 2015;</w:t>
      </w:r>
    </w:p>
    <w:p>
      <w:r>
        <w:t>NOTING all the acts of the proceeding;</w:t>
      </w:r>
    </w:p>
    <w:p>
      <w:r>
        <w:t>CONSIDERING the following:</w:t>
      </w:r>
    </w:p>
    <w:p>
      <w:r>
        <w:t>I. THE PARTY</w:t>
        <w:br/>
        <w:t>1. Metalmeccanica Fracasso S.p.A. in liquidation (hereinafter Mefra), under Italian law, is the holding company of the Fracasso group active in the production and sale of road safety systems (metal safety devices) and other products (noise barriers, metal scaffolding, metal pipes, retaining walls, guardrails and carpentry, grain and rice storage systems, civil and industrial buildings, chemical plants, bridges, heavy carpentry). The share capital of Mefra is held by two individuals who are members of the eponymous family.</w:t>
      </w:r>
    </w:p>
    <w:p>
      <w:r>
        <w:t>2. In December 2007, Mefra transferred its industrial and commercial business branch to the newly established company Fracasso S.p.A., which is wholly owned. In March 2013, Mefra initiated dissolution and liquidation procedures, subsequently enrolling, in October of the same year, in the preventive agreement procedure, the provision of which was adopted by the Court of Venice in April 2014.</w:t>
      </w:r>
    </w:p>
    <w:p>
      <w:r>
        <w:t>3. The total national turnover achieved by Mefra during the 2006 financial year (the last full year of participation in the established infringement) was [49-100] million euros, of which [10-49] million was generated in relation to safety products. The total turnover achieved by Fracasso S.p.A. during the 2011 financial year (the last financial year closed prior to the notification of the warning referred to in provision no. 23931 of September 28, 2012) was [100-492] million euros.</w:t>
      </w:r>
    </w:p>
    <w:p>
      <w:r>
        <w:t>II. THE PROCEEDING I723 – MARKET OF ROAD BARRIERS</w:t>
        <w:br/>
        <w:t>4. With its provision no. 23931 of September 28, 2012 for case I723 – Market of road barriers, the Authority established that several companies, including Mefra, had engaged in a violation of Article 101 of the Treaty on the Functioning of the European Union (TFEU), creating a restrictive agreement on competition in the national market for metal road safety devices.</w:t>
      </w:r>
    </w:p>
    <w:p>
      <w:r>
        <w:t>5. Specifically, this involved a horizontal agreement implemented throughout the national territory among almost all manufacturers of metal safety devices. This resulted in serious restrictions on competition arising from the alteration of the physiological market mechanisms and proper competitive comparison, leading to significant mutual conditioning of the individual commercial policies and strategic positioning of the cartel members. In detail, the case in question consisted of a unique and complex agreed practice, based on a structured and continued conduct over time (from January 2003 to May 2007), aimed at market allocation and the setting of reference prices, also carried out through exchanges of sensitive strategic information. The agreement in question was realized during the relevant period using the Comast consortium (Consortium for Metal Road Products, dissolved in 2007) as a place, vehicle, and instrument to implement anti-competitive conduct, thus playing an instrumental role in the realization and concrete functioning of the cartel.</w:t>
      </w:r>
    </w:p>
    <w:p>
      <w:r>
        <w:t>6. Due to the aforementioned competitive violation, in particular concerning Mefra, the Authority ordered, with its provision no. 23931 of September 28, 2012, the application of an administrative pecuniary sanction amounting to 11,013,165.40 euros.</w:t>
      </w:r>
    </w:p>
    <w:p>
      <w:r>
        <w:t>7. In detail, for this quantification of the sanction - according to the Authority's practice in force at the time - the methods and calculation criteria indicated in the relevant community guidelines were used, in compliance with what is provided by Law no. 287/90 (Article 15, paragraph 1) regarding the maximum limit of 10% of the total turnover of the company.</w:t>
      </w:r>
    </w:p>
    <w:p>
      <w:r>
        <w:t>8. Consequently, the starting point for calculating the base amount of the fine was the value of the sales of the goods/services to which the infringement referred, related to the geographical area concerned and the last full year of participation in the infringement itself. In this case, it was therefore the specific turnover of the Parties related to the production and marketing of metal road safety barriers, in the national market and in the year 2006, amounting to [10-49] million euros for Mefra.</w:t>
      </w:r>
    </w:p>
    <w:p>
      <w:r>
        <w:t>9. The aforementioned starting point for the calculation was multiplied by a percentage, set for all Parties at [omitted], which reflected the severity of the infringement. The amount thus obtained was then multiplied by the number of years of duration of the infringement, which was, specifically for Mefra, 4.5 years. Finally, no deterrent amounts or mitigating or aggravating circumstances were applied to the base amounts thus obtained, for all Parties and therefore also for Mefra.</w:t>
      </w:r>
    </w:p>
    <w:p>
      <w:r>
        <w:t>10. The final amount of the sanction imposed on Mefra thus amounted to 11.02 million, then slightly reduced to 11.01 million euros due to the operation of the maximum limit.</w:t>
      </w:r>
    </w:p>
    <w:p>
      <w:r>
        <w:t>III. THE COUNCIL OF STATE'S JUDGMENT</w:t>
        <w:br/>
        <w:t>11. With its judgment no. 3291/2015, the Council of State (doc. I.1, doc. I.2) confirmed the finding - made by the Authority with the I723/Market of road barriers investigation - of the aforementioned anti-competitive behaviors, in the form of a restrictive agreement on competition, carried out during the period from January 2003 to May 2007 by various producers of metal safety elements, including Mefra.</w:t>
      </w:r>
    </w:p>
    <w:p>
      <w:r>
        <w:t>12. In particular, the Council of State fully confirmed the first instance judgment on the Authority's actions, and also confirmed the approach in terms of a restrictive agreement by object for which, therefore, the identification of the related effects is not necessary.</w:t>
      </w:r>
    </w:p>
    <w:p>
      <w:r>
        <w:t>13. However, the administrative judge annulled the amount of the sanction imposed on Mefra, delegating its new quantification to the Authority. In concrete terms, the Council of State indicated the following elements to be considered for this purpose: “the duty for the Authority to consider the actual revenues obtained by the subject that engaged in such behavior as a result of the contested illegality, as well as the extent of its possible contribution to the agreement itself”; or, in other words, “the revenues obtained by the sanctioned company as a result of the illegal behavior, and its contribution to the formation of the illegal agreement are not adequately specified by the Authority.”</w:t>
      </w:r>
    </w:p>
    <w:p>
      <w:r>
        <w:t>14. In order to comply with this judgment, the Authority, with its provision no. 25608 of September 3, 2015, initiated the present proceeding for the re-determination of the sanction to be imposed on Mefra, for the violation already established with the aforementioned provision no. 23931 of September 28, 2012, in contradiction with the Party itself (doc. I.3).</w:t>
      </w:r>
    </w:p>
    <w:p>
      <w:r>
        <w:t>IV. THE PARTY'S ARGUMENTS</w:t>
        <w:br/>
        <w:t>15. The position of the Party was particularly illustrated to the Offices during the hearing held on November 12, 2015 (doc. I.9). In this context, Mefra preliminarily specified that it is currently in a preventive agreement procedure, as a consequence of the sanction imposed by the Authority with the resulting difficulties encountered with the financing banks. In this regard, according to the company, in the re-determination of the sanction, the Authority should consider, pursuant to the Commission's Guidelines, Mefra's turnover for the last year (2014, and no longer 2011), which is zero given the current condition of the company.</w:t>
      </w:r>
    </w:p>
    <w:p>
      <w:r>
        <w:t>16. For the rest, the Party specified that the initial choice of the company to participate in the Comast consortium was primarily driven by product Research &amp; Development objectives, particularly to address issues related to homologations and certifications required by the main operators on the demand side (Anas and Autostrade per l’Italia). At that time, according to Mefra, there was a need to promote research, essential for improving the performance of safety products; improvements also imposed by subsequent technical regulations; as well as the need to evaluate a series of circumstances affecting its business activity, particularly with reference to the dynamics of fluctuation of</w:t>
      </w:r>
    </w:p>
    <w:p>
      <w:r>
        <w:rPr>
          <w:b/>
        </w:rPr>
        <w:t>[Pages 7–9]</w:t>
      </w:r>
    </w:p>
    <w:p>
      <w:r>
        <w:t>BULLETIN NO. 49 OF JANUARY 18, 2016 9</w:t>
      </w:r>
    </w:p>
    <w:p>
      <w:r>
        <w:t>there was indeed a product quality issue (safety barriers), and therefore there was a need to define common quality standards among producers, also due to the fact that it was a time when, in particular, Autostrade per l’Italia had begun to consider concrete barriers (so-called new jersey).</w:t>
      </w:r>
    </w:p>
    <w:p>
      <w:r>
        <w:t>A second reason put forward by Mefra for the company's participation in Comast was related to the common desire with other producers to increase competitiveness against foreign operators who were entering the national market at that time, also in light of the high standards that, conversely, foreign markets required.</w:t>
      </w:r>
    </w:p>
    <w:p>
      <w:r>
        <w:t>17. According to Mefra, when the participating producers in Comast discussed prices, they did so with reference to the prices of raw materials for the production of barriers, steel, and zinc (the values of which had significantly increased due to the alleged concentration processes ongoing in those markets).</w:t>
      </w:r>
    </w:p>
    <w:p>
      <w:r>
        <w:t>18. Also during the hearing, Mefra finally specified that it had "reduced" its participation in Comast even before the events related to proceeding I723, particularly starting from 2001, and this was due both to the appointment of its Legal Representative in another association and to the diminishing of the main reason for which Mefra had - according to its own statements - entered the consortium (the aforementioned Research &amp; Development objectives of the product).</w:t>
      </w:r>
    </w:p>
    <w:p>
      <w:r>
        <w:t>19. In its memorandum referred to in doc. I.9 attached 1 (which also contains observations on the merits of the antitrust infringement that, however, fall outside the provisions of the administrative judge), Mefra preliminarily confirmed its status as an inactive and in liquidation company.</w:t>
      </w:r>
    </w:p>
    <w:p>
      <w:r>
        <w:t>Due to this status, the Party requests a "reduction of the originally imposed sanction amount, if not even its complete elimination, in light of the changed economic conditions of the company, failing which the latter will certainly not be able to meet the payment," hinting - albeit with reference to the Guidelines of the Commission of 2006 - at the possibility for the Authority to recognize the "lack of contributory capacity" or to impose "a symbolic fine."</w:t>
      </w:r>
    </w:p>
    <w:p>
      <w:r>
        <w:t>20. Regarding the specifics of Mefra's contribution to the agreement, the company emphasizes (doc. I.9 attached 1):</w:t>
        <w:br/>
        <w:t>* that it did not apply Comast prices ("it is undoubted - or at least there is no contrary evidence - that it, during the contested period, implemented a pricing policy that was absolutely autonomous compared to that of the other companies in the Consortium, having never applied the prices contained in the so-called Comast price list");</w:t>
        <w:br/>
        <w:t>* that it participated in very few Comast meetings ("the only charge that can be made against Mefra is that it participated in very few Comast meetings");</w:t>
        <w:br/>
        <w:t>* the cost of raw materials, and especially steel. All this also in order to assist public and private clients in adjusting their requests to the complex, continuously evolving regulations, also of European origin.</w:t>
      </w:r>
    </w:p>
    <w:p>
      <w:r>
        <w:t>6 "Mefra, precisely as a result of the imposition of such an abnormal amount of the sanction, during the appeal proceedings, has definitively ceased its activity and, after being placed in liquidation, was admitted, on April 1, 2014, to the preventive agreement procedure which has a liquidating nature."</w:t>
      </w:r>
    </w:p>
    <w:p>
      <w:r>
        <w:t>7 Or a "substantial reduction of the sanction amount compared to that originally applied to the company."</w:t>
      </w:r>
    </w:p>
    <w:p>
      <w:r>
        <w:t>8 Guidelines for the calculation of fines imposed in application of Article 23, paragraph 2, letter a), of Regulation (EC) No. 1/2003, European Commission, 2006.</w:t>
      </w:r>
    </w:p>
    <w:p>
      <w:r>
        <w:t>10 BULLETIN NO. 49 OF JANUARY 18, 2016</w:t>
      </w:r>
    </w:p>
    <w:p>
      <w:r>
        <w:t>* that it did not have a prominent role within Comast ("there is no evidence - for what is relevant here - that it played an organizational role within the Consortium, having indeed expressed several times during the meetings its intention to exit it").</w:t>
      </w:r>
    </w:p>
    <w:p>
      <w:r>
        <w:t>21. Furthermore, according to what Mefra itself indicated, "the Board of Directors of Comast was made up of all the sanctioned companies without, therefore, a predominant presence of one or more of them that could direct the life of the entity." Moreover, "it is true that individuals related to Mefra ([omissis]) held the position of Vice President, but the power attributed, moreover jointly with the President ([omissis]) representing another sanctioned company [Imeva], was related only to the ordinary management of the Consortium" (doc. I.9 attached 1).</w:t>
      </w:r>
    </w:p>
    <w:p>
      <w:r>
        <w:t>22. A second memorandum from the Party (doc. I.12) focuses in greater detail on the changed economic and financial conditions of Mefra, as a company currently inactive and in the liquidation and preventive agreement procedure.</w:t>
      </w:r>
    </w:p>
    <w:p>
      <w:r>
        <w:t>Consequently, according to the Party, the year to be taken as a reference for calculating the maximum statutory threshold, as well as for assessing the "contributory capacity" of the company (pursuant to the Community Guidelines of 2006), is 2014 (as it is the year prior to the conclusion of the present sanction reassessment proceeding), and not 2011 (as previously assessed by the Authority).</w:t>
      </w:r>
    </w:p>
    <w:p>
      <w:r>
        <w:t>This is because, according to Mefra, it is necessary to "consider the turnover related to a different time period, namely that realized in the year preceding the adoption of the measure imposing the sanction. And this in compliance with the principle of proportionality," as the statutory limit of 10% is anchored "to the turnover of the financial year preceding the adoption of the decision imposing the sanction."</w:t>
      </w:r>
    </w:p>
    <w:p>
      <w:r>
        <w:t>On this point, the Party also points out the "serious prejudice" that a sanction against Mefra would cause to creditors, as the liquidator would have to subtract resources intended for their satisfaction.</w:t>
      </w:r>
    </w:p>
    <w:p>
      <w:r>
        <w:t>23. Furthermore, the technical-accounting expert report attached by Mefra (doc. I.12) indicates that the company would not have obtained "any advantage" from participating in the agreement, as "all the revenues" it obtained during the period in question would have derived "exclusively from the normal business operations in the reference market."</w:t>
      </w:r>
    </w:p>
    <w:p>
      <w:r>
        <w:t>In particular, the conclusion reached by the expert report is as follows: "from the economic and financial analysis of the company Fracasso S.p.A. and the Consolidated Metalmeccanica Fracasso S.p.A.</w:t>
      </w:r>
    </w:p>
    <w:p>
      <w:r>
        <w:t>9 In detail, Mefra notes the following: "regarding the year 2003, there is only one meeting convened by Mefra in the records, while all other meetings were convened by the company San Marco; moreover, the few minutes found (March 20, 2003; April 18, 2003; May 7, 2003; June 19, 2003; July 3, 2003) do not account for the presence of those attending and, in any case, do not contain statements attributable to representatives of Mefra.</w:t>
      </w:r>
    </w:p>
    <w:p>
      <w:r>
        <w:t>For the year 2004, there is an agenda that the investigation indicated as belonging to Tubosider and in which there is a meeting convened by the President [omissis].</w:t>
      </w:r>
    </w:p>
    <w:p>
      <w:r>
        <w:t>Also for the year 2005, there is an agenda, not from Mefra or its representatives, with very few minutes attached and only in one of these (November 15, 2005) is [omissis] present.</w:t>
      </w:r>
    </w:p>
    <w:p>
      <w:r>
        <w:t>There are then the minutes of meetings from the year 2006, but almost all of them do not list the names of those present; in others, it is possible to ascertain the presence of [omissis] at the meetings of February 3, 2006, February 15, 2006, February 22, 2006, February 28, 2006, August 7, 2006, November 8, 2006, March 21, 2007 and the presence of [omissis] at the meetings of May 3, 2006 and September 28, 2006. In summary, out of 32 meetings, Mefra's presence is recorded (or proven) at 9 meetings in which, moreover, it is not possible to ascertain any significant contribution for the purposes of the agreement" (doc. I.9 attached 1).</w:t>
      </w:r>
    </w:p>
    <w:p>
      <w:r>
        <w:t>10 "Current and changed economic and financial conditions of the company, which has ceased all business activity, having been placed in liquidation and admitted to the preventive agreement" (doc. I.12).</w:t>
      </w:r>
    </w:p>
    <w:p>
      <w:r>
        <w:t>BULLETIN NO. 49 OF JANUARY 18, 2016 11</w:t>
      </w:r>
    </w:p>
    <w:p>
      <w:r>
        <w:t>it emerges that operating revenues from 2003 onwards are decreasing in real terms. In fact, the increases - which at first glance could lead one to believe in an improvement from a revenue and profit perspective - are due to the variation in steel prices (the fundamental raw material) which has affected purchase prices. Such increases have only been partially passed on to selling prices, resulting in a considerable reduction in margins, leading to losses generated from 2007 onwards.</w:t>
      </w:r>
    </w:p>
    <w:p>
      <w:r>
        <w:t>V. EVALUATIONS</w:t>
      </w:r>
    </w:p>
    <w:p>
      <w:r>
        <w:t>24. Preliminary observations indicate that the Party's arguments on the merits of the agreement I723 – Market for road barriers cannot be taken into consideration, as the Council of State has fully confirmed the finding of illegality of the agreement in question made by the Authority.</w:t>
      </w:r>
    </w:p>
    <w:p>
      <w:r>
        <w:t>25. As for the arguments put forward by the Party for the purpose of reassessing the sanction, the year to be taken as a reference for calculating the maximum statutory threshold is 2011, and not 2014 as invoked by the Party. In this regard, it suffices to note that the literal text of Article 15(1) of Law No. 287/90 expressly refers to the "turnover realized in the last financial year closed prior to the notification of the warning," which was indeed notified to the Parties in 2012 with the resolution (in September 2012) of the final measure of the investigation proceeding I723.</w:t>
      </w:r>
    </w:p>
    <w:p>
      <w:r>
        <w:t>It is also noted that the reference year for the calculation must remain 2011 and not 2014, as the sanction reassessment procedure performs an evaluation of 'now for then', that is, it conducts a present-time substitute analysis of that of the time considering the conditions present at that moment.</w:t>
      </w:r>
    </w:p>
    <w:p>
      <w:r>
        <w:t>26. Nor are there the prerequisites for the application of the provision regarding the lack of contributory capacity (invoked by the Party pursuant to the Guidelines of the Commission of 2006). From this perspective, it is noted that there is a lack of causal link between the sanction and the prejudice to the economic profitability of the Company with the consequent exit from the market: the company has in fact already exited the market, regardless of the sanction.</w:t>
      </w:r>
    </w:p>
    <w:p>
      <w:r>
        <w:t>27. Nor can the provision - similarly invoked by the Party - regarding the imposition of a symbolic fine be invoked, as this is evidently not the provision of the administrative judge who, as seen, confirmed the seriousness of the infringement in question.</w:t>
      </w:r>
    </w:p>
    <w:p>
      <w:r>
        <w:t>28. Coming to the methods to be followed for the purpose of reassessment, as seen, the administrative judge indicated the criteria of the effectiveness of the revenues obtained by the Party as a result of the infringement, and of the contribution it provided to the agreement.</w:t>
      </w:r>
    </w:p>
    <w:p>
      <w:r>
        <w:t>That said, the reevaluation of Mefra's position from a sanctioning perspective is carried out based on the elements that emerged during the investigation, in contradiction with the Party itself.</w:t>
      </w:r>
    </w:p>
    <w:p>
      <w:r>
        <w:t>29. In particular, during the present proceeding, the following elements have emerged:</w:t>
        <w:br/>
        <w:t>(a) except for one occasion (meeting of February 5, 2003), Mefra has never convened meetings (for the remaining 19 available convocations for 2003, the signing entity is the company San Marco S.p.A. – Mechanical Construction Industry in liquidation; for 2004, the 23 reconstructed meetings derive from notes in an agenda of the company Tubosider S.p.A. and the only</w:t>
      </w:r>
    </w:p>
    <w:p>
      <w:r>
        <w:rPr>
          <w:b/>
        </w:rPr>
        <w:t>[Pages 10–12]</w:t>
      </w:r>
    </w:p>
    <w:p>
      <w:r>
        <w:t>12 BULLETIN NO. 49 OF JANUARY 18, 2016</w:t>
      </w:r>
    </w:p>
    <w:p>
      <w:r>
        <w:t>The only available convocation is from the companies San Marco S.p.A. – Industria Costruzioni Meccaniche in liquidation and Industria Meccanica Varricchio – I.Me.Va. S.p.A.; for 2005, the 13 reconstructed meetings derive from notes in an agenda of the company Tubosider S.p.A. and in notes from the company Industria Meccanica Varricchio – I.Me.Va. S.p.A.; for the 13 available convocations for 2006, the signing party is the consortium Comast; similarly, for the 7 available convocations for 2007, the signing party is Comast);</w:t>
      </w:r>
    </w:p>
    <w:p>
      <w:r>
        <w:t>(b) in some circumstances (particularly in the case of handwritten notes related to the meeting of February 15, 2006, in the records of the investigative proceeding I723 – Market for Road Barriers), Mefra appears to have taken a more reserved position regarding the cartel dynamics: “Surety discussion: blocked by Fracasso. Fracasso is not available to reason in OS12. [Marcegaglia] and [Imeva] say that with the meeting of the owners [Fracasso] was in a different position. [Imeva] recalls what was said at the owners' meeting, namely downstream division of OS12, the only risk is the trust”;</w:t>
      </w:r>
    </w:p>
    <w:p>
      <w:r>
        <w:t>“Highways discussion: according to Comast, is it brought in quota? [Fracasso] asks what we do, do we find logics or each for himself?” “[San Marco] says that decisions should have been made upstream, today it is late. [Fracasso] claims the right for each to go their own way even with appeals to the awarding system. Marcegaglia does not agree that [Fracasso] is causing chaos.”</w:t>
      </w:r>
    </w:p>
    <w:p>
      <w:r>
        <w:t>30. Therefore, based on the aforementioned criteria indicated by the Council of State, it can be considered that, in relation to the agreement established by the Authority's provision no. 23931 of September 28, 2012, Mefra provided a lesser contribution to this agreement, from which a lesser advantage in terms of “effectiveness of the revenues achieved by the subject that engaged in such behavior” likely arose.</w:t>
      </w:r>
    </w:p>
    <w:p>
      <w:r>
        <w:t>What precedes allows for the application of a reduction of the sanction to be imposed on Mefra as a mitigating circumstance.</w:t>
      </w:r>
    </w:p>
    <w:p>
      <w:r>
        <w:t>31. In particular, based on the elements on record, with reference to the described ruling of the Council of State, two mitigating circumstances in favor of the company Mefra are identified, one related to the lesser contribution to the agreement and the other to the lesser advantage in terms of “effectiveness of the revenues achieved by the subject that engaged in such behavior.”</w:t>
      </w:r>
    </w:p>
    <w:p>
      <w:r>
        <w:t>These mitigating circumstances are quantified each at a percentage of 15% - which is also the maximum provided for the impact of each individual mitigating circumstance on the base amount in the Authority's Guidelines on the quantification of sanctions - for a total of 30%.</w:t>
      </w:r>
    </w:p>
    <w:p>
      <w:r>
        <w:t>VI. THE REDETERMINATION OF THE SANCTION</w:t>
      </w:r>
    </w:p>
    <w:p>
      <w:r>
        <w:t>32. In detail, the specific turnover of Mefra related to the production and marketing of metal road safety barriers, in the national market and in the year 2006, is as seen equal to [10-49] million euros.</w:t>
      </w:r>
    </w:p>
    <w:p>
      <w:r>
        <w:t>This starting point is multiplied by the percentage of [omitted], related to the severity of the infringement, and by the years of duration of Mefra's infringement (4.5 years).</w:t>
      </w:r>
    </w:p>
    <w:p>
      <w:r>
        <w:t>11 “Guidelines on the application of the criteria for the quantification of administrative pecuniary sanctions imposed by the Authority in application of Article 15, paragraph 1, of Law no. 287/90,” adopted by the Authority on October 22, 2014.</w:t>
      </w:r>
    </w:p>
    <w:p>
      <w:r>
        <w:t>BULLETIN NO. 49 OF JANUARY 18, 2016</w:t>
      </w:r>
    </w:p>
    <w:p>
      <w:r>
        <w:t>On the base amount thus obtained, in light of the considerations made above, the application to Mefra of a reduction of the sanction equal to 30% (corresponding to 15% for the lesser contribution to the agreement and 15% for the lesser advantage in terms of “effectiveness of the revenues achieved”) is considered appropriate, thus obtaining the final amount of 7,714,083.04 euros, well below the maximum statutory limit.</w:t>
      </w:r>
    </w:p>
    <w:p>
      <w:r>
        <w:t>All of the above having been stated and considered,</w:t>
      </w:r>
    </w:p>
    <w:p>
      <w:r>
        <w:t>RESOLVES</w:t>
      </w:r>
    </w:p>
    <w:p>
      <w:r>
        <w:t>that the administrative pecuniary sanction to be applied to the company Metalmeccanica Fracasso S.p.A., for the behaviors attributed to it in the Authority's provision no. 23931 of September 28, 2012, and in compliance with the ruling of the Council of State, section VI, of June 9, 2015, no. 3291, is to be redetermined in the amount of 7,714,083.04 euros.</w:t>
      </w:r>
    </w:p>
    <w:p>
      <w:r>
        <w:t>The above administrative pecuniary sanction must be paid within ninety days from the notification of this provision by direct payment to the Revenue Collection Service Concessionaire or by delegation to the bank or Poste Italiane S.p.A., presenting the model attached to this provision, as provided by Legislative Decree July 9, 1997, no. 237.</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concessionaire for collection. In this case, the increase absorbs the late interest accrued during the same period.</w:t>
      </w:r>
    </w:p>
    <w:p>
      <w:r>
        <w:t>Notification of payments made must be communicated immediately to the Authority, by sending a copy of the model certifying the payment made.</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rPr>
          <w:b/>
        </w:rPr>
        <w:t>[Pages 13–15]</w:t>
      </w:r>
    </w:p>
    <w:p>
      <w:r>
        <w:t>BULLETIN NO. 49 OF JANUARY 18, 2016 15</w:t>
      </w:r>
    </w:p>
    <w:p>
      <w:r>
        <w:t xml:space="preserve">AL14 - COOP ITALIA-CENTRALE ADRIATICA/CONTRACTUAL CONDITIONS WITH SUPPLIERS  </w:t>
        <w:br/>
        <w:t xml:space="preserve">Provision No. 25797  </w:t>
        <w:br/>
        <w:t xml:space="preserve">THE ANTITRUST AUTHORITY  </w:t>
        <w:br/>
        <w:t xml:space="preserve">IN ITS MEETING of December 22, 2015;  </w:t>
        <w:br/>
        <w:t xml:space="preserve">HEARD the Rapporteur Dr. Gabriella Muscolo;  </w:t>
        <w:br/>
        <w:t xml:space="preserve">HAVING REGARD to Article 62 of Decree Law January 24, 2012, No. 1, containing Urgent Provisions for Competition, Infrastructure Development, and Competitiveness, converted with amendments by Law March 24, 2012 No. 27, and subsequent amendments (hereinafter, D.L. 1/2012);  </w:t>
        <w:br/>
        <w:t xml:space="preserve">HAVING REGARD to the Decree of October 19, 2012, No. 199, of the Ministry of Agricultural, Food and Forestry Policies Implementation Regulation of Article 62 of Decree Law January 24, 2012, No. 1 containing urgent provisions for competition, infrastructure development, and competitiveness converted with amendments by Law March 24, 2012 No. 27 (hereinafter, Implementation Decree);  </w:t>
        <w:br/>
        <w:t xml:space="preserve">HAVING REGARD to the “Regulation on investigative procedures concerning the discipline of commercial relations regarding the transfer of agricultural and food products” adopted by resolution of the Authority on February 6, 2013, No. 24220 (hereinafter, Regulation on investigative procedures);  </w:t>
        <w:br/>
        <w:t xml:space="preserve">HAVING REGARD to its provisions of June 18, 2015, with which inspections were ordered, pursuant to Article 62, paragraph 8, of D.L. 1/2012 and Article 10 of the Regulation on investigative procedures, at the premises of the cooperative companies Coop Italia S.c. a r.l. and Centrale Adriatica S.c. a r.l.;  </w:t>
        <w:br/>
        <w:t xml:space="preserve">HAVING REGARD to its resolution of September 30, 2015, with which the deadline for concluding the procedure was extended, pursuant to Article 7, paragraph 3, of the Regulation on investigative procedures;  </w:t>
        <w:br/>
        <w:t>HAVING REGARD to the acts of the procedure;</w:t>
      </w:r>
    </w:p>
    <w:p>
      <w:r>
        <w:t xml:space="preserve">I. THE PARTIES  </w:t>
        <w:br/>
        <w:t xml:space="preserve">1) The reported operators  </w:t>
        <w:br/>
        <w:t xml:space="preserve">1. Coop Italia S.c. a r.l. (hereinafter also Coop Italia, CI or the “distributor”) is a second-degree consortium comprising more than one hundred consumer cooperatives active in the GDO sector, along with other companies, including consortia, established among these cooperatives and/or controlled by, or connected to, these cooperatives. Among the consumer cooperatives adhering to Coop Italia, there are, in particular, 9 large cooperatives (Coop Adriatica, Nova Coop, Coop Lombardia, Coop Liguria, Coop Nordest, Coop Estense, Unicoop Firenze, Unicoop Tirreno, Coop Centro Italia, and Ipercoop Sicilia), which cover about two-thirds of the total turnover (amounting, in 2013, to approximately 12.7 billion euros), while the remaining ones are medium-small in size, operating substantially on a provincial or interprovincial scale or with a limited number of sales points at the local level.  </w:t>
        <w:br/>
        <w:t>1 The COOP network consists of nearly 1600 sales points, with a multichannel structure essentially formed by supermarkets and hypermarkets (Nielsen Guide Edition February 2015 “GNLC: The Map of Distribution - data as of December 31, 2014”).</w:t>
      </w:r>
    </w:p>
    <w:p>
      <w:r>
        <w:t xml:space="preserve">16 BULLETIN NO. 49 OF JANUARY 18, 2016  </w:t>
        <w:br/>
        <w:t xml:space="preserve">Together, the cooperatives adhering to Coop Italia constitute the so-called Coop system, active in 17 Italian regions and the leading operator at the national level, with a share of approximately 14.3%.  </w:t>
        <w:br/>
        <w:t xml:space="preserve">The turnover of Coop Italia, in 2014, was approximately 256 million euros.  </w:t>
        <w:br/>
        <w:t xml:space="preserve">2. Centrale Adriatica S.c.a.r.l. (hereinafter also, Centrale Adriatica or CA) is a consortium formed by 9 consumer cooperatives (including the three large cooperatives Coop Adriatica, Coop Estense, and Coop Nord Est) and capital companies controlled by them or connected to them, part of the Coop system of the Adriatic District.  </w:t>
        <w:br/>
        <w:t xml:space="preserve">The turnover of Centrale Adriatica, in 2014, was approximately 2.6 billion euros.  </w:t>
        <w:br/>
        <w:t xml:space="preserve">2) The reporting operator  </w:t>
        <w:br/>
        <w:t xml:space="preserve">3. Celox Trade S.r.l. (hereinafter also Celox or the “supplier”) is a company active in the processing, packaging, and wholesale trade of fresh fruit and vegetable products. Celox was a supplier of pears to Coop from 1998 to 2014, both of domestic production and imported from abroad, both under the COOP brand (so-called private label) and unbranded (so-called conventional). Specifically, through the consortium Centrale Adriatica, Celox was a supplier to Coop Adriatica in the Emilia Romagna and Marche regions (and occasionally also in Veneto and Friuli Venezia Giulia).  </w:t>
        <w:br/>
        <w:t>Celox achieved a turnover of approximately 5 million euros in 2013 and approximately 2 million euros in 2014.</w:t>
      </w:r>
    </w:p>
    <w:p>
      <w:r>
        <w:t xml:space="preserve">II. THE CONDUCTS SUBJECT TO THE PROCEDURE  </w:t>
        <w:br/>
        <w:t xml:space="preserve">4. The procedure concerns the commercial conduct carried out, after October 24, 2012 (the date of entry into force of Article 62 of D.L. 1/2012), by Coop Italia and Centrale Adriatica towards their supplier of pears Celox Trade. Such conduct consists in particular of:  </w:t>
        <w:br/>
        <w:t xml:space="preserve">A) the provision within annual letters concerning “Our supplies to your associates,” prepared by Coop Italia and signed by Celox Trade in the years 2012, 2013, and 2014, of a series of contractual conditions imposed on the supplier, such as discounts on the list price (so-called “contractual discounts”) and fees to be paid to the distributor, not subject to specific negotiation between the parties;  </w:t>
        <w:br/>
        <w:t xml:space="preserve">B) the application, during the relationship, of additional so-called “extracontractual” discounts, additional to the “contractual discounts” and linked to the implementation of the “national promotional plan,” defined and agreed upon by Coop Italia and Centrale Adriatica and subsequently communicated to Celox Trade;  </w:t>
        <w:br/>
        <w:t>C) the unilateral termination, by Coop Italia and Centrale Adriatica, of the supply relationship with Celox Trade carried out through: i. the cancellation of orders for foreign pears and the significant reduction of those for domestic pears, by Centrale Adriatica, in the early months of 2014, in light of the lack of prior agreement on supply quantities (or at least, on the criteria for defining them) and despite the commercial conditions valid for all of 2014 having been defined; ii. the granting of inadequate notice concerning the peculiar relationship between the parties, in the formal termination letter of the supply contract sent by Coop Italia to Celox Trade only on July 21, 2014.</w:t>
      </w:r>
    </w:p>
    <w:p>
      <w:r>
        <w:t xml:space="preserve">III. THE OUTCOMES OF THE PROCEDURE  </w:t>
        <w:br/>
        <w:t xml:space="preserve">1) The course of the procedure  </w:t>
        <w:br/>
        <w:t xml:space="preserve">5. In relation to the commercial conduct described above, reported by Celox, on June 24, 2015, the initiation of the AL14 investigative procedure, adopted on June 18, 2015, aimed at verifying any violation of Article 62, paragraphs 1 and 2, letters a) and e), of D.L. No. 1/12 and Article 4, paragraphs 1 and 2, of the Implementation Decree, was communicated to Coop Italia and Centrale Adriatica; at the same time, inspections were conducted at the legal offices of both cooperative companies.  </w:t>
        <w:br/>
        <w:t xml:space="preserve">6. Celox Trade submitted its statements on July 14, 2015, October 29, 2015, and December 2, 2015. The reporting company was heard in a hearing on October 30, 2015.  </w:t>
        <w:br/>
        <w:t xml:space="preserve">7. Coop Italia submitted its defensive statements on September 15, 2015, and December 2, 2015. The cooperative company was heard in a hearing on October 16, 2015.  </w:t>
        <w:br/>
        <w:t xml:space="preserve">8. Centrale Adriatica submitted its defensive statements on September 15, 2015, and December 2, 2015. The cooperative company was heard in a hearing on October 19, 2015.  </w:t>
        <w:br/>
        <w:t xml:space="preserve">9. The Authority, in its meeting of September 30, 2015, decided to extend the deadline for concluding the procedure to December 30, 2015, as provided for by Article 7, paragraph 3, of the “Regulation on investigative procedures.”  </w:t>
        <w:br/>
        <w:t xml:space="preserve">10. On November 12, 2015, the date of conclusion of the investigative phase was communicated to the Parties pursuant to Article 16, paragraph 1, of the “Regulation on investigative procedures,” granting them a period of 20 days for the submission of statements and documents.  </w:t>
        <w:br/>
        <w:t>11. On December 2, 2015, Coop Italia and Centrale Adriatica requested that a final hearing be held before the College. With a letter dated December 16, 2015, the Parties were informed that the request could not be accepted, in light of the provisions of Articles 9 Requests for information and hearings and 12 Closure of the investigation of the “Regulation on investigative procedures.”</w:t>
      </w:r>
    </w:p>
    <w:p>
      <w:r>
        <w:rPr>
          <w:b/>
        </w:rPr>
        <w:t>[Pages 16–18]</w:t>
      </w:r>
    </w:p>
    <w:p>
      <w:r>
        <w:t>18 BULLETIN NO. 49 OF JANUARY 18, 2016</w:t>
        <w:br/>
        <w:t>investigations”, also taking into account the fact that, in compliance with the principle of adversarial proceedings, both operators had already been heard in specific pre-procedural hearings.</w:t>
      </w:r>
    </w:p>
    <w:p>
      <w:r>
        <w:t>2) The evidence acquired</w:t>
        <w:br/>
        <w:t>2.1) The COOP system: the role of Coop Italia and Centrale Adriatica</w:t>
        <w:br/>
        <w:t>12. The COOP system is essentially structured on three levels, starting from the base: 1. consumer members, gathered in Consumer Cooperatives, 2. the Consumer Cooperatives, associated with Coop Italia, and 3. the Coop Italia consortium. Furthermore, an additional organizational level has been established, intermediate between the Consumer Cooperatives and Coop Italia, represented by two district commercial consortia: Centrale Adriatica (to which Coop Adriatica, Coop Estense, Coop Consumatori Nord-Est, Coop Reno, and other smaller cooperatives are associated) and Consorzio Nord – Ovest (to which Nova Coop, Coop Liguria, Coop Lombardia, and some smaller cooperatives are associated). These consortia, in turn associated with Coop Italia, were established with the aim of centralizing various functions of the associates, including logistics (management of a common warehouse), purchasing, and marketing.</w:t>
      </w:r>
    </w:p>
    <w:p>
      <w:r>
        <w:t>13. The relationships within the COOP system are governed by the “Statute of the COOP consortium”, the “Regulation of COOP branded products”, the “Regulation for the use of COOP Brands”, the “Regulation for the quality and safety of products in COOP sales points”, and the “Regulation on the compensation of the consortial management of Coop Italia”, compliance with which is mandatory for all associates.</w:t>
      </w:r>
    </w:p>
    <w:p>
      <w:r>
        <w:t>2.1.1) Coop Italia</w:t>
        <w:br/>
        <w:t>14. Within the COOP system, the Coop Italia consortium plays a fundamental role. In particular, based on the provisions of the “Statute of the Coop consortium”, Coop Italia carries out numerous and significant activities on behalf of and in the interest of its associates, among which the main ones are undoubtedly: i. the identification and selection of both suppliers of national interest, and all suppliers of private label products (as in the case at hand, the reporting company Celox Trade) and the definition of the related contractual and commercial purchasing conditions (so-called national conditions); ii. the centralized management of all products sold by the individual associated cooperatives, under the COOP brand.</w:t>
      </w:r>
    </w:p>
    <w:p>
      <w:r>
        <w:t>2.1.1.a) The “regulatory” contract with national interest producers and private label products</w:t>
        <w:br/>
        <w:t>15. The Coop Italia consortium identifies and selects at a centralized level, on behalf of the associated cooperatives, suppliers of national interest and suppliers of COOP branded products, entering into with them the so-called “regulatory contract for the relationships between suppliers, Coop Italia, and associated companies”, which contains general provisions regarding the basic conditions of supply.</w:t>
      </w:r>
    </w:p>
    <w:p>
      <w:r>
        <w:t>16. In the case at hand, Coop Italia concluded with Celox Trade the “regulatory contract for the relationships between suppliers, Coop Italia, and associated companies” on February 23, 1998. It is specified that Celox signed the regulatory contract with Coop Italia as, although supplying only one of the associates, namely Centrale Adriatica, it was a supplier of private label products. The negotiation with Celox has therefore taken place, since 1998, at a centralized level by Coop Italia, according to the specifications and terms illustrated in this and the following paragraphs. This peculiar centralized negotiation system has concerned the supply relationship of Celox in its “entirety”, that is, with regard to all types of pears subject to transfer to its GDO customer, both private label and conventional.</w:t>
      </w:r>
    </w:p>
    <w:p>
      <w:r>
        <w:t>17. The regulatory contract signed in 1998 provides that the purchasing conditions (for example, product quality, prices, discounts, payment conditions, invoicing, delivery terms) will be subject to further specific written agreements between the Parties, defined as “Purchasing Conditions” and/or “Specifications”, which will be considered an integral part of the regulatory contract.</w:t>
      </w:r>
    </w:p>
    <w:p>
      <w:r>
        <w:t>2.1.1.b) The so-called commercial contract or agreement</w:t>
        <w:br/>
        <w:t>18. Following the regulatory contract, which determines the “activation” of a supplier, Coop Italia annually defines the commercial conditions of the supply, which are reported in standard letters concerning “Our supplies to your associates”, prepared by the Consortium and signed by the supplier (who appears as the sender). The content of such communications is considered and indicated by Coop Italia and Centrale Adriatica as the “contract and/or commercial agreement” for annual supply.</w:t>
      </w:r>
    </w:p>
    <w:p>
      <w:r>
        <w:t>19. The letters “Our supplies to your associates” on record, signed by Celox Trade and relating to the years 2012-2014, contain the list of discounts and fees that the supplier undertakes to recognize to the distributor. In particular, the following are provided: i. “logistical discounts on the invoice on the value of the goods”, linked to the size of the individual order ([less than 1%]* for orders from 5 to 10 pallets; [less than 1%] for orders from 11 to 20 pallets; [1-5%] for orders over 20 pallets for 2012, 2013, and 2014); ii. other unconditional discounts on the invoice ([5-10%] fruit and vegetable range for 2013 and [5-10%] fruit and vegetable range for 2014); iii. “unconditional end-of-period discounts” off-invoice, recognized at the end of the quarter with a credit note ([5-10%] fruit and vegetable range for 2012, [1-5%] fruit and vegetable range for 2013); iv. a fee for “Co-marketing” activities, settled following a semi-annual promotional invoice issued by the associated Coop ([1-5%] for 2012); v. a “Compensation for the Central fruit and vegetable Coop Italia”, settled with a quarterly promotional invoice issued by Coop Italia ([less than 1%] on the total turnover with Coop associates for 2012, 2013, and 2014); vi. “Analysis fee” amounting to [0-2,000] euros (2012) and [0-2,000] euros (2013 and 2014) to be paid upon invoice issued by Coop Italia at the end of the year.</w:t>
      </w:r>
    </w:p>
    <w:p>
      <w:r>
        <w:t>20. The text on record contains no reference to either the quantities of the products subject to supply (not even indicatively) or their list price (or the method for determining it). Only in the communication concerning “Our supplies to your associates” related to the year 2014 is it specified that “The quantities will be those present on the orders of your associates.” Nothing is indicated regarding the methods of any renewal, tacit or express.</w:t>
      </w:r>
    </w:p>
    <w:p>
      <w:r>
        <w:t>21. Coop Italia clarified that the so-called commercial contract has an annual duration, without an obligation of renewal, and that there are no quantity constraints nor any purchasing commitment for the distributor: it is specifically a convention that contains the list of economic conditions that the supplier is required to apply to the Districts and/or to the associated Coops, where they decide to procure from him. Coop Italia acts in the name and on behalf of its associates (in this case of Centrale Adriatica) in the sense that where one of them decides to purchase from a “activated” and contracted supplier by Coop Italia (if and how much, is a choice left to the associates), the economic conditions defined annually by the Consortium at a central level will apply.</w:t>
      </w:r>
    </w:p>
    <w:p>
      <w:r>
        <w:t>22. With reference to the ongoing contractual relationships with its suppliers, it appears from the records that, on November 5, 2012, the day after the entry into force of Article 62 of Decree Law 1/2012, Coop Italia sent them a standard communication concerning “Letter of contract recognition for supply”, requesting their signature.</w:t>
      </w:r>
    </w:p>
    <w:p>
      <w:r>
        <w:t>2.1.1.c) The Technical Specification for Supply</w:t>
        <w:br/>
        <w:t>23 In the statements made during the inspection, representatives of Coop Italia noted that from the activation of a new supplier by the Consortium, a considerable amount of time may pass before the Districts and/or the individual associates actually make use of it, and they may never use it (see doc. 1.5 of the investigation file).</w:t>
      </w:r>
    </w:p>
    <w:p>
      <w:r>
        <w:t>24 As noted in the letter sent by Coop Italia to Celox on November 5, 2012, “the conditions of the commercial contract refer to the purchase orders sent to you by our associated Coops, and summarized in the related invoices” (See attachment 87 to doc. 1.1).</w:t>
      </w:r>
    </w:p>
    <w:p>
      <w:r>
        <w:t>25 See attachment 87 to doc. 1.1. This letter is drafted in the form of a convention between Coop Italia, in its capacity as agent of its associated companies, and the “your company”, in the capacity of supplier to the associates of Coop Italia. The text provides that the two parties of the supply contract, Coop Italia and the “your company”, considering the need to adapt the ongoing contractual relationships to the provisions of Article 62, paragraph 1, of Decree Law 1/2012 and its implementing decree, agree to proceed with a “recognition” of the current contractual conditions and to “initiate a review [of the same] to regulate the supply relationship that will occur between our associate and your company from January 1, 2013, until December 31, 2013”, as well as to “carry out the review of the ongoing supply contract between the Coop associates and your company in compliance with legal terms and good commercial practices, seeking consistency between contractual improvements and commercial performances of mutual interest.” The letter expressly provides that, in the absence of an agreement to modify and/or integrate the current commercial conditions, these will apply to the supply relationship for the entire year 2013 and also that, in the absence of written notice of termination sent by one party to the other at least one month before the expiration, the current supply contract between the “your company” and the Coop Italia associates will be deemed renewed for the subsequent calendar year under the same commercial conditions, unless otherwise agreed in writing by the parties. The letter concludes with the following invitation: “Therefore, in order to regulate this commercial agreement according to the aforementioned legal rules introduced by Article 62 of Decree Law 1/2012 and by the implementing ministerial decree, please send us a copy of the following letter of recognition signed by you for the confirmation of the conditions referred to therein, within ten days of receipt of the same.”</w:t>
      </w:r>
    </w:p>
    <w:p>
      <w:r>
        <w:rPr>
          <w:b/>
        </w:rPr>
        <w:t>[Pages 19–21]</w:t>
      </w:r>
    </w:p>
    <w:p>
      <w:r>
        <w:t>BULLETIN NO. 49 OF JANUARY 18, 2016 21</w:t>
      </w:r>
    </w:p>
    <w:p>
      <w:r>
        <w:t>23. The production of private label products, whose assortment is part of the so-called "common assortment trunk," is entirely entrusted to the Coop Italia Consortium, which is solely responsible for their design, production, and marketing. With the primary aim of ensuring specific quality characteristics of a hygienic-sanitary, commercial, and organoleptic nature for private label fruit and vegetable products, Coop Italia has prepared a "Technical Specification for Fruit and Vegetable Supply," which constitutes an integral part of the regulatory contract between the commissioning Consortium and the supplier.</w:t>
      </w:r>
    </w:p>
    <w:p>
      <w:r>
        <w:t>24. In the case at hand, it appears that Coop Italia and Celox Trade signed an initial "Supply Specification" on May 30, 2000, which was then replaced by a new "Technical Specification for Fruit and Vegetable Supply" on July 2, 2010, effective from April 20, 2010.</w:t>
      </w:r>
    </w:p>
    <w:p>
      <w:r>
        <w:t>25. By signing this document, the supplier commits to incorporating the requirements set forth in the Technical Specification into its organization and to producing fresh fruits and vegetables marked with the Client's proprietary brand, obtained from integrated production (COOP branded products) or from organic farming (Vivi Verde Coop branded products), in accordance with the product, corporate, and management specifications outlined in the Specification itself. The Specification thus specifies the characteristics of the finished products, the requirements of the production facilities, as well as the rules for managing the conditioning process, which pertains to harvesting and packaging in the field, acceptance, storage, handling, packaging, labeling, and transportation. The supplier commits to carrying out adequate controls at various stages of product management to ensure compliance with the quality characteristics required by the Client, producing suitable control plans. There are also rules regarding, for example, identification, traceability, withdrawal, and recall of the product, management of non-conformities and complaints, and the quality management system. The supplier is bound by specific confidentiality obligations regarding all information related to the production techniques of the products covered by the Specification, the violation of which entails the payment of a penalty. The Specification provides for the payment of specific penalties (depending on the articles of the Specification to which the non-compliance refers) in the event of failure to comply with the provisions contained therein by the supplier.</w:t>
      </w:r>
    </w:p>
    <w:p>
      <w:r>
        <w:t>26. During the investigation, it emerged that, in the fruit and vegetable sector, the purchase price of goods is defined by Coop Italia multiple times during the supply season. In particular, Coop Italia prepares price lists and updates them periodically (even weekly or even daily), entering them into a specific IT platform.</w:t>
      </w:r>
    </w:p>
    <w:p>
      <w:r>
        <w:t>27. From the documentation on record, it appears that neither Coop Italia, at the central level, nor Centrale Adriatica, at the district level, have made any commitments to their supplier of fruit and vegetable products regarding the quantities of goods to be ordered. This is clearly evident from the correspondence on record between the Coop Italia consortium and Celox Trade; for example, in a communication from Coop Italia to Celox dated June 12, 2014, the Consortium states: "first of all, it is reminded that no commitments have ever been made regarding the quantities to be ordered"; in another communication dated November 21, 2014, Coop Italia notes that: "the conclusion of the contractual agreements on prices did not foresee any commitment regarding the quantities subject to supply." In other communications exchanged between the parties, Coop reiterates that it has never made commitments regarding the quantities to be ordered.</w:t>
      </w:r>
    </w:p>
    <w:p>
      <w:r>
        <w:t>2.1.2) Centrale Adriatica</w:t>
      </w:r>
    </w:p>
    <w:p>
      <w:r>
        <w:t>28. Centrale Adriatica serves as the operational commercial and marketing center on behalf of the member cooperatives, providing them with goods, commercial service performances, and logistical service performances. In this capacity, Centrale Adriatica purchases products on behalf of the members, which they then market in their sales points, handling the negotiation and rationalization of supplies and managing warehouses, deposits, and laboratories for the storage, preservation, and distribution of products.</w:t>
      </w:r>
    </w:p>
    <w:p>
      <w:r>
        <w:t>29. The products purchased by Centrale Adriatica, and invoiced to it, are delivered by suppliers to its deposits (in this case, the so-called CEDI distribution centers in Forlì and San Vito) to then be resold to the individual member cooperatives (in this case, Coop Adriatica), through shipment to the sales points.</w:t>
      </w:r>
    </w:p>
    <w:p>
      <w:r>
        <w:t>30. During the investigation, it emerged that the choices among the suppliers "activated" and "contracted" by Coop Italia (through the regulatory contract and the so-called commercial contract), regarding which operators to source from and the quantities of goods to purchase, are left to the Districts and/or member cooperatives and, in this case, to Centrale Adriatica. Such decisions are made during the supply season, based on the replenishment needs expressed daily by the individual cooperatives (such as in this case Coop Adriatica). The economic conditions of the supply (prices and discounts) are those established at the centralized level by Coop Italia (with the preparation of price lists and the so-called annual commercial contract).</w:t>
      </w:r>
    </w:p>
    <w:p>
      <w:r>
        <w:t>31. Based on what was found during the inspection, Centrale Adriatica has the authority to prepare supplementary contracts (so-called local or decentralized conditions), which include specific contractual conditions related to the application of discounts or promotional performances. These decentralized conditions are added to and complement those defined at the central level by Coop Italia in the so-called commercial contract (so-called national conditions), and never replace them.</w:t>
      </w:r>
    </w:p>
    <w:p>
      <w:r>
        <w:t>32. Therefore, in practice, with regard to suppliers of fruit and vegetable products who sign the "regulatory contract" with Coop Italia, Centrale Adriatica directly orders from the "activated" and "contracted" suppliers at the central level by Coop Italia the fruit and vegetable products of its interest based on the economic conditions, price lists, and discounts defined by Coop Italia, possibly supplemented by decentralized conditions. The products purchased by Centrale Adriatica are then resold to the member cooperatives, in this case, Coop Adriatica.</w:t>
      </w:r>
    </w:p>
    <w:p>
      <w:r>
        <w:t>33. Attached to Celox's request for intervention was a supplementary contract between Celox and Centrale Adriatica dated June 14, 2006, which expired on December 31, 2006. This contract, valid only for the year 2006, does not appear to have been renewed.</w:t>
      </w:r>
    </w:p>
    <w:p>
      <w:r>
        <w:t>2.1.3) The conditions jointly defined by Coop Italia and Centrale Adriatica: the so-called "extracontractual" promotional discounts</w:t>
      </w:r>
    </w:p>
    <w:p>
      <w:r>
        <w:t>34. During the investigative proceedings, it also emerged that certain promotional conditions, specifically the discounts linked to the so-called "national promotional plan," were defined jointly by Coop Italia and Centrale Adriatica during the year.</w:t>
      </w:r>
    </w:p>
    <w:p>
      <w:r>
        <w:t>35. In particular, based on what was reported by the Parties, during the supply season, additional discounts on the list price were requested from suppliers in relation to the implementation of the promotions provided for by the so-called "national promotional plan." In particular, the "plan."</w:t>
      </w:r>
    </w:p>
    <w:p>
      <w:r>
        <w:rPr>
          <w:b/>
        </w:rPr>
        <w:t>[Pages 22–24]</w:t>
      </w:r>
    </w:p>
    <w:p>
      <w:r>
        <w:t>24 BULLETIN NO. 49 OF JANUARY 18, 2016</w:t>
        <w:br/>
        <w:t>The “national promotional” content was composed of: i. offers reserved for COOP members; ii. offers intended for all consumers and concerning, on a weekly basis, a certain number of products on promotion “in the flyer.” In both cases, promotions reserved for members and non-members, the scheduling occurred on a quarterly/quadrennial basis.</w:t>
      </w:r>
    </w:p>
    <w:p>
      <w:r>
        <w:t>36. With specific regard to the “flyer” promotions, Coop Italia clarified that the decision to carry out the promotion, and thus the choice of which products to include in the flyer, was made with adequate notice for printing, by Coop Italia and Centrale Adriatica, which then contacted the individual suppliers in order to obtain a discount on the list price.</w:t>
      </w:r>
    </w:p>
    <w:p>
      <w:r>
        <w:t>37. Centrale Adriatica specified that, during the period 2012 – 2014, both national promotional initiatives and decentralized initiatives were present. In particular, it was highlighted that the so-called national promotional plan, defined by Coop Italia together with its associates and applied nationally by all cooperatives, is being progressively abandoned. The national promotional plan is increasingly integrated by a district promotional plan, which is decided at the level of individual associates; where it concerns suppliers of national interest or private label products, Coop Italia is still involved.</w:t>
      </w:r>
    </w:p>
    <w:p>
      <w:r>
        <w:t>38. In the case at hand, the application of such promotional discounts, during the supply season, emerges from the abundant documentation produced by Celox, consisting of a series of invoices issued to Centrale Adriatica, along with a copy of the COOP product price list in force during the same period and an Excel sheet “Date sell-out Centrale Adriatica promo n° ___ from ___ to __,” containing a table indicating the product, the supplier, the percentage of discount, and the dates in stock. With reference to certain invoices, Celox also attached an email in which Coop Italia communicated the discounts to be applied (for example, “Subject: Offer nr. … from Centrale Adriatica … Max. red. Bartlett pears 70-75 from .. to … discount of [10-15%]”). The application of the discounts emerges, in particular, from the comparison between the prices indicated in the invoices issued by Celox to CA and those indicated in the price list in force for the same period, along with further communications indicating to the supplier the percentages of discount, the promotional period, and the reference product. From a summary table produced by Celox, which was not contested by either CI or CA, it emerges that, with reference to the relevant period for this case, the amount of the contested promotional discounts was approximately 82,000 euros.</w:t>
      </w:r>
    </w:p>
    <w:p>
      <w:r>
        <w:t>39. These promotional discounts were added to those already provided for at the beginning of the year, within the so-called commercial contract, resulting in discounts for the supplier Celox on the list price ranging from a minimum of [10-15%] to a maximum of [20-25%]. The overall discount that the supplier was required to grant to the distributor (i.e., contractual discounts + promotional discounts) thus amounted to approximately [30-35%] of the list price.</w:t>
      </w:r>
    </w:p>
    <w:p>
      <w:r>
        <w:t>40. With regard to the promotional discounts, it emerged that, in November 2012, several suppliers of pears, including Celox Trade, sent Coop Italia a communication in which they jointly requested a reduction of the “pear promotional discounts” as “the situation in which we are operating is not sustainable.”</w:t>
      </w:r>
    </w:p>
    <w:p>
      <w:r>
        <w:t>2.2) The supplier Celox Trade</w:t>
        <w:br/>
        <w:t>41. Celox Trade has long been a supplier to Coop Italia of various types of pears, both national and imported (for example from Argentina), both private label and unbranded, supplying the consortium Centrale Adriatica. As previously indicated, Celox signed the regulatory contract with Coop Italia on February 23, 1998, and year after year, during the supply relationship, committed to granting its GDO customer the discounts and contributions listed in the “letters of our supplies to your associates,” which it signed and sent to Coop Italia.</w:t>
      </w:r>
    </w:p>
    <w:p>
      <w:r>
        <w:t>42. In relation to its activity, Celox Trade entered into supply and subcontracting contracts, of multi-year duration, with various agricultural companies and production cooperatives.</w:t>
      </w:r>
    </w:p>
    <w:p>
      <w:r>
        <w:t>43. Throughout the duration of the relationship, supplies to Coop represented a significant part of the total turnover achieved by Celox. In particular, it appears from the records that in 2012 the percentage of turnover attributable to Coop was 72% of the total, and in 2013 it was 56% of the total. Coop represented for Celox not only the most important customer (with shares fluctuating between half and two-thirds of the turnover) but also the only customer in the GDO and the only one related to processed products in the plant.</w:t>
      </w:r>
    </w:p>
    <w:p>
      <w:r>
        <w:t>44. Specifically regarding the production and processing of private label pears, Celox Trade was required to comply with a series of product, corporate, and management specifications contained in the “Technical Specifications,” signed with Coop Italia, most recently on 2/07/2010.</w:t>
      </w:r>
    </w:p>
    <w:p>
      <w:r>
        <w:t>45. Celox noted that from 2008 to 2013, the turnover of private label products fluctuated from 48% to 55% of the total turnover of Coop pears. Coop Italia and Centrale Adriatica noted, however, that in 2013, Celox's turnover related to private label products was approximately 20% of Coop's total turnover.</w:t>
      </w:r>
    </w:p>
    <w:p>
      <w:r>
        <w:t>46. From the evidence collected, it emerges, on the one hand, that Celox represented a significant supplier for Coop, both from a quantitative and a quality perspective, and, on the other hand, that Coop was aware of the supplier's “dependency” on its GDO customer.</w:t>
      </w:r>
    </w:p>
    <w:p>
      <w:r>
        <w:t>2.3) The interruption of the Coop - Celox supply relationship</w:t>
        <w:br/>
        <w:t>47. From the documentation in the investigation file, it emerges that, in the early months of 2014, Centrale Adriatica completely canceled the orders for foreign pears and drastically reduced those for national pears placed with Celox. This occurred despite no formal termination of the supply contract having taken place and the commercial conditions for 2014 having been defined.</w:t>
      </w:r>
    </w:p>
    <w:p>
      <w:r>
        <w:t>48. In response to Celox's complaints, which requested the restoration of the usual quantitative product requests, lamenting a significant reduction in its turnover, Coop Italia justified its behavior by stating that: i. the commercial agreements for the supply of pears concluded between Celox and Coop have an annual duration and are not tacitly renewed; ii. no commitments regarding the quantities to be ordered have ever been made; iii. it had been specifically communicated to Celox for some time (at least a couple of years) the decision of the Centrale Adriatica Management, the associate recipient of the supply of pears from Celox, to “rationalize the supplier pool of fruit and vegetable products, albeit progressively”; iv. the choice to terminate the contract with Celox had been verbally specified several times “as suppliers who handled more references had been prioritized.”</w:t>
      </w:r>
    </w:p>
    <w:p>
      <w:r>
        <w:t>49. From the examination of all the documentation in the investigation file, it emerges that already in the last months of 2012 and during 2013, the supplier Celox had been informally and verbally warned of Centrale Adriatica's intention to interrupt the supply relationship, in order to reduce the number of suppliers and thus make the logistics of its warehouses more efficient and secure.</w:t>
      </w:r>
    </w:p>
    <w:p>
      <w:r>
        <w:t>50. Coop Italia sent the letter of termination of the supply contract only subsequently, on July 21, 2014, effective from the following month of December “with expiration at the conclusion of the autumn/winter pear campaign 2014/2015.”</w:t>
      </w:r>
    </w:p>
    <w:p>
      <w:r>
        <w:t>51. Following the interruption of relations with Coop, Celox discontinued the entire business branch dedicated to processed pears in the plant, ceasing its activities.</w:t>
      </w:r>
    </w:p>
    <w:p>
      <w:r>
        <w:t>3) The arguments of the Parties</w:t>
        <w:br/>
        <w:t>3.1) Celox Trade</w:t>
        <w:br/>
        <w:t>52. In the report of May 8, 2015, in the subsequent memoranda of October 29, 2015, and December 2, 2015, as well as during the hearing on October 30, Celox contested the commercial conduct of Coop Italia and Centrale Adriatica, not only in terms of violation of Article.</w:t>
      </w:r>
    </w:p>
    <w:p>
      <w:r>
        <w:rPr>
          <w:b/>
        </w:rPr>
        <w:t>[Pages 25–27]</w:t>
      </w:r>
    </w:p>
    <w:p>
      <w:r>
        <w:t>BULLETIN NO. 49 OF JANUARY 18, 2016 27</w:t>
      </w:r>
    </w:p>
    <w:p>
      <w:r>
        <w:t>62 of Decree Law 1/2012 and its implementing decree, but also under further aspects of a possible abuse of a dominant position pursuant to Article 3 of Law No. 287/90, or Article 102 of the TFEU, and a possible abuse of economic dependence pursuant to Article 9 of Law 192/1998. In particular, the company highlighted, in summary, the following circumstances:</w:t>
        <w:br/>
        <w:t>- Celox has operated, since the early 1990s, as a qualified supplier of fruit and vegetables for the specialized sector of pears in favor of Coop Italia. In relation to the supply of private label products, the technical obligations imposed within the specifications, with the provision for periodic inspections by COOP officials, were of such significance that Celox, over the years, had to almost entirely adapt its corporate structure to the needs of Coop, adopting product specialization and all the operational and structural procedures required by it. The compliance obligations and respect for the characteristics imposed at a centralized level by Coop Italia were such that Celox, although formally completely independent, found itself in fact to be a business division of Coop Italia, as its management was entirely homogenized with that of the buyer. In order to follow the product, in compliance with the rigorous technical and quality standards required, starting from production, for the phases of harvesting and subsequent selection and processing, Celox entered into multi-year contracts with the major production companies and cooperatives;</w:t>
        <w:br/>
        <w:t>- the combination of these factors led to Celox becoming the exclusive supplier of Coop within the GDO, and specifically, of its associated Coop Adriatica through the Centrale Adriatica consortium, becoming for this operator a "product specialist" company, namely pears. This situation of de facto exclusivity and strong specialization meant that throughout the duration of the relationship, supplies in favor of Coop and its consortia represented well over half of Celox's turnover, exceeding two-thirds in many years. Coop represented the only customer within the Organized Distribution, as well as the only customer related to processed products in the plant (while the remaining part of the turnover was entirely attributable to customers not belonging to the GDO and for whom no processing activity of the products was carried out but mere resale);</w:t>
        <w:br/>
        <w:t>- throughout the duration of the contractual relationship, Coop Italia unilaterally prepared letters called "Our supplies to your associates," which were sent to Celox at the end of the year for the following calendar year; Celox thus adopted them by stamping the front page and returning them to the sender. It is not correct to define such letters as "Commercial Contracts," as they lack the typical function of a contract, namely an exchange of give and take. The letters indicate, in fact, only the economic conditions, discounts, and contributions, at the supplier's expense, while no contractual guarantee regarding the quantities of product is provided; it is therefore merely a unilateral regulation of discounts and bonuses. Celox had, in fact, no real possibility to negotiate the amount of discounts and contributions provided for it, for fear of compromising the ongoing business relationship;</w:t>
        <w:br/>
        <w:t>- starting from 2008, Coop Italia began systematically imposing on Celox the application of additional significant extracontractual discounts, sometimes even retroactive, formally justified by the realization of promotions and special offers in sales to end consumers. Any request made by Coop regarding extra discounts and extracontractual promotions was imposed and suffered by Celox due to the strong contractual imbalance existing between the parties. The increase in frequency and amount of extracontractual discounts imposed by Coop became economically unsustainable over the years, not only for Celox but also for other suppliers;</w:t>
        <w:br/>
        <w:t>- Celox refused to sign the "letter of acknowledgment of supply contract," sent by Coop Italia following the entry into force of Article 62 of Decree Law 1/2012, believing that through it Coop was effectively asking to recognize the legality of the existing and past conditions; the letter was therefore never returned to the sender. It is precisely in response to Celox's failure to adhere to the content of the letter that, without any notice and without any justification, in the early months of 2014, COOP proceeded to effectively terminate the supply relationship, through a sudden and drastic reduction of orders compared to the standards that had been maintained for at least fifteen years (albeit with physiological variations in increase or decrease);</w:t>
        <w:br/>
        <w:t>- this unilateral and de facto resolution of the relationship, without any reasonable notice, caused severe harm to Celox, which found itself unable to reshape its offer or to reposition it in the market, so much so that it was forced to divest the entire business branch dedicated to processed pears in the plant, ceasing its activity. Celox had, in fact, no concrete possibility of replacing COOP with another customer: the rigid specifications of Coop, in fact, applied rigorously by Celox (with primary reflections on the upstream production chain) could not be replicated in any way at other companies, competitors of COOP in the distribution market. Also from a fiduciary and reputational point of view, it was not possible for a supplier like Celox, linked for over twenty years to a GDO customer, to replace it with a competitor, except in the long term (given that at least four years are necessary for a reconversion, also taking into account the commitments made upstream with production).</w:t>
        <w:br/>
        <w:t>3.2) Coop Italia</w:t>
        <w:br/>
        <w:t>53. In its defensive memoranda of September 15, 2015, and December 2, 2015, as well as during the hearing held on October 16, 2015, Coop Italia asserted the full correctness of its operations under the regulation of commercial relations regarding the transfer of agricultural and food products, noting, in summary, the following:</w:t>
        <w:br/>
        <w:t>- Article 62 prohibits unfair commercial practices aimed at taking advantage of the state of significant imbalance existing between the parties in a supply relationship, in order to prevent the operator with greater strength from exploiting this imbalance and obtaining an arbitrary advantage. The responsibility of an operator cannot, therefore, derive solely from the presumed existence of a power imbalance, but it must also ascertain the abusive exploitation of this situation, through the imposition of discriminatory conditions or undue and unjustified performances. If one were to erroneously attribute to the presumption of the supplier's weakness the role of proof of unfair conduct, one would end up prohibiting commercial relationships characterized by imbalance, regardless of any further assessment. If this were the interpretation of the Authority, Coop Italia would be forced to terminate every commercial relationship with small and even medium suppliers, since their nature and their presumed situation of weakness and inability to negotiate economic conditions would constitute proof of the illegality of the conduct, regardless of any examination of the concrete contractual conditions stipulated. Instead, Coop Italia favors supply relationships with small local producers. This would risk resulting in a severely distorting intervention in the physiological functioning of the market, in contrast with the very primary function of the Antitrust Authority;</w:t>
        <w:br/>
        <w:t>- that said, the indispensable prerequisite for an intervention by the Authority under Article 62 of Decree Law 1/2012 does not occur in the case at hand, namely a "significant imbalance of contractual power" between the parties in the supply relationship. Celox, in fact, is not a small fruit producer but a company that merely carries out the marketing of pears purchased for each supply from producers, both foreign and national. Celox, with its turnover in 2013, cannot be classified as a "micro-enterprise" in contractual relations with professionals under the Consumer Code (according to which the dimensional limit is 2,000,000 euros); moreover, Celox is larger than a good part of Coop's suppliers in the agri-food sector. This, in addition to being an indication of a different and greater contractual power compared to that of individual producers – who assume the risks of production and need to place their product on the market – also means that Coop did not constitute, within the geographical scope of the supply, the only interlocutor, as Celox could well identify other sales channels, where deemed more convenient. Furthermore, in assessing the contractual power of the parties, it cannot be overlooked that the supply occurred, in some areas of Emilia Romagna and Marche, exclusively in favor of Centrale Adriatica;</w:t>
        <w:br/>
        <w:t>- the fact that Celox was also a supplier of private label products did not impose any significant structural or corporate adjustment. Compliance with the technical supply specifications did not entail any additional cost for the trader Celox, who was only required to source from the producers.</w:t>
      </w:r>
    </w:p>
    <w:p>
      <w:r>
        <w:rPr>
          <w:b/>
        </w:rPr>
        <w:t>[Pages 28–30]</w:t>
      </w:r>
    </w:p>
    <w:p>
      <w:r>
        <w:t>30 BULLETIN NO. 49 OF JANUARY 18, 2016</w:t>
        <w:br/>
        <w:t>producers capable of ensuring certain quality standards, which were correspondingly compensated;</w:t>
        <w:br/>
        <w:t>- the provision, within the so-called annual commercial contract, of a series of discounts and fees in favor of the distributor does not constitute a form of imposition of "unjustifiably burdensome conditions," as such items are the result of specific negotiation between the parties and correspond to the conditions usually practiced in such contracts, reflecting market trends and having their justification in the individual activities, performances, and characteristics of the supply relationship. There is, therefore, no margin, in the contractual process followed, to find a unilateral imposition of unjustifiably burdensome conditions: the duration of the relationship, contracted year by year since 1998, only demonstrates its convenience for Celox, which has deemed it appropriate, for each year, to conclude the supply contract and only upon termination of the relationship did it intend to raise doubts about the alleged imposition of unjustified burdens and the conduct of the distributor;</w:t>
        <w:br/>
        <w:t>- there has therefore been no imposition by Coop of either conditions that can be considered burdensome or unjustifiably burdensome. Specifically, in fact: i. logistical discounts are linked to savings on costs related to logistics and distribution that the supplier achieves by making centralized deliveries and are related to the quantities of goods; ii. the discounts defined as "unconditional," or that do not depend on reaching a minimum supply quantity, are usually agreed upon based on the characteristics and modalities of the relationship and the characteristics of the distributor itself, which can impact, in terms of economic viability, the convenience of the contract for the supplier; iii. the fees related to marketing and promotional activities are aimed at contributing to the costs incurred for the promotion and development of the products subject to supply and for coordinating activities aimed at executing the supply and therefore also respond to the supplier's interest; iv. the fees related to product analysis activities are connected to the costs incurred for such activities that take place at the laboratories indicated by Coop Italia;</w:t>
        <w:br/>
        <w:t>- the purpose of sending the "Letter of Contract Recognition for Supply," was to inform all its suppliers of the new regulations and to conduct a review of the contractual supply conditions, initiating, where deemed necessary, a revision;</w:t>
        <w:br/>
        <w:t>- the application of promotional discounts cannot be considered an imposition of "extracontractual and retroactive" discounts, pursuant to Article 62, paragraph 2, letter a) of Decree Law 1/2012. They represent, in fact, conditions closely linked to promotional campaigns aimed at incentivizing sales and, therefore, also responding to the interests of the suppliers. Essentially, in defining promotions linked to a specific and limited temporal and territorial scope, suppliers were proposed, for each product category, to adhere to the campaign, negotiating the conditions and determining the extent of the discounts borne by both parties. Ultimately, promotional discounts cannot certainly be considered "extracontractual" as they are also the result of negotiation during individual promotional campaigns, nor "retroactive," as such negotiation occurred well before the launch of the promotion itself;</w:t>
        <w:br/>
        <w:t>- pursuant to Article 3, paragraph 2, of the Implementation Decree, the essential elements in written form of the contract, referred to in the first paragraph of Article 62 D.L. 1/2012 (duration, quantity and characteristics of the product, price, and methods of delivery and payment) can be contained in transfer contracts or also in subsequent documents, such as transport or delivery documents or invoices and purchase orders. Article 2, paragraph 1, letter i) of the same Decree then provides that, with reference to prices, the framework contract may identify the methods for determining the price applicable at the time of issuing the individual order, providing that reference is made to the price list. In this case, the quantity was indicated by the individual orders placed and the related invoices and was clearly ascertainable from such documents;</w:t>
        <w:br/>
        <w:t>- the reduction of orders in the early months of 2014 and then the interruption of the supply relationship, attributable to choices made by Centrale Adriatica, cannot be considered in contrast with Article 62 D.L. 1/2012. In fact, this decision resulted from the necessity of the associated Coop Consortium, which arose already in 2012, to rationalize the system of supplies of fruit and vegetable products, simplifying the commercial operations of procurement and improving logistics. This necessity was communicated immediately to Celox and discussed during several meetings with representatives of the company as well as CI, which was informed of the decision. The circumstance that, nevertheless, the commercial contract with Celox was renewed for 2013 and subsequently again for 2014 highlights the full correctness of the conduct of CA and CI, which sought to meet the needs expressed by the supplier by implementing the business choice gradually. The need to rationalize the procurement system also led to the interruption of relationships with other suppliers. Conversely, it would be clearly illegitimate to prevent an entity engaged in economic activity from making its evaluations and business choices, considering it bound indefinitely to the relationship with suppliers, which would thus become indissoluble;</w:t>
        <w:br/>
        <w:t>- finally, the granting of a notice period of about five months, in the formal termination letter of July 21, 2014, appears free from any criticism. The termination, in fact, in addition to being preceded by numerous meetings between the parties, seems entirely appropriate considering the annual duration of the commercial contract and the nature of the products subject to supply: these are seasonal products for which orders are placed, from time to time, within the framework of an annual contract.</w:t>
        <w:br/>
        <w:t>3.3) Centrale Adriatica</w:t>
        <w:br/>
        <w:t>54. In its defense briefs of September 15, 2015, and December 2, 2015, as well as during the hearing held on October 19, 2015, CA made the following considerations:</w:t>
        <w:br/>
        <w:t>- in light of the current regulatory framework, the principles expressed by the provisions of Article 62 of D.L. 1/2012 and the Implementation Decree refer to and are substantially coincident with those set forth in Article 9 of Law 192/1998 concerning the abuse of economic dependence. Therefore, the prerequisite for the application of Article 62 would be not only the existence of a "significant imbalance of commercial power between the contracting parties" (as expressly provided for by Articles 1, paragraph 1, and 4, paragraph 2, of the Implementation Decree), but also the lack of concrete and realistic possibilities for the weaker party in the relationship to turn to another buyer (as expressly provided for by Article 9 of Law 192/1998). It is indeed intuitively evident that in order to realistically "impose" "unjustifiably burdensome" conditions, it is not sufficient for there to be a disparity of contractual power, but it is also necessary that the party to whom they are "imposed" does not have the possibility of turning to another contracting party;</w:t>
        <w:br/>
        <w:t>- it must be excluded that for Celox Coop was a mandatory partner and that it had no concrete prospects of supplying its product to other buyers and, consequently, was forced to accept the contractual conditions proposed by the GDO chain. Celox is merely a trader of pears who purchases the product in national and foreign markets from the respective producers and limits itself to storing it in its own refrigerators. The pears subject to the contracts with CA also have no characteristics that make them difficult to sell to other operators, just as the facilities that the supplier has (essentially refrigerated warehouses) can be used for any other type of fruit and vegetable product. This leads to the exclusion that Celox has ever made investments specifically intended to meet the demand for products from CA that are not also reusable in the short term for other commercial purposes;</w:t>
        <w:br/>
        <w:t>- regarding the fact that the products supplied by Celox were also, in part, private label, compliance with the Technical Specifications concerns the agricultural producers and not the trader Celox, who merely passes on to the producer the burdens arising from compliance with those rules;</w:t>
        <w:br/>
        <w:t>- it must therefore be excluded that the contractual conditions applied in the relationships with Celox were "imposed" by Coop on the supplier; on the contrary, these conditions were the subject of specific negotiation. In this sense, not only does the documentation on record testify to an exchange of proposals from Celox and acceptances from CA, but also the very fact that the relationship has continued for years between the parties along the same lines;</w:t>
        <w:br/>
        <w:t>- it must also be excluded that the conditions applied to Celox, not dissimilar from those practiced by CA to other suppliers of the same product, can be considered "unjustifiably" burdensome, as the discounts were always agreed upon with the supplier and found a precise economic justification in light of the negotiating relationship between the parties. In this regard, it is noted that</w:t>
      </w:r>
    </w:p>
    <w:p>
      <w:r>
        <w:rPr>
          <w:b/>
        </w:rPr>
        <w:t>[Pages 31–33]</w:t>
      </w:r>
    </w:p>
    <w:p>
      <w:r>
        <w:t>BULLETIN NO. 49 OF JANUARY 18, 2016 33</w:t>
      </w:r>
    </w:p>
    <w:p>
      <w:r>
        <w:t>the provision of Article 62 does not intend to force a company to apply conditions tailored to the needs of each supplier and their costs; in other words, it cannot be considered “unjustifiably” burdensome a condition generally agreed upon by the buyer with other suppliers solely because it is not compatible with the cost structure of a single supplier. The lack of justification for a condition that imposes economic burdens on one of the contracting parties can, on the contrary, be identified in the absence of a substantial correspondence between burdens and benefits that correspondingly concern that contracting party. In this regard, it is noteworthy that: i. the base discount was agreed upon annually and found its economic justification in light of the significant quantities of product that CA had demonstrated it could absorb over the years; ii. the logistical discount, also agreed on an annual basis, aimed to benefit CA from the savings that Celox could achieve in the handling of the product, which increased with the increase in quantities (measured in pallets) of product that it supplied and stored at CA's warehouses; finally, iii. the promotional discount was justified by the prospect (for both CA and Celox) of selling larger quantities of pears due to the attractiveness of the price offered to the consumer. Celox was nonetheless free to participate or not in such periodic promotional offers, as evidenced by the fact that it was often Celox itself that proposed products at particularly favorable conditions; - it is, however, indisputable that in the specific case, even if one were to admit that the contested clauses imposed unjustifiably burdensome conditions on Celox, there is no reason for intervention by the Authority as the case in question does not seem to produce appreciable negative effects on the competitive structure of the market. This is due to the virtually irrelevant market position of the contracting party Celox; - finally, regarding the interruption of supply, CA notes that since 2012 it had indicated not only to Celox but also to other companies the decision to reduce the number of its suppliers to decrease the amount of loads, from different sources, to be handled within its warehouses, favoring suppliers who were also producers over mere traders, such as Celox. To implement a “soft” and more gradual detachment over time, CA progressively reduced the quantities of goods purchased from Celox before formally notifying, as previously mentioned verbally, the non-renewal of the contract. The formal termination, however, provided for the conclusion of the pear campaign, thus the supplies until March/April 2015.</w:t>
      </w:r>
    </w:p>
    <w:p>
      <w:r>
        <w:t>IV. EVALUATIONS</w:t>
      </w:r>
    </w:p>
    <w:p>
      <w:r>
        <w:t>1) Overview of the regulatory framework</w:t>
      </w:r>
    </w:p>
    <w:p>
      <w:r>
        <w:t>55. As is known, Article 62 of Decree Law 1/2012 has assigned to the Antitrust Authority a new competence regarding commercial relations between operators in the agri-food supply chain, qualifying as administrative offenses a series of abusive conducts carried out in the context of contractual relationships for the transfer of agricultural and agri-food products, with the provision of administrative monetary sanctions.</w:t>
      </w:r>
    </w:p>
    <w:p>
      <w:r>
        <w:t>56. The application modalities of Article 62 were defined in the subsequent Implementation Decree No. 199/2012, which also delineated its scope of application to “economic relations between operators in the food supply chain characterized by a significant imbalance in their respective positions of commercial power” (Article 1 “Scope of application”). Article 4 of the Implementation Decree titled “Unfair commercial practices” reiterated, in its second paragraph, that “The provisions of Article 62, paragraph 2, of Decree Law 1/2012 […] prohibit any behavior of the contracting party that, abusing its greater commercial power, imposes unjustifiably burdensome contractual conditions […]”.</w:t>
      </w:r>
    </w:p>
    <w:p>
      <w:r>
        <w:t>57. Article 62 establishes, first of all, in its first paragraph, precise requirements of form and content for contracts concerning the transfer of agricultural and food products, with the exception of those concluded with the final consumer, and expressly prohibits certain commercial practices deemed unfair, which are listed, by way of example, in the second paragraph. In particular, based on the first paragraph, the transfer contracts, which must be concluded in writing, must indicate the duration, quantities, and characteristics of the product sold, the price, and the methods of delivery and payment (first sentence); such contracts must adhere to the principles of transparency, fairness, proportionality, and mutual correspondence of the performances concerning the supplied goods (second sentence). Among the specifically prohibited cases in the second paragraph of the provision are, among others, conducts consisting of: “a) directly or indirectly imposing unjustifiably burdensome purchase, sale, or other contractual conditions, as well as extracontractual and retroactive conditions,” as well as “e) any further unfair commercial conduct that is deemed such even considering the overall commercial relations that characterize the supply conditions.”</w:t>
      </w:r>
    </w:p>
    <w:p>
      <w:r>
        <w:t>58. With reference to the essential elements in written form of the contracts for the transfer of agricultural and food products, Article 3 of the Implementation Decree specifies that they can be contained both in framework or basic contracts, as well as in subsequent documents, such as contracts for the transfer of products, transport or delivery documents, or invoices, purchase orders with which the buyer commissions the delivery of the products. The fourth paragraph of the same provision specifies, moreover, that transport or delivery documents as well as invoices that contain all the elements required by the first paragraph of Article 62 fulfill these obligations “except in the cases referred to in paragraph 2 [of Article 62].”</w:t>
      </w:r>
    </w:p>
    <w:p>
      <w:r>
        <w:t>59. Article 4 Unfair commercial practices of the Implementation Decree then lists further exemplary cases of abusive conducts of one’s greater commercial power (paragraph 2), and refers to the principles of good practices and unfair practices identified by the European Commission and representatives of the agri-food supply chain within the High-Level Forum for the better functioning of the agri-food supply chain (paragraph 1).</w:t>
      </w:r>
    </w:p>
    <w:p>
      <w:r>
        <w:t>2) Premises for evaluation</w:t>
      </w:r>
    </w:p>
    <w:p>
      <w:r>
        <w:t>60. In the introduction to the final evaluations regarding the case in question, it is noted that the commercial conducts in question fully fall within the scope of application of the discipline referred to in Article 62 of Decree Law 1/2012, a discipline that finds its rationale precisely in the perceived need to provide protection to small and medium-sized enterprises supplying agricultural and food products, from the supply side, against the greater negotiating power achieved, from the demand side, by large distribution groups of the GDO.</w:t>
      </w:r>
    </w:p>
    <w:p>
      <w:r>
        <w:t>61. In this sense, reference is made to the observations already made in the context of the IC43 inquiry where it was emphasized, on the one hand, that the provisions of Article 62 offer the Authority an additional and different possibility to intervene against unilateral conducts arising from the exploitation of so-called buyer power, in cases where the buyer has significantly greater contractual power than that of the supplier, without, however, holding a dominant position; on the other hand, that the rules specifically established to protect the weaker contracting party in the agri-food supply chain present significant points of contact with the prohibition of abuse of economic dependence under Law 192/1998, although not fully overlapping with it.</w:t>
      </w:r>
    </w:p>
    <w:p>
      <w:r>
        <w:t>3) On commercial conducts</w:t>
      </w:r>
    </w:p>
    <w:p>
      <w:r>
        <w:t>62. Preliminary observations indicate that the conducts described in the previous point II, letters A), B) and C) of this provision, constitute distinct commercial practices, individually and autonomously assessable, as they pertain to different, and well-characterized, moments of the supply negotiation relationship between Coop Italia, Centrale Adriatica, and Celox Trade.</w:t>
      </w:r>
    </w:p>
    <w:p>
      <w:r>
        <w:t>63. On the merits, the investigative findings highlight that the described commercial conducts constitute violations of Article 62, paragraphs 1 and 2, of Decree Law 1/2012 and of Article 4, paragraphs 1 and 2, of the Implementation Decree.</w:t>
      </w:r>
    </w:p>
    <w:p>
      <w:r>
        <w:rPr>
          <w:b/>
        </w:rPr>
        <w:t>[Pages 34–36]</w:t>
      </w:r>
    </w:p>
    <w:p>
      <w:r>
        <w:t>36 BULLETIN NO. 49 OF JANUARY 18, 2016</w:t>
        <w:br/>
        <w:t>implementation, as forms of abusive exploitation of their strong commercial position by Coop Italia and Centrale Adriatica, to the detriment of the supplier of pears Celox Trade, the weaker party in the relationship, according to the specifications that follow.</w:t>
      </w:r>
    </w:p>
    <w:p>
      <w:r>
        <w:t>64. Such commercial conduct was carried out in the context of the peculiar "two-level" negotiation system described above, which characterized the relationships between Coop Italia and Centrale Adriatica, on one side, and Celox Trade, as a local supplier of both private label and conventional pears, on the other. As already specified, this peculiar negotiation system nonetheless concerned the contractual relationship in its "entirety," that is, with regard to all supplies of pears, both private label and conventional.</w:t>
      </w:r>
    </w:p>
    <w:p>
      <w:r>
        <w:t>4) Existence of a significant imbalance of contractual power</w:t>
        <w:br/>
        <w:t>65. The documentation in the case file clearly reveals the existence of a "significant imbalance in the respective positions of commercial strength" between the parties to the supply relationship, Coop Italia and Centrale Adriatica, on the demand side, and Celox Trade, on the supply side.</w:t>
      </w:r>
    </w:p>
    <w:p>
      <w:r>
        <w:t>66. This evident asymmetry of commercial strength can be traced back to a plurality of symptomatic elements, both subjective and objective, all simultaneously present in the case at hand:</w:t>
        <w:br/>
        <w:t>1) the different dimensional characteristics of the companies that are parties to the supply relationship: i. Coop Italia and Centrale Adriatica, consortium companies of the Coop system - leaders in the GDO market in Italy - with revenues of 256 million euros and 2.6 billion euros, respectively, in 2014; ii. the SME Celox Trade, as a supplier of private label and conventional pears, with a revenue of approximately 5 million euros in 2013, reduced to about 2 million euros in the following year, precisely due to the loss of its only GDO customer. In this regard, it should be emphasized that, contrary to what CI and CA claimed in their defense submissions: i. the fact that Celox supplied only one of the Coop Italia associates in a limited territorial area does not reduce the existing strength gap between the operators in the supply chain. In fact, at the national level, Coop holds a market share of approximately 15%, which guarantees it a leading position, in the Emilia Romagna and Marche regions, where the Centrale Adriatica consortium operates, and where the supply relationship with Celox took place, CA holds an equally if not more significant share, approximately 33% and 13%, respectively; ii. it is not understood why the fact that Celox is a trader of pears and not a producer should matter in order to eliminate the existing imbalance between the operators; part of the supply negotiation relationship with Coop is indeed exclusively Celox (and not the upstream producing companies with which Celox has signed supply contracts), which assumes all obligations related to the execution of the contract and must contractually guarantee, before its Client, the required product quality standards, thus assuming all related risks; iii. the reference to the scope of application of a completely different regulatory framework from Article 62 D.L. 1/2012, namely the Consumer Code, whose provisions are specifically aimed at providing protection to subjects considered "structurally" and "institutionally" weak - and thus to be protected (regardless of any further assessment) against unfair and aggressive practices carried out by professionals - such as "consumers" and "microenterprises"; iii. the alleged circumstance that Celox would have larger dimensions than many of the COOP suppliers in the agri-food sector pertains to a comparative profile between the various companies supplying Coop that is entirely foreign to this assessment and proves nothing regarding the existing power relations between the parties in this proceeding. What matters for the application of Article 62 is, in fact, the significant differential existing, in terms of size, both in terms of market power and revenue, between Coop Italia and Centrale Adriatica, on the demand side, and the SME Celox Trade, on the supply side;</w:t>
      </w:r>
    </w:p>
    <w:p>
      <w:r>
        <w:t>2) the extremely significant percentage of Celox's revenue derived from the sale of pears to its GDO customer. In particular, with reference to the time period considered (subsequent to October 24, 2012, the date of entry into force of the provisions of Article 62 D.L. 1/2012), the percentage of Celox's revenue generated with Coop was as high as 72% in 2012 and 56% in 2013, compared to the total. In this regard, it is also relevant that Coop represented for Celox not only the overwhelmingly most important customer (with shares fluctuating between half and two-thirds of revenue) but also the only customer within the GDO and the only one related to processed products in the plant;</w:t>
      </w:r>
    </w:p>
    <w:p>
      <w:r>
        <w:t>3) the duration of the supply negotiation relationship: Celox signed the regulatory contract with Coop Italia in 1998 and the relationship consolidated year after year, without interruption, through a continuous supply of pears, both national and foreign, both under the COOP brand and conventional, to Centrale Adriatica, until 2014, when Coop Italia and Centrale Adriatica first canceled orders for foreign pears and reduced those for national pears, and then communicated the termination effective from December 31, 2014;</w:t>
      </w:r>
    </w:p>
    <w:p>
      <w:r>
        <w:t>4) the extreme notoriety of the Coop brand in the market and the fact that the contract also involved so-called private label products. Regarding the percentage of Celox's revenue attributable to COOP branded products, there is no agreement between the data provided by the Parties: Celox reported that from 2008 to 2013, the revenue from private label products fluctuated between 48% and 55% of the total revenue of Coop pears, while Coop Italia and Centrale Adriatica reported that, in 2013, Celox's revenue related to private label products was approximately 20% of the total Coop revenue. In any case, even in the hypothesis that the weight of COOP branded pears was about 20% of Celox's total revenue, it should be emphasized that, contrary to what CI and CA claimed in their defense submissions: i. the marketing of so-called private label products certainly leads to a further strengthening of the power of the GDO operator over its supplier, to the extent that it entails, on one hand, that it holds all information related to product and packaging characteristics (contained in the Technical Supply Specifications, which are subject to specific confidentiality obligations) and, on the other hand, that it concretely uses different suppliers for the same product (on which the quantitative product requirements are "distributed"); ii. the provisions of the "Technical Supply Specifications," to which Celox Trade was bound in relation to its client Coop Italia (and not the upstream producing companies), obliged the supplier to follow the horticultural product in all phases of the process - from the moment of sowing (for example, for the control over the use of pesticides) to harvesting and packaging in the field, and then to acceptance, storage, handling, packaging, labeling, and finally, transport to the CEDI. The supplier Celox had to, therefore, adapt its corporate organization accordingly.</w:t>
      </w:r>
    </w:p>
    <w:p>
      <w:r>
        <w:t>67. Coop Italia and Centrale Adriatica were aware of this "weakness" situation of Celox, as clearly emerges from the correspondence exchanged between the supplier and the GDO operator, attached to the report and obtained during the inspection.</w:t>
      </w:r>
    </w:p>
    <w:p>
      <w:r>
        <w:t>68. The simultaneous presence of all these indicators revealing a significant disparity of commercial and contractual power between the operators in the supply chain (the only prerequisite provided by the Implementation Decree of Article 62 is the presence of "a significant imbalance in the respective positions of strength")</w:t>
      </w:r>
    </w:p>
    <w:p>
      <w:r>
        <w:rPr>
          <w:b/>
        </w:rPr>
        <w:t>[Pages 37–39]</w:t>
      </w:r>
    </w:p>
    <w:p>
      <w:r>
        <w:t>BULLETIN NO. 49 OF JANUARY 18, 2016 39</w:t>
      </w:r>
    </w:p>
    <w:p>
      <w:r>
        <w:t>commercial”)103, leads to the conclusion that the “objective” circumstance that there were also other companies active in distribution in the reference market is not decisive for the purposes of this judgment (a circumstance on which the defense of the Parties is instead focused). In any case, to further reinforce the finding of a situation of strong power imbalance between the parties, it is noted that, from a “subjective” point of view, that is, regarding the specific position of Celox in relation to Coop, the evidentiary findings lead to the conclusion that the supplier of pears had, at least in the short term, no possibility of replacing its only customer in the GDO with a new commercial partner, as the costs associated with the change were extremely burdensome, if not entirely unsustainable104.</w:t>
      </w:r>
    </w:p>
    <w:p>
      <w:r>
        <w:t>5) Imposition of unjustifiably burdensome contractual conditions</w:t>
      </w:r>
    </w:p>
    <w:p>
      <w:r>
        <w:t>69. That said, the peculiar negotiation system, described in point 2.1 of this provision, between Coop Italia and Celox Trade appears to have accentuated the existing power imbalance between the parties in defining the annual commercial conditions, in the manner illustrated below. In particular, during the investigation, it emerged that, at the end of each supply year, Coop Italia prepared and sent to Celox Trade the letter “Our supplies to your associates” (see supra point 2.1.1b). By signing and returning this document to Coop Italia, the supplier was obliged to recognize a series of discounts and fees in favor of its GDO customer, without receiving, in return, any suitable counter-performance from the counterpart. In particular, the supplier did not receive any contractual guarantee regarding the quantities of goods to be delivered (not even indicatively), nor any indication regarding the list price of the products (or how it would be calculated). In the specific case under examination, this undoubtedly resulted in a situation of strong asymmetry between Coop Italia and Celox, which severely limited the supplier's power to “negotiate” the content of the commercial conditions imposed on it, as reported in the letters exchanged between the parties.</w:t>
      </w:r>
    </w:p>
    <w:p>
      <w:r>
        <w:t>70. Even in the absence of contractual guarantees regarding the definition of the quantities of the products subject to supply, an examination of the documentation submitted in the records reveals that, during the prolonged relationship between Coop and Celox, the volume of purchases by Centrale Adriatica had, in fact, settled on a standard quantity, albeit with variations in increase or decrease105. The pear supplier relied, year after year, on the organization and management of its supplies (i.e., upstream relationships with production) and its dedicated structures106, progressively tailoring its corporate organization to the needs of Coop, in compliance with the technical production specifications, and concentrating its activity on this customer. This is evidenced by the documentation on record, which shows that throughout the duration of the relationship, on the one hand, supplies to Coop represented well over half of Celox's turnover, exceeding even two-thirds107, and on the other hand, Celox represented a significant supplier for Coop, both quantitatively and qualitatively108. Moreover, the fact that there were no constraints for the GDO customer regarding the quantities of goods to be ordered meant that, during the supply relationship, the so-called “quantity risk” fell exclusively on Celox. This complete burden of the “quantity risk” on Celox must be evaluated in light of the peculiar characteristics of seasonality and high perishability of fresh fruit and vegetable products, such as pears, and in particular: i) the impossibility of storing the goods in storage warehouses for long periods109; ii) the circumstance that Celox was also required to sign “upstream,” with the producing companies and producer cooperatives, supply contracts, even of multi-year duration, which bound it to the production110.</w:t>
      </w:r>
    </w:p>
    <w:p>
      <w:r>
        <w:t>71. All of this considered, with reference to the annual commercial conditions of the supply, it is believed that the reporting company Celox Trade was not in a position to “negotiate” with Coop Italia the content of the letters “Our supplies to your associates,” that is, the number and amount of discounts and contributions provided for it, having to sign such documents without receiving “in return,” and in light of the investment made in the relationship that had consolidated over time, any contractual guarantee regarding the quantities of goods to be delivered (not even indicatively), nor any indication regarding prices (or the methods by which they would be calculated) (see supra par. 69). The discounts and contributions provided in the annual letters of 2012, 2013, and 2014 do not therefore appear to be the result of a “negotiation” between the parties (understood in the sense of an “exchange” of performances), but rather were unilaterally decided and, therefore, substantially imposed by Coop Italia on its supplier, who was induced to accept for fear of compromising its established relationship with the GDO customer, with the consequent loss of its entire investment (see supra par. 70)111.</w:t>
      </w:r>
    </w:p>
    <w:p>
      <w:r>
        <w:t>72. The discounts and contributions imposed by Coop Italia, in the sense illustrated above, also appear to be “unjustifiably burdensome” for the supplier, pursuant to Article 62, paragraph 2 letter a), of Decree Law 1/2012 and Article 4, paragraph 2, of its implementing decree. In particular, considering the absence of a real negotiation between the parties, the following are deemed to be such: i. the “unconditional” discounts, that is, completely uncoupled from the quantities purchased, to be recognized to Coop associates, which reach very high percentages ([5-10%]) and which, regardless of whether they were recognized in the invoice112 or outside the invoice113, find no justification in light of the peculiar negotiating relationship between the parties, as extensively illustrated above; ii. the fees for co-marketing activities (activities not further specified in the letters)114, as the allocation of the related burdens between supplier and distributor should have been defined within the framework of a negotiation, also based on the expected benefits for both parties, and iii. the fees for qualitative analyses carried out on the products115, as, given that the supplier is contractually obliged to comply with a specified quality standard, the burden of control should rest solely with the distributor, as it falls within its area of competence.</w:t>
      </w:r>
    </w:p>
    <w:p>
      <w:r>
        <w:t>73. In light of the above considerations, the provision, within the annual letters prepared by Coop Italia and signed by Celox, in the years 2012, 2013, and 2014, of a series of commercial conditions imposed on the supplier, particularly unconditional discounts, in the invoice and outside the invoice, and contributions for co-marketing activities and for qualitative analyses carried out on the products, constitutes a form of “imposition of unjustifiably burdensome contractual conditions,” in violation of Article 62, paragraph 2, letter a) of Decree Law 1/2012 and Article 4, paragraphs 1 and 2, of the implementing decree. Based on the evidence collected during the investigation and illustrated above, such commercial conduct is attributable to the Coop Italia Consortium.</w:t>
      </w:r>
    </w:p>
    <w:p>
      <w:r>
        <w:t>74. The defenses of the Parties that refer to the content of Article 3, paragraph 2, of the implementing decree, according to which the essential elements in written form of the contract, referred to in the first period of paragraph 1 of Article 62 of Decree Law 1/2012 (including, in fact, the quantities), can be contained not only in transfer contracts but also in subsequent documents, such as purchase orders or invoices, appear to be entirely irrelevant. In fact, the absence in itself, in the contractual regulation, of the indication of quantities (based on the first period of paragraph 1) has not been contested in this context, but it has been deemed that the total absence of guarantees, at the negotiating level, regarding this essential element, to protect the weaker party in the relationship, has in fact prevented Celox from being able to substantially negotiate the content of the commercial conditions imposed on it. In particular, considering that, pursuant to the provision of the implementing decree referred to by the Parties, the indication of quantities can also be contained in purchase orders and invoices, as actually occurred in the case at hand, it is believed that this is, therefore, solely a unilateral regulation, to the advantage of the distributor alone, of discounts and premiums. The only contract signed between the parties is represented by the Regulatory Contract of February 23, 1998 (see doc. 1.37).</w:t>
      </w:r>
    </w:p>
    <w:p>
      <w:r>
        <w:t>115 Equal to [0-2,000] euros in 2012 and [0-2,000] euros in 2013 and 2014.</w:t>
      </w:r>
    </w:p>
    <w:p>
      <w:r>
        <w:rPr>
          <w:b/>
        </w:rPr>
        <w:t>[Pages 40–42]</w:t>
      </w:r>
    </w:p>
    <w:p>
      <w:r>
        <w:t>42 BULLETIN NO. 49 OF JANUARY 18, 2016</w:t>
      </w:r>
    </w:p>
    <w:p>
      <w:r>
        <w:t>the failure to assume commitments by the distributor regarding the quantities of goods to be ordered from its supplier, at the time of drafting the “our supplies to your associates” letters, has resulted in the “contractual conditions” not being “negotiated” in a “give and take” context but rather being substantially “imposed,” pursuant to Article 62, paragraph 2, letter a). In this regard, the same Article 3 of the implementing Decree, in the fourth paragraph, specifies that “the transport or delivery documents as well as the invoices integrated with all the elements required by Article 62, paragraph 1, of Decree Law [1/2012], except in the cases referred to in paragraph 2, fulfill the obligations referred to in the aforementioned paragraph 1” (emphasis added).</w:t>
      </w:r>
    </w:p>
    <w:p>
      <w:r>
        <w:t>75. The circumstance, emphasized in the defenses of the Parties, that only upon the termination of the relationship did Celox intend to raise doubts about the alleged imposition of unjustified burdens, does not appear significant as it is necessary to take into account, even in the case at hand, what has been defined in the community context as the so-called “fear factor.” This factor would effectively prevent the weaker party in a supply contract from reporting the unfair commercial practices suffered from the counterparty, which has greater commercial strength, for fear of an interruption of the existing business relationships or otherwise suffering retaliation against its own commercial activity.</w:t>
      </w:r>
    </w:p>
    <w:p>
      <w:r>
        <w:t>76. Finally, with reference to all the considerations and evaluations expressed, in response to what was feared by CI in its defense memos regarding the distorting effects that would arise from an incorrect application of Article 62 D.L. 1/2012, it should be emphasized that the responsibility of Coop Italia is not derived exclusively from the mere verification of the existence of a “significant imbalance of commercial power” between the parties to the supply relationship. In the case at hand, in fact, after verifying the presence of a “significant imbalance of commercial power,” it was further ascertained that, in the case examined: i. the contractual conditions were not subject to actual negotiation between the parties, but were substantially imposed by Coop Italia on its supplier (par. 70-72); ii. some of these conditions are to be considered unjustifiably burdensome (par. 73).</w:t>
      </w:r>
    </w:p>
    <w:p>
      <w:r>
        <w:t>6) Imposition of “extracontractual” conditions</w:t>
      </w:r>
    </w:p>
    <w:p>
      <w:r>
        <w:t>77. As reported in the evidentiary findings (see supra point 2.1.3), the additional discounts that, during the duration of the relationship (with reference to the years 2012/2014), were applied to the supplier Celox, in relation to the implementation of the so-called national promotional plan, were jointly defined by Coop Italia and Centrale Adriatica. Such promotional discounts can certainly be considered, in light of the regulatory provisions of Article 62, paragraph 2, letter a), “extracontractual,” as they were defined by Coop Italia and Centrale Adriatica only after the supplier had signed the commercial conditions at the beginning of the year, during the supply season. The “extracontractual” promotional discounts went to add to those “contractual,” already provided for within the so-called agreement or commercial contract, signed by the supplier at the beginning of the year, effectively forcing Celox to grant its customer, during the supply season, unplanned (nor foreseeable) reductions on the list price, of particularly significant amounts (from a minimum of [10-15%] to a maximum of [20-25%]). The overall discounts that the supplier was required to grant to the distributor (i.e., contractual discounts + extracontractual discounts) thus reached extremely high percentages, around [30-35%] of the list price.</w:t>
      </w:r>
    </w:p>
    <w:p>
      <w:r>
        <w:t>78. Based on what has emerged and been illustrated above (point 2.1.3), in the case at hand, Celox did not participate in any way in the choice and definition “upstream” of the promotions, but was simply contacted, “downstream” of the decision made, in order to obtain a discount on the list price. Celox emphasized, in this regard, that the increasing frequency and amount of the extracontractual discounts that were effectively imposed by Coop had become economically unsustainable over the years, not only for itself but also for other suppliers of pears; this would also be demonstrated by a communication in which several private label pear suppliers asked Coop for a reduction in promotional discounts as “the situation in which we are operating is not sustainable.”</w:t>
      </w:r>
    </w:p>
    <w:p>
      <w:r>
        <w:t>79. The arguments put forward by CI and CA, which – in order to demonstrate how the contested discounts were not imposed but received the full and free adherence of the supplier – produce email exchanges in which Celox itself proposed price offers to its GDO customer, do not appear to be shareable. In fact, these are evidently completely different circumstances and situations, entirely distinct and certainly not comparable to those subject to the present evaluation, in which the supplier, based on its own assessment of convenience, decided to lower the prices of its products (for example, to dispose of excess goods).</w:t>
      </w:r>
    </w:p>
    <w:p>
      <w:r>
        <w:t>80. From an email exchange obtained during the inspection, however, the strength of Coop Italia and Centrale Adriatica in imposing such particular conditions to the pear supplier in their favor emerges clearly: in response to Celox's complaints that “at that [imposed promotional] price it could not deliver the goods because it was going below cost,” Centrale Adriatica initially countered that it would evaluate the availability of other suppliers and then concluded, stating that it had “reached a more advantageous agreement with another supplier, thus releasing it from any commitment.”</w:t>
      </w:r>
    </w:p>
    <w:p>
      <w:r>
        <w:t>81. That said, the application, during the supply season, of a series of promotional discounts, additional and supplementary to those defined in the so-called commercial contract imposed by one party to the other beyond and outside the contract for the transfer of agricultural and food products referred to in paragraph 1, constitutes an imposition of extracontractual conditions, in violation of Article 62, paragraph 2, letter a). Such commercial conduct, based on what emerged during the investigation, is attributable to both consortium companies, Coop Italia and Centrale Adriatica.</w:t>
      </w:r>
    </w:p>
    <w:p>
      <w:r>
        <w:t>7) The interruption of supply</w:t>
      </w:r>
    </w:p>
    <w:p>
      <w:r>
        <w:t>82. Regarding the interruption of supply, for the purposes of this judgment, only the methods by which, in the absence of contractual constraints regarding the quantities of supply (and without any negotiated criteria being established to define them), Coop Italia and Centrale Adriatica managed the termination of the relationship with Celox, aware of their commercial strength against the supplier, are relevant. In particular, since “no commitments regarding the quantities to be ordered were ever made,” Centrale Adriatica was able, in the early months of 2014, to completely cancel the orders for foreign pears and drastically reduce those for national pears made to Celox, despite the commercial conditions valid for all of 2014 having been defined.</w:t>
      </w:r>
    </w:p>
    <w:p>
      <w:r>
        <w:t>83. Through the drastic reduction of orders, Centrale Adriatica effectively ceased to execute the relationship already at the beginning of 2014, in the absence of any formal notice. In fact, only after several months and only after multiple complaints from Celox did Coop Italia send, on July 21, 2014, the formal termination letter for the supply contract, effective from the following month of December, “with expiration at the conclusion of the autumn/winter pear campaign 2014/2015.”</w:t>
      </w:r>
    </w:p>
    <w:p>
      <w:r>
        <w:t>84. From the examination of the documentation in the investigative file, it emerges that the supplier Celox had been verbally informed of Centrale Adriatica's intention to interrupt product orders during several meetings, in which both Coop Italia and Centrale Adriatica participated. However, there is no evidence in the records regarding the content of these meetings, and therefore, there can be no certainty regarding the exact terms in which the issue of “rationalizing the supplier pool” was actually raised with the supplier. In particular, although Coop Italia was aware of its associate Centrale Adriatica's decision to interrupt Celox's supplies as early as 2012, on one hand, no plan or program for the cessation of supply appears to have been prepared, and on the other hand, the termination of the contract was not communicated in a timely manner, with the granting of an adequate notice period.</w:t>
      </w:r>
    </w:p>
    <w:p>
      <w:r>
        <w:rPr>
          <w:b/>
        </w:rPr>
        <w:t>[Pages 43–45]</w:t>
      </w:r>
    </w:p>
    <w:p>
      <w:r>
        <w:t>BULLETIN NO. 49 OF JANUARY 18, 2016 45</w:t>
      </w:r>
    </w:p>
    <w:p>
      <w:r>
        <w:t>85. On this point, CI and CA argued the appropriateness of the notice given to Celox, amounting to approximately 6 months, in light of the annual duration of the so-called commercial contract (i.e. letters “Our supplies to your associates”). In reality, the evidentiary findings have demonstrated that: i. the supply contractual relationship was activated, through the signing of the “regulatory contract,” between Coop Italia and Celox Trade, on February 23, 1998; ii. starting from 1998, the relationship was carried out continuously, through the ongoing supply of pears to Centrale Adriatica, until the year 2014; iii. the letters “Our supplies to your associates,” prepared by Coop Italia and sent for signature to Celox Trade, contain only the list of contractual conditions, valid year by year, to be borne by the supplier (discounts and fees). The elements acquired in the records indicate, therefore, that the supply relationship was carried out between the parties, uninterruptedly, for an extended period of time, namely since 1998, consolidating over the years. In particular, as already highlighted, the pear supplier relied, year after year, on this relationship in the organization and management of its supplies (i.e. upstream relationships with production) and its dedicated structures, progressively adapting its corporate organization to the needs of Coop, in compliance with the Technical Production Specifications, and concentrating its activity on this customer.</w:t>
      </w:r>
    </w:p>
    <w:p>
      <w:r>
        <w:t>86. The strong bond that developed between Celox and Coop, consolidated over the prolonged supply relationship, both in terms of the adaptation and functionalization of Celox's corporate organization to Coop's requests and also in terms of “reputational” aspects in the market, has made it extremely difficult for the supplier to reposition itself - within the imposed timeframes - with different customers operating in the distribution market.</w:t>
      </w:r>
    </w:p>
    <w:p>
      <w:r>
        <w:t>87. In this regard, it is believed that the conduct carried out by Centrale Adriatica, in the early months of 2014, consisting of a significant reduction in orders to Celox, in light of the lack of prior agreement on supply quantities (or at least criteria for defining them), and in the absence of communication of adequate notice for the interruption of supply by Coop Italia, considering the peculiar relationship between the parties, its duration, the nature of the products subject to the contract, and the supply conditions, constitutes a violation of the principles of fairness, proportionality, and mutual correspondence of the performances concerning the supplied goods, pursuant to Article 62, paragraph 1, also configuring as unfair towards its supplier, taking into account the overall commercial relationships that characterize the supply conditions, pursuant to the second paragraph, letter e), of Article 62.</w:t>
      </w:r>
    </w:p>
    <w:p>
      <w:r>
        <w:t>V. QUANTIFICATION OF SANCTIONS</w:t>
      </w:r>
    </w:p>
    <w:p>
      <w:r>
        <w:t>88. Pursuant to Article 62, fifth paragraph, of Decree Law 1/2012 (in the text in force at the time of the contested conduct), “5. Unless the act constitutes a crime, the contractor, except for the final consumer, who violates the obligations referred to in paragraph 1 is subject to an administrative pecuniary sanction from €516.00 to €20,000.00. The amount of the sanction is determined by reference to the value of the goods subject to transfer.” Pursuant to the sixth paragraph of the same provision (in the text in force at the time of the contested conduct), “6. Unless the act constitutes a crime, the contractor, except for the final consumer, who violates the obligations referred to in paragraph 2 is punished with an administrative pecuniary sanction from €516.00 to €3,000.00. The amount of the sanction is determined by reference to the benefit received by the subject who did not comply with the prohibitions referred to in paragraph 2.” Finally, pursuant to the eighth paragraph, “the Antitrust Authority is responsible for monitoring the application of these provisions and for imposing the sanctions provided therein, pursuant to Law No. 689 of November 24, 1981.”</w:t>
      </w:r>
    </w:p>
    <w:p>
      <w:r>
        <w:t>89. Regarding the quantification of the sanction, account must be taken, as applicable, of the criteria identified by Article 11 of Law No. 689/81, by virtue of the reference provided in Article 62, paragraph 8, of Decree Law 1/2012: in particular, the severity of the violation, the efforts made by the company to eliminate or mitigate the infringement, the personality of the agent, as well as the economic conditions of the company itself.</w:t>
      </w:r>
    </w:p>
    <w:p>
      <w:r>
        <w:t>90. In the case of proceedings, such as the one at hand, concerning a plurality of established administrative offenses, the jurisprudence has clarified that in the presence of multiple conducts with structural and functional autonomy, attributed to the responsibility of economic operators, the criterion of material cumulation of sanctions applies, instead of legal cumulation (see among others, Council of State, Section VI, judgment No. 209 of January 19, 2012).</w:t>
      </w:r>
    </w:p>
    <w:p>
      <w:r>
        <w:t>91. With regard to the severity of the violations, account is taken, in the case under examination, of the significant size of both economic operators, Coop Italia, which in the financial year ending December 31, 2014, reported a turnover of approximately €256 million, and Centrale Adriatica, which in the financial year ending December 31, 2014, reported a turnover of approximately €2.6 billion, consortium companies that are part of the so-called Coop system, the leading operator in the GDO in Italy with a market share of approximately 14.3%. It is also taken into account that the unlawful conduct has concerned various aspects of the contractual relationship for the transfer of fresh fruit and vegetable products with its pear supplier, both private label and conventional, Celox Trade.</w:t>
      </w:r>
    </w:p>
    <w:p>
      <w:r>
        <w:t>92. Regarding the duration of the violations, from the elements available in the records, it appears that the commercial conduct was carried out at least from October 24, 2012, the date of entry into force of Article 62 of Decree Law 1/2012, and ceased in the year 2014, with the termination of the supply contractual relationships with Celox Trade.</w:t>
      </w:r>
    </w:p>
    <w:p>
      <w:r>
        <w:t>93. Finally, in determining the applicable sanction, pursuant to the fifth paragraph of Article 62, it is necessary to take into account, in cases of violation of the obligations referred to in paragraph 1, the value of the goods subject to transfer. In this regard, it is noted that in 2012 the turnover of Celox Trade attributable to COOP amounted to 72%, or approximately €2.8 million, of the total turnover (approximately €3.9 million); in 2013 the turnover of Celox Trade attributable to COOP amounted to 56%, or approximately €2.8 million, of the total turnover (approximately €5 million).</w:t>
      </w:r>
    </w:p>
    <w:p>
      <w:r>
        <w:t>Pursuant to the sixth paragraph of Article 62, in cases of violation of the prohibitions referred to in paragraph 2, the amount of the sanction is determined by reference to the benefit received. In this regard, it is relevant, in the case at hand, the imposition, by Coop Italia, of unjustifiably burdensome contractual conditions (unconditional discounts and fees for distributor activities) and, by Coop Italia together with Centrale Adriatica, of “extracontractual” conditions (promotional discounts). Regarding the “contractual conditions,” it should be noted that: i. the unconditional discounts amounted to: [5-10%] (2012), [5-10%] (2013), and [5-10%] (2014) of the turnover generated by the supplier with Coop; ii. the fees requested from the supplier for co-marketing activities amounted to [1-5%] on the turnover generated in 2012; iii. the analysis fees were equal to [0-2,000] euros in 2012 and [0-2,000] euros in 2013 and 2014. Regarding the “extracontractual conditions,” from a summary table produced by Celox, which was not contested by either CI or CA, it emerges that the amount of the contested extracontractual discounts was approximately €82,000.</w:t>
      </w:r>
    </w:p>
    <w:p>
      <w:r>
        <w:t>94. Taking into account the severity and duration of the described commercial conduct, in light of the above, it is believed to determine the amount of the applicable administrative pecuniary sanction to Coop Italia:</w:t>
        <w:br/>
        <w:t>- for the unfair commercial conduct referred to in letter A) of point II, within the limits and according to the specifications contained in the reasoning, the pecuniary sanction in the amount of the maximum penalty equal to €3,000 (three thousand euros);</w:t>
        <w:br/>
        <w:t>- for the unfair commercial conduct referred to in letter B) of point II, the pecuniary sanction in the amount of the maximum penalty equal to €3,000 (three thousand euros);</w:t>
        <w:br/>
        <w:t>- for the unfair commercial conduct referred to in letter C) of point II, the pecuniary sanction in the amount of the maximum penalty equal to €20,000 (twenty thousand euros);</w:t>
      </w:r>
    </w:p>
    <w:p>
      <w:r>
        <w:t>95. Taking into account the severity and duration of the described commercial conduct, in light of the above, it is believed to determine the amount of the applicable administrative pecuniary sanction to Centrale Adriatica:</w:t>
        <w:br/>
        <w:t>- for the unfair commercial conduct referred to in letter B) of point II, the pecuniary sanction in the amount of the maximum penalty equal to €3,000 (three thousand euros);</w:t>
        <w:br/>
        <w:t>- for the unfair commercial conduct referred to in letter C) of point II, the pecuniary sanction in the amount of the maximum penalty equal to €20,000 (twenty thousand euros);</w:t>
      </w:r>
    </w:p>
    <w:p>
      <w:r>
        <w:t>CONSIDERED, therefore, based on the above considerations, that the commercial conduct described in point II, sub A), carried out by Coop Italia and consisting of having imposed on its pear supplier Celox Trade unconditional “contractual” discounts and fees for activities of</w:t>
      </w:r>
    </w:p>
    <w:p>
      <w:r>
        <w:rPr>
          <w:b/>
        </w:rPr>
        <w:t>[Pages 46–48]</w:t>
      </w:r>
    </w:p>
    <w:p>
      <w:r>
        <w:t>48 BULLETIN NO. 49 OF JANUARY 18, 2016</w:t>
        <w:br/>
        <w:t>co-marketing and for qualitative analyses on products, unjustifiably burdensome for the weaker party in the supply relationship, constitutes a violation of Article 62, paragraph 2, letter a) of Decree Law 1/2012 and Article 4, paragraphs 1 and 2, of the Implementation Decree.</w:t>
      </w:r>
    </w:p>
    <w:p>
      <w:r>
        <w:t>CONSIDERING, therefore, based on the above considerations, that the commercial conduct described in point II, sub B), carried out jointly by Coop Italia and Centrale Adriatica and consisting of having imposed, during the relationship, on its supplier of pears Celox Trade additional "extracontractual" discounts, in addition to the "contractual" discounts and linked to the realization of the "national promotional plan," constitutes a violation of Article 62, paragraph 2, letter a) of Decree Law 1/2012;</w:t>
      </w:r>
    </w:p>
    <w:p>
      <w:r>
        <w:t>CONSIDERING, based on the above considerations, that the conduct described in point II, sub C), consisting of the unilateral termination, by Coop Italia and Centrale Adriatica, of the supply relationship with Celox Trade occurred through: i. the cancellation of orders related to foreign pears and the significant reduction of those related to national pears, by Centrale Adriatica, in the early months of 2014, in light of the lack of prior agreement on supply quantities (or at least, on criteria for defining them) and despite the commercial conditions having been defined for the entire year 2014; ii. the granting of inadequate notice in relation to the peculiar relationship between the parties, in the formal termination letter of the supply contract sent by Coop Italia to Celox Trade only on July 21, 2014, constitutes a violation of Article 62, paragraph 1 and paragraph 2, letter e) of Decree Law 1/2012;</w:t>
      </w:r>
    </w:p>
    <w:p>
      <w:r>
        <w:t>RESOLVES</w:t>
        <w:br/>
        <w:t>a) that the commercial conduct described in point II, letter A), of this provision, carried out by the cooperative company Coop Italia, constitutes, for the reasons and within the limits set out in the motivation, a violation of Article 62, paragraph 2, letter a) of Decree Law 1/2012 and Article 4, paragraphs 1 and 2, of the Implementation Decree;</w:t>
      </w:r>
    </w:p>
    <w:p>
      <w:r>
        <w:t>b) that the commercial conduct described in point II, letter B), of this provision, carried out by the cooperative companies Coop Italia and Centrale Adriatica, constitutes, for the reasons and within the limits set out in the motivation, a violation of Article 62, paragraph 2, letter a) of Decree Law 1/2012;</w:t>
      </w:r>
    </w:p>
    <w:p>
      <w:r>
        <w:t>c) that the commercial conduct described in point II, letter C), of this provision, carried out by the cooperative companies Coop Italia and Centrale Adriatica, constitutes, for the reasons and within the limits set out in the motivation, a violation of Article 62, paragraph 1 and paragraph 2 letter e), of Decree Law 1/2012;</w:t>
      </w:r>
    </w:p>
    <w:p>
      <w:r>
        <w:t>d) that, with reference to the commercial conduct described in point II, letter A), of this provision, an administrative pecuniary sanction in the amount of the maximum penalty of €3,000 (three thousand euros) be imposed on the company Coop Italia S.c. a r.l.;</w:t>
      </w:r>
    </w:p>
    <w:p>
      <w:r>
        <w:t>e) that, with reference to the commercial conduct described in point II, letter B), of this provision, an administrative pecuniary sanction in the amount of the maximum penalty of €3,000 (three thousand euros) be imposed on the company Coop Italia S.c. a r.l. and an administrative pecuniary sanction in the amount of the maximum penalty of €3,000 (three thousand euros) be imposed on the company Centrale Adriatica S.c.a.r.l.;</w:t>
      </w:r>
    </w:p>
    <w:p>
      <w:r>
        <w:t>f) that, with reference to the conduct described in point II, letter C), of this provision, an administrative pecuniary sanction in the amount of the maximum penalty of €20,000 (twenty thousand euros) be imposed on the company Coop Italia S.c. a r.l. and an administrative pecuniary sanction in the amount of the maximum penalty of €20,000 (twenty thousand euros) be imposed on the company Centrale Adriatica S.c.a.r.l.;</w:t>
      </w:r>
    </w:p>
    <w:p>
      <w:r>
        <w:t>g) that the companies Coop Italia S.c. a r.l. and Centrale Adriatica S.c.a.r.l. refrain from engaging in commercial conduct similar to that described in the preceding points towards the operator Celox Trade S.r.l.</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home banking and CBI services provided by banks or by Poste Italiane S.p.A., or by using the telematic services of the Revenue Agency, available on the website www.agenziaentrate.gov.it.</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br/>
        <w:t>Roberto Chieppa Giovanni Pitruzzella</w:t>
      </w:r>
    </w:p>
    <w:p>
      <w:r>
        <w:t>50 BULLETIN NO. 49 OF JANUARY 18, 2016</w:t>
        <w:br/>
        <w:t>I780 - CONCRETE MARKET IN VENETO</w:t>
        <w:br/>
        <w:t>Provision No. 25801</w:t>
        <w:br/>
        <w:t>THE ANTITRUST AUTHORITY</w:t>
        <w:br/>
        <w:t>IN ITS MEETING of December 22, 2015;</w:t>
        <w:br/>
        <w:t>HEARD the Rapporteur Dr. Salvatore Rebecchini;</w:t>
        <w:br/>
        <w:t>HAVING REGARD to Article 2 of Law No. 287/90;</w:t>
        <w:br/>
        <w:t>HAVING REGARD to the D.P.R. April 30, 1998 No. 217;</w:t>
        <w:br/>
        <w:t>HAVING REGARD to its resolution of May 7, 2014, which initiated an investigation pursuant to Article 14, paragraph 1 of Law No. 287/90, against the companies General Beton Triveneta S.p.A., SuperBeton S.p.A., Intermodale S.r.l., Calcestruzzi Mosole S.r.l. (now, Mosole S.p.A.), Jesolo Calcestruzzi S.r.l., Ilsa Pacifici Remo S.p.A., Calcestruzzi Dolomiti S.p.A. (now, F.lli De Pra S.p.A.), F.lli Romor S.r.l. to ascertain the existence of violations of Article 2 of Law No. 287/90;</w:t>
      </w:r>
    </w:p>
    <w:p>
      <w:r>
        <w:t>HAVING REGARD to its resolution of May 20, 2015 with which the continuation of the procedure against the companies Mosole S.p.A. and F.lli De Pra S.p.A. was ordered, in which the companies Calcestruzzi Mosole S.r.l. and Calcestruzzi Dolomiti S.p.A. were merged by incorporation, as well as the extension of the deadline for closing the procedure;</w:t>
      </w:r>
    </w:p>
    <w:p>
      <w:r>
        <w:t>HAVING REGARD to the Communication of Investigative Results sent to the parties on September 15, 2015;</w:t>
      </w:r>
    </w:p>
    <w:p>
      <w:r>
        <w:t>HAVING REGARD to its resolution of October 7, 2015 with which, at the request of the Parties, a further extension of the deadline for closing the procedure was ordered;</w:t>
      </w:r>
    </w:p>
    <w:p>
      <w:r>
        <w:t>HAVING REGARD to the final submissions of: F.lli De Pra S.p.A. received on November 4, 2015; SuperBeton S.p.A., Intermodale S.r.l., Mosole S.p.A., Jesolo Calcestruzzi S.r.l., Ilsa Pacifici Remo S.p.A., received on November 5, 2015; General Beton Triveneta S.p.A. and F.lli Romor S.r.l., received on November 6, 2015;</w:t>
      </w:r>
    </w:p>
    <w:p>
      <w:r>
        <w:t>HEARD in final hearing the representatives of the companies General Beton Triveneta S.p.A., SuperBeton S.p.A., Mosole S.p.A., F.lli De Pra S.p.A., F.lli Romor S.r.l. on November 11, 2015;</w:t>
      </w:r>
    </w:p>
    <w:p>
      <w:r>
        <w:t>HAVING REGARD to the acts of the procedure and the documentation acquired during the investigation;</w:t>
      </w:r>
    </w:p>
    <w:p>
      <w:r>
        <w:t>CONSIDERED as follows:</w:t>
        <w:br/>
        <w:t>I. THE PARTIES</w:t>
        <w:br/>
        <w:t>1. General Beton Triveneta S.p.A. (hereinafter, "General Beton" or "GBT"), a company active in the marketing of construction materials. General Beton is based in Veneto and its share capital is almost entirely held by Impresa Tonon S.p.A., as well as by individuals from the Tonon family. In 2014, General Beton achieved, entirely in Italy, a turnover of approximately €17.8 million.</w:t>
      </w:r>
    </w:p>
    <w:p>
      <w:r>
        <w:t>2. SuperBeton S.p.A. (hereinafter, "SuperBeton" or "SBT") produces a wide range of construction products including ready-mixed concrete, cement, sand, gravel, and aggregates.</w:t>
      </w:r>
    </w:p>
    <w:p>
      <w:r>
        <w:rPr>
          <w:b/>
        </w:rPr>
        <w:t>[Pages 49–51]</w:t>
      </w:r>
    </w:p>
    <w:p>
      <w:r>
        <w:t>BULLETIN NO. 49 OF JANUARY 18, 2016 51</w:t>
      </w:r>
    </w:p>
    <w:p>
      <w:r>
        <w:t>bituminous, as well as recycled material from the recovery of building demolition activities. The share capital is entirely held by individuals from the Grigolin family. In 2014, SuperBeton achieved a consolidated turnover of approximately 215 million euros. The turnover of the parent company alone was over approximately 163 million euros in 2014.</w:t>
      </w:r>
    </w:p>
    <w:p>
      <w:r>
        <w:t>3. Intermodale S.r.l. (hereinafter, “Intermodale”) is a consulting company that provides services in the fields of technology, quality, and safety, as well as conducting market research for companies operating in the sector of marketing building materials. The company is based in the province of Pordenone. The share capital is held by two individuals. In 2014, Intermodale achieved a turnover of approximately 52,400 euros, entirely in Italy. On August 12, 2015, Intermodale was removed from the Companies Register following voluntary liquidation.</w:t>
      </w:r>
    </w:p>
    <w:p>
      <w:r>
        <w:t>4. Calcestruzzi Mosole S.r.l. (hereinafter, “Calcestruzzi Mosole”) was a company operating in the sector of marketing building materials. The company was based in Veneto, in the province of Treviso, and was participated by Mosole S.p.A. and two individuals. In 2013, the company had a turnover of approximately 13.4 million euros. As of December 22, 2014, the company ceased operations, having been merged into the parent company Mosole S.p.A. (“Mosole”), a company - also based in the province of Treviso - operating not only in the sector of marketing building materials but also in other sectors, including the excavation of gravel and sand, their processing and transport; the collection, transport, storage, and disposal of special waste; the purchase and sale of real estate; and the management of hotel and restaurant activities. Mosole is entirely owned by individuals from the Mosole family and had a turnover of approximately 23 million euros in 2014.</w:t>
      </w:r>
    </w:p>
    <w:p>
      <w:r>
        <w:t>5. Jesolo Calcestruzzi S.r.l. (now in liquidation, hereinafter “Jesolo Calcestruzzi” or “Jesolo”), a company marketing building materials, based in the province of Venice, whose share capital is held by Ilsa Pacifici Remo S.p.A., Ge.Pa. S.r.l., and an individual. In 2014, Jesolo Calcestruzzi achieved a turnover of approximately 1.2 million euros. By a deed registered on July 2, 2015, Jesolo Calcestruzzi was prematurely dissolved and placed in liquidation.</w:t>
      </w:r>
    </w:p>
    <w:p>
      <w:r>
        <w:t>6. Ilsa Pacifici Remo S.p.A. (hereinafter, “Ilsa Pacifici” or “Ilsa”), a company active in the marketing of building materials, based in Veneto, in the province of Venice, whose share capital is held by two individuals, representatives of the Pacifici family. In 2014, Ilsa Pacifici achieved a turnover of approximately 4.5 million euros.</w:t>
      </w:r>
    </w:p>
    <w:p>
      <w:r>
        <w:t>7. Calcestruzzi Dolomiti S.p.A. (hereinafter, “Calcestruzzi Dolomiti”), a company previously operating in the sector of marketing building materials. The company was based in Veneto, in the province of Belluno, and its share capital was held by numerous individuals, mostly representatives of the De Pra family, and by two companies: F.lli De Pra S.p.A. and Findep S.a.s. di De Pra Roberto e C. It had a turnover of approximately 4.7 million euros as of 2013. As of October 31, 2014, the company ceased operations, having been merged into F.lli De Pra S.p.A. (hereinafter, “F.lli De Pra” or “De Pra”), a company - also based in the province of Belluno - operating in the sector of marketing building materials. F.lli De Pra is owned by various individuals, more than half of the share capital being representatives of the De Pra family. As of December 31, 2014, it had a turnover of approximately 12.8 million euros.</w:t>
      </w:r>
    </w:p>
    <w:p>
      <w:r>
        <w:t>8. F.lli Romor S.r.l. (hereinafter, “F.lli Romor” or “Romor”), a company active in the marketing of building materials, based in the province of Belluno, whose share capital is held by three individuals representing the Romor family. The company, established in March 2013, achieved a turnover of approximately 2.8 million euros in 2014. As of August 5, 2013, Romor rented two concrete batching plants in Val di Zoldo (BL) from Gino e Aurelio Romor S.r.l.</w:t>
      </w:r>
    </w:p>
    <w:p>
      <w:r>
        <w:t>II. THE INSTRUCTIONAL PROCEEDING</w:t>
      </w:r>
    </w:p>
    <w:p>
      <w:r>
        <w:t>9. On May 7, 2014, the Authority initiated an instructional proceeding against the companies General Beton, SuperBeton, Intermodale, Calcestruzzi Mosole (now Mosole), Jesolo Calcestruzzi, Ilsa Pacifici, Calcestruzzi Dolomiti (now F.lli De Pra), and F.lli Romor to ascertain the existence of violations of Article 2 of Law No. 287/90.</w:t>
      </w:r>
    </w:p>
    <w:p>
      <w:r>
        <w:t>10. The proceeding was initiated based on evidence obtained at the premises of Intermodale S.r.l. during the inspection on January 30, 2014, in the context of the different proceeding I772, related to two agreements in the concrete sector in the territory of Friuli Venezia Giulia. The available documentation allowed for the acquisition of information regarding two further agreements between different companies in the Veneto region. The information acquired in this regard was also substantiated by Intermodale itself with statements made by the same company during hearings on April 15, 2014, in the context of proceeding I772 and on June 4, 2015, in the context of the present proceeding.</w:t>
      </w:r>
    </w:p>
    <w:p>
      <w:r>
        <w:t>11. On May 13, 2014, inspection activities were carried out at the companies Calcestruzzi Dolomiti (now F.lli De Pra), Calcestruzzi Mosole, Ilsa Pacifici, and SuperBeton, in order to acquire documentation to support the instructional hypothesis. At SuperBeton, additional records were obtained, similar to those already acquired in proceeding I772 and characterized by the same format as the records extracted from the database used by Intermodale. Some of these records appeared to refer to areas different from those subject to the present investigation; in consideration of this, some checks were delegated to the Guardia di Finanza at the construction companies holding the sites supplied by various concrete producers, without, however, leading to clear evidence of further coordination tables in relation to the reference period (2012), nor providing evidence that contradicted the ascertainment subject to the present proceeding.</w:t>
      </w:r>
    </w:p>
    <w:p>
      <w:r>
        <w:t>12. The Parties were heard in hearings before the offices individually: Mosole on May 7, 2015; De Pra on May 8, 2015; SuperBeton on May 8, 2015; Ilsa Pacifici and Jesolo on May 11, 2015; F.lli Romor on May 14, 2015; General Beton Triveneta on May 15, 2015.</w:t>
      </w:r>
    </w:p>
    <w:p>
      <w:r>
        <w:t>13. The Parties have repeatedly accessed the documents of the instructional file during the proceeding.</w:t>
      </w:r>
    </w:p>
    <w:p>
      <w:r>
        <w:t>14. On May 20, 2015, the Authority, based on the information acquired regarding the successor phenomena affecting Calcestruzzi Mosole and Calcestruzzi Dolomiti, decided to continue proceeding I780 against the companies, respectively, Mosole and F.lli De Pra. With the same provision, the Authority extended the closure of the instructional proceeding to November 27, 2015, for instructional needs.</w:t>
      </w:r>
    </w:p>
    <w:p>
      <w:r>
        <w:t>15. On October 7, 2015, at the request of the companies General Beton Triveneta, SuperBeton, Mosole, F.lli Romor, and Ilsa Pacifici Remo, an additional extension was granted until December 31, 2015, to ensure the broadest exercise of the right of defense of the Parties.</w:t>
      </w:r>
    </w:p>
    <w:p>
      <w:r>
        <w:t>16. All Parties, except for Intermodale, submitted briefs in view of the final hearing that took place on November 11, 2015. F.lli De Pra submitted the final brief on November 4, 2015; SuperBeton, Mosole, Jesolo Calcestruzzi, Ilsa Pacifici Remo on November 5, 2015; General Beton Triveneta and F.lli Romor on November 6, 2015.</w:t>
      </w:r>
    </w:p>
    <w:p>
      <w:r>
        <w:t>III. THE INSTRUCTIONAL FINDINGS</w:t>
      </w:r>
    </w:p>
    <w:p>
      <w:r>
        <w:t>A. Summary of the instructional findings</w:t>
      </w:r>
    </w:p>
    <w:p>
      <w:r>
        <w:t>17. The examination of the instructional documents revealed that, starting from June 2010, SuperBeton, Mosole, Jesolo Calcestruzzi, Ilsa Pacifici Remo, and General Beton Triveneta, all concrete producing companies, Parties to the present proceeding, decided to address the decline in concrete prices caused by the contraction of the related demand, jointly establishing, through the newly established consulting company - Intermodale - a division of the volumes of concrete to be supplied and the clientele, assisted by the identification of a reference price, in a geographical area including the area north of Venice and, more precisely, the</w:t>
      </w:r>
    </w:p>
    <w:p>
      <w:r>
        <w:rPr>
          <w:b/>
        </w:rPr>
        <w:t>[Pages 52–54]</w:t>
      </w:r>
    </w:p>
    <w:p>
      <w:r>
        <w:t>54 BULLETIN NO. 49 OF JANUARY 18, 2016</w:t>
        <w:br/>
        <w:t>the municipalities of Caorle, Jesolo, and San Donà di Piave (hereinafter, the Venice Sea area). Since April 2010, a similar concertation, still under the aegis of Intermodale, had already been initiated in Friuli.</w:t>
      </w:r>
    </w:p>
    <w:p>
      <w:r>
        <w:t>18. In particular, some of the companies Parties to this proceeding, General Beton and SuperBeton, as established by the final provision of proc. I77218, were also Parties to the agreement concerning the UD/PN area. Due to the geomorphological characteristics of the Venice Sea area, the peculiarities of the concrete market in Veneto, and the presence in this geographical area of various companies, such as Mosole, Jesolo, and Ilsa Pacifici, a distinct and specific coordination table for this area was established from June 2010 among the companies General Beton, SuperBeton, Mosole, Jesolo, and Ilsa Pacifici.</w:t>
      </w:r>
    </w:p>
    <w:p>
      <w:r>
        <w:t>19. In February 2013, an additional coordination table that used the same coordination system, again with the mediation of Intermodale, was established among De Pra, F.lli Romor, and SuperBeton for the area including the province of Belluno (hereinafter, the Belluno area). The company F.lli Romor appears to have participated in this concertation only from August 5, 2013, when it acquired the concrete production branch previously managed by a family business (Gino e Aurelio Romor S.r.l.), which also succeeded in utilizing the consulting service with Intermodale and participating in the meetings organized from that moment.</w:t>
      </w:r>
    </w:p>
    <w:p>
      <w:r>
        <w:t>20. For both coordination tables, decisions regarding who should carry out a specific supply were discussed during meetings, generally held weekly, in which the competing companies participating in each table had an overview of the contestable construction sites, thanks to the reports that each of them had sent to Intermodale in the days preceding the meeting. Where competitors did not reach a shared solution, the final decision on who should carry out a specific supply was delegated to the consulting company Intermodale. The coordination of the Venice Sea area appears to have included, at one point (2012), the calculation of penalties against companies that did not comply with what was decided at the table.</w:t>
      </w:r>
    </w:p>
    <w:p>
      <w:r>
        <w:t>21. The existence of coordination tables aimed at the allocation of clients and the establishment of reference prices for the sale of concrete has been confirmed by statements made, in particular, by Intermodale during the hearings. The Parties to the two agreements also admitted, in the hearings and in their submissions, to having participated in the respective coordination, while representing in a differentiated manner the subject of the same, as well as the reasons, extent, and effectiveness of their involvement.</w:t>
      </w:r>
    </w:p>
    <w:p>
      <w:r>
        <w:t>B. the elements emerged from the inspection documentation as well as from the hearings with the parties to the proceeding</w:t>
        <w:br/>
        <w:t>the operational modalities of the coordination</w:t>
      </w:r>
    </w:p>
    <w:p>
      <w:r>
        <w:t>22. The concrete production companies GBT, SuperBeton, Jesolo, Mosole, Ilsa Pacifici, De Pra, and Romor all admitted, in the hearings and in the final submissions, to having participated in the coordination tables organized by Intermodale, providing details on the operational modalities of the same, albeit sometimes with differing emphases.</w:t>
      </w:r>
    </w:p>
    <w:p>
      <w:r>
        <w:t>23. The consulting company Intermodale has, for its part, emphasized that: “in 2010, the concrete producers active in the area, in order to counter the crisis in the sector (reduction of prices and quantities sold), decided to organize an allocation of the orders requested by the construction sites, aimed also at supporting the market prices of concrete. Intermodale was identified - also thanks to the existing relationships with some of the major local companies in the sector - as a tool for this organization. Mr. [...], already a partner of Intermodale, oversaw the creation of a database - fed by the data communicated by the participating companies in the allocation mechanism that were discussed during weekly meetings - containing, for each construction site, the indication of the probable size of the supply and the assigned concrete producer, as well as the price of the supply.” Furthermore: “the representatives of Intermodale then confirmed that a commercial activity similar to that carried out in the two areas of Friuli was conducted by the company, also following discussions and expressions of interest and availability from the interested companies, for two areas of the Veneto region, the so-called ‘Venice Sea’ area and the province of Belluno.”</w:t>
      </w:r>
    </w:p>
    <w:p>
      <w:r>
        <w:t>24. The coordination was managed by Intermodale through a database in which the consulting company collected all the data provided by the Parties of the various tables in chronological order. The database created by Intermodale, containing the complete data related to all the tables (both the two tables subject to this proceeding and the two tables that were the subject of proceeding I772) was found at the Intermodale headquarters during the inspection on January 30, 2014 (proc. I772); it is organized into different folders for the different coordination tables. With regard to the present proceeding, reference is made to the data contained in the folders ORDINI VE and ORDINI BL, in addition to a folder (CONTRATTI CLIENTI) containing the electronic versions of the consulting contracts concluded by Intermodale with the concrete production companies, its clients.</w:t>
      </w:r>
    </w:p>
    <w:p>
      <w:r>
        <w:t>The Venice Sea cartel</w:t>
      </w:r>
    </w:p>
    <w:p>
      <w:r>
        <w:t>25. General Beton, Jesolo, Mosole, and Ilsa Pacifici admitted to having participated in the coordination tables related to the Venice Sea area, managed by Intermodale and in the presence of other Parties. SuperBeton stated that the meetings were exclusively focused on technical/technological consulting and credit solvency. However, SuperBeton's participation in the allocation meetings is evidenced by the statements made by the consulting company as well as by competitors.</w:t>
      </w:r>
    </w:p>
    <w:p>
      <w:r>
        <w:t>26. The organization phase of the Venice Sea table required a mapping of the market and the determination of both historical clients and the historical shares of each participant. To this end, Intermodale's database evidences that General Beton, SuperBeton, Jesolo, Ilsa, and Mosole, in a phase prior to the start of the coordination, transmitted to the consulting company their revenues and the list of clients for the previous three years (2007-2009, sometimes up to the first half of 2010).</w:t>
      </w:r>
    </w:p>
    <w:p>
      <w:r>
        <w:t>27. The first meetings aimed at organizing the coordination and allocating the construction sites of the Venice Sea Area took place in June 2010 and concerned the geographical area including the municipalities of Caorle, Jesolo, and San Donà di Piave. The concrete production companies participating in the concertation of the Venice Sea area: GBT, SuperBeton, Mosole, Jesolo, and Ilsa covered almost 100% of the sales in the affected geographical area. The coordination for this area lasted until June 2013, for about 3 years.</w:t>
      </w:r>
    </w:p>
    <w:p>
      <w:r>
        <w:rPr>
          <w:b/>
        </w:rPr>
        <w:t>[Pages 55–57]</w:t>
      </w:r>
    </w:p>
    <w:p>
      <w:r>
        <w:t>BULLETIN NO. 49 OF JANUARY 18, 2016 57</w:t>
      </w:r>
    </w:p>
    <w:p>
      <w:r>
        <w:t>28. Meetings among the participants in the coordination were held on a weekly basis, but sometimes with interruptions lasting several weeks. All Parties confirmed their participation in these meetings, although not all with the same frequency.</w:t>
      </w:r>
    </w:p>
    <w:p>
      <w:r>
        <w:t>The Belluno cartel</w:t>
      </w:r>
    </w:p>
    <w:p>
      <w:r>
        <w:t>29. In 2013, the same model already applied in the Venice Mare area was replicated for the province of Belluno, with three companies operating there: SuperBeton, De Pra (at the time, Calcestruzzi Dolomiti), and Romor (since August 2013) admitted to having participated in the coordination tables organized by Intermodale, providing details on the operational methods, although some (SuperBeton and Romor) emphasized the exclusively technical and technological content of the consultancy received.</w:t>
      </w:r>
    </w:p>
    <w:p>
      <w:r>
        <w:t>30. The coordination in the Belluno area occurred similarly to what was seen above regarding Venice Mare. However, there is no evidence in the Intermodale database that the companies provided historical data, nor that Intermodale ever calculated penalties for any deviant behaviors. The companies in the Belluno area, based on statements made by De Pra during the hearing, constitute approximately 50% of the relevant market, in terms of the plants involved.</w:t>
      </w:r>
    </w:p>
    <w:p>
      <w:r>
        <w:t>1. The reports and assignments of the construction sites</w:t>
      </w:r>
    </w:p>
    <w:p>
      <w:r>
        <w:t>31. From the evidence acquired, it emerges that both coordination tables presented a similar operating system. The participating companies reported the various construction sites open or about to open to Intermodale with the quantitative forecasts of concrete to be supplied, delivering the data to the consulting company in the days preceding the weekly meeting. Often, these reports also included the possible price of the supply (if applicable, broken down into base price, call fee, and pumping) or the price already quoted to the requester. Such information is retrievable in the database with which Intermodale managed the coordination.</w:t>
      </w:r>
    </w:p>
    <w:p>
      <w:r>
        <w:t>32. Sometimes, for the sake of completeness in representing the market, construction sites of companies not participating in the coordination were also recorded, although these companies did not take part in the coordination.</w:t>
      </w:r>
    </w:p>
    <w:p>
      <w:r>
        <w:t>33. During the meetings, which took place in different locations and on different days for the various tables, both the assignment of the most recently reported construction sites to the different participants and the reference prices, as well as any open issues, were discussed. Intermodale, as previously mentioned, collected the reports and the outcomes of these discussions in a constantly updated database, from which the assignments of construction sites due to each Party were extracted. The Intermodale database shows, among the notes, comments related to supplies of the construction sites by Caorle except for the companies Rossi Mario Pietro &amp; C. and Calcestruzzi Biondo, which were recorded for completeness but had no relationship with Intermodale.</w:t>
      </w:r>
    </w:p>
    <w:p>
      <w:r>
        <w:t>34. Regarding the occasional participation in the weekly meetings, see doc. 145, 149, 150.</w:t>
      </w:r>
    </w:p>
    <w:p>
      <w:r>
        <w:t>35. Doc. 146: “in the Belluno area (…) Calcestruzzi Dolomiti, F.lli Romor, and SuperBeton” represent, overall, about 50% of the market offer, based on the number of concrete plants they hold.</w:t>
      </w:r>
    </w:p>
    <w:p>
      <w:r>
        <w:t>36. Doc. 1 bis.</w:t>
      </w:r>
    </w:p>
    <w:p>
      <w:r>
        <w:t>37. For example, in the Venice Mare area, the company Rossi Mario Pietro &amp; C., Calcestruzzi Biondo Srl, Calcestruzzi Zillo S.p.A., and, in the Belluno area, Dal Piva, Sici Calcestruzzi, Olivotto Calcestruzzi, Sica, Frezza Calcestruzzi, Calcestruzzi Eges, Tormena Calcestruzzi. Doc. 178 and 195.</w:t>
      </w:r>
    </w:p>
    <w:p>
      <w:r>
        <w:t>BULLETIN NO. 49 OF JANUARY 18, 2016 58</w:t>
      </w:r>
    </w:p>
    <w:p>
      <w:r>
        <w:t>2. The periodic meetings</w:t>
      </w:r>
    </w:p>
    <w:p>
      <w:r>
        <w:t>a) Venice Mare table</w:t>
      </w:r>
    </w:p>
    <w:p>
      <w:r>
        <w:t>34. Intermodale, as seen above, stated that: “the meetings for this table [i.e., Venice Mare table] were decided from time to time and took place sometimes in bars, sometimes in hotels, sometimes at Intermodale in a very variable manner and decided at the moment through phone contacts among the interested parties.” The other Parties to the proceeding also confirmed the existence of the meetings and their participation in them.</w:t>
      </w:r>
    </w:p>
    <w:p>
      <w:r>
        <w:t>b) Belluno table</w:t>
      </w:r>
    </w:p>
    <w:p>
      <w:r>
        <w:t>35. Regarding the coordination in the province of Belluno, the existence of meetings among the participants in the coordination described by Intermodale has also been confirmed by F.lli De Pra during the inspection, according to which: “regular meetings were held with Intermodale, on a weekly basis (…) sometimes at the Benito restaurant, in Ponte delle Alpi, sometimes in other locations (for example, Conegliano).” The CEO of the company later stated during the hearing: “that he did not know exactly what happened in those meetings and had never personally attended but had occasionally heard accounts from Mr. (employee of the company) and from (brother of the CEO). (…) The objective for Dolomiti to participate in the meetings managed by Intermodale in the presence of F.lli Romor and SuperBeton was to know the strategies of the competitors, although Mr. De Pra never considered those meetings useful as there was an incentive for the participants to hide or not reveal their construction sites.”</w:t>
      </w:r>
    </w:p>
    <w:p>
      <w:r>
        <w:t>36. General Beton highlighted that: “subsequent to the adhesion to the services of Intermodale, approximately around the beginning of 2011, of Mosole, Jesolo, and Ilsa, for reasons of organizational efficiency, meetings related to the Venice Mare area were separately conducted directly in the area. The meetings had a tendency to be weekly but there were long and frequent periods of discontinuity (even over a month), during which the meetings did not take place as they were not productive of results or GBT did not participate anyway. Information on the construction sites was transmitted to Intermodale during the meetings where it was then discussed. The meetings of the Mare Area ceased towards the end of 2012 because the indications provided to the tables were increasingly disregarded and, therefore, the participants had lost interest.” The company also indicated that in the Venice Mare Area: “based on its own experience, estimates that the productions of SB and GBT represent approximately 70% overall, and those of the other competitors the remaining 30%, of the total concrete production in the area.” Similarly, Mosole stated that: “since then [i.e., “starting from 2011”] Mosole has provided its turnover data to Intermodale and has participated in three meetings with that company and with the following other companies: Superbeton, General Beton, Zillo, and Friulana (…)”. Ilsa Pacifici during the inspection (doc. 39) stated that: “Intermodale, based on the information provided by the companies, had developed tables containing data related to market trends, construction sites, volumes, and prices for each construction site. Mr. [legal representative of the company] reviewed such tables during some meetings attended by representatives of the other companies involved in the proceeding initiated by the Authority, concerning the Venice area ‘Mare Zone’ (…) and Intermodale itself (…). In the aforementioned meetings, the companies also shared information regarding existing and/or upcoming construction sites in the territory and the solvency of customers.” In the hearing (Doc. 149): “at the meetings with the other local competitors organized by Intermodale, Mr. [legal representative of the company] did not participate regularly but they were held frequently. The information he provided in that context, the same as that provided by the other participants, concerned the served construction sites (which in the case of Ilsa were of historical customers), the volumes and prices and involved the ongoing construction sites and those that were to start.” Similar statements were made during the hearing by Jesolo Calcestruzzi doc. 150.</w:t>
      </w:r>
    </w:p>
    <w:p>
      <w:r>
        <w:t>37. Doc. 178 and 196.</w:t>
      </w:r>
    </w:p>
    <w:p>
      <w:r>
        <w:t>38. Doc. 5.</w:t>
      </w:r>
    </w:p>
    <w:p>
      <w:r>
        <w:t>BULLETIN NO. 49 OF JANUARY 18, 2016 59</w:t>
      </w:r>
    </w:p>
    <w:p>
      <w:r>
        <w:t>37. Regarding SuperBeton, the company stated during the inspection: “that it had participated in some meetings with Intermodale and with Calcestruzzi Dolomiti and F.lli Romor,” adding that - according to them - during those meetings “only credit-related issues were addressed (…)”.</w:t>
      </w:r>
    </w:p>
    <w:p>
      <w:r>
        <w:t>3. The tables</w:t>
      </w:r>
    </w:p>
    <w:p>
      <w:r>
        <w:t>38. From the Intermodale database, the tables containing the assignments were extracted, which were handed over in person at the beginning of the meetings as a starting point for possible discussions. At the end of the meetings, a new version was provided that incorporated the outcomes of the decisions made. General Beton, Ilsa Pacifici, Jesolo, and Mosole, Parties to the Venice Mare cartel, and the company De Pra, Party to the Belluno cartel, confirmed their systematic contribution to providing the data necessary to update the database, regardless of whether or not they participated in the individual weekly meetings. SuperBeton and Romor emphasized the technical nature of the meetings, while the statements made during the inspection by the representative of Mosole were subsequently disavowed during the hearing by the company’s Administrator. However, the transmission of data and participation in the coordination meetings by all the Parties in this proceeding appears confirmed by the statements made by the consulting company and the other participants and by the fact that information on the construction sites of all the Party companies (with the indication of the source from the same interested companies) is contained in the Intermodale database.</w:t>
      </w:r>
    </w:p>
    <w:p>
      <w:r>
        <w:t>39. Doc. 46.</w:t>
      </w:r>
    </w:p>
    <w:p>
      <w:r>
        <w:t>40. F.lli Romor stated during the hearing: “at the meetings, Mr. (CEO) attended only once while on other occasions his brother (of the CEO) participated, who had started to deal more closely with concrete.” Doc. 152.</w:t>
      </w:r>
    </w:p>
    <w:p>
      <w:r>
        <w:t>41. Doc. 154 (GBT) “Subsequent to the adhesion to the services of Intermodale, approximately around the beginning of 2011, of Mosole, Jesolo, and Ilsa, for reasons of organizational efficiency, meetings related to the Venice Mare area were separately conducted directly in the area. The meetings had a tendency to be weekly but there were long and frequent periods of discontinuity (even over a month), during which the meetings did not take place as they were not productive of results or GBT did not participate anyway. Information on the construction sites was transmitted to Intermodale during the meetings where it was then discussed”; Doc. 149 (Ilsa Pacifici): “At the meetings with the other local competitors organized by Intermodale [omitted] he did not participate regularly but they were held frequently. The information he provided in that context, the same as that provided by the other participants, concerned the served construction sites (which in the case of Ilsa were of historical customers), the volumes and prices and involved the ongoing construction sites and those that were to start. The participants in those meetings were technical personnel, whom Mr. Pacifici did not know, from companies in the sector and the territory. He presumes that they were General Beton Triveneta, SuperBeton, Mosole, and Jesolo Calcestruzzi”; doc. 150 (Jesolo): “Regarding the aspects of commercial collaboration, at the meetings with Intermodale for Jesolo, Mr. [omitted] who was in charge of the ordinary management of the same participated. The participants in those meetings were technical personnel from companies in the sector that Mr. Pacifici did not know. They were presumably General Beton Triveneta, SuperBeton, Mosole, and Ilsa Pacifici Remo. In that context, Jesolo provided, as did the other participants, information regarding the served construction sites, the volumes, and the prices concerning the ongoing construction sites and those that were to start.”</w:t>
      </w:r>
    </w:p>
    <w:p>
      <w:r>
        <w:t>42. Doc. 19.</w:t>
      </w:r>
    </w:p>
    <w:p>
      <w:r>
        <w:t>43. Doc. 146 “The [omitted] emphasized that the objective for Dolomiti to participate in the meetings managed by Intermodale in the presence of F.lli Romor and SuperBeton was to know the strategies of the competitors.”</w:t>
      </w:r>
    </w:p>
    <w:p>
      <w:r>
        <w:t>44. Doc. 145.</w:t>
      </w:r>
    </w:p>
    <w:p>
      <w:r>
        <w:t>45. Doc. 178 and doc. 195.</w:t>
      </w:r>
    </w:p>
    <w:p>
      <w:r>
        <w:t>46. Doc. 149, 150 for the Venice Mare table and doc. 146.</w:t>
      </w:r>
    </w:p>
    <w:p>
      <w:r>
        <w:rPr>
          <w:b/>
        </w:rPr>
        <w:t>[Pages 58–60]</w:t>
      </w:r>
    </w:p>
    <w:p>
      <w:r>
        <w:t>60 BULLETIN NO. 49 OF JANUARY 18, 2016</w:t>
      </w:r>
    </w:p>
    <w:p>
      <w:r>
        <w:t>38. Participation in the weekly meetings and the bidirectional flow of information through the reports disseminated by Intermodale allowed participants to exchange information, thus making the concrete sales market in the affected geographical areas completely transparent. The provision of each participant's commercial information occurred on the assumption that the other participants would do the same and, in light of what was agreed upon at the table or defined during the assignment, each could, in particular, "protect" themselves from potential offers from competitors to their clientele.</w:t>
      </w:r>
    </w:p>
    <w:p>
      <w:r>
        <w:t>39. The examination of the ORDINI VE database allowed for dating the start of coordination for the Venice Mare table to June 17, 2010; the examination of the ORDINI BL database allowed for tracing the start of coordination in the province of Belluno to February 25, 2013. In both cases, these are the dates of assignment of the first construction sites, identifiable under a specific column called "A CHI," which was often accompanied by the determination of reference prices to be quoted for each construction site (Pivot price orders), in the form of the price of concrete alone (RCK30) and sometimes also of fixed call rights (FPO price) and pumping (MCPO price). The assignments are "encrypted," in the sense that the name of the assigned company does not appear in the reports but rather a numerical code. The key to this numerical code is contained in a file of the database itself (Supplier) and was known to the participants in the coordination. Unassigned construction sites were identified with the code "0," which identified Intermodale. For each construction site, in addition to the location and the name of the client company (construction site), the estimated size of the supply (volume of concrete to be supplied), the type of work, the start date of the work, the reporting company (i.e., the company participating in the cartel that reported it - CHI), the assigned company (A CHI), and the date of assignment were recorded, as well as an indication of the existence or not of an exclusive assignment in favor of one of the participants in the coordination (column: exclusive) (sic).</w:t>
      </w:r>
    </w:p>
    <w:p>
      <w:r>
        <w:t>40. Furthermore, there was a column called "ANNOTATIONS," both in the ORDINI VE/Excel Orders folder and in the ORDINIBL/Excel Orders folder, in which other circumstances of interest for both the functioning of the coordination and for the participants were also reported, such as: (i) transfers of supplies from a company that had "started" the supply to the assigned company (e.g., "construction site started by 24 and continued by 25" "construction site initially assigned to 1 delivery 4 to verify!!" or "construction site initially assigned to 12 and supplied by 4 to 63.00" "construction site assigned to 4 and started by 24," (ii) exchanges of construction sites between cartel participants, such as "swaps" or "compensations" (iii) reports of construction sites in financial difficulties or of defaulting clients, or to whom it was appropriate to request cash payment (iv) annotations related to prices: "24 mistakenly proposed a lower price related to the fixed pump" or "initially assigned to 24 and supplied by 4 due to lower prices."</w:t>
      </w:r>
    </w:p>
    <w:p>
      <w:r>
        <w:t>41. Assignments were typically to a single participant and often occurred to the same company that had reported the construction site, primarily based on the criterion of the historical supplier.</w:t>
      </w:r>
    </w:p>
    <w:p>
      <w:r>
        <w:t>42. The importance attributed to the historical supplier criterion appears to be determined not only by the necessity of respecting the historical quota but also by the circumstance that loyal customers, in light of the assurance of a good level of service already experienced, were less sensitive to the price factor. The companies that were Parties to the agreement thus utilized the coordination precisely to "protect" the relationship with their loyal clientele, with whom they often had long-standing relationships that, however, in a situation of significant demand contraction such as that which had persisted since 2008, could potentially be called into question in the event of price competition from other suppliers.</w:t>
      </w:r>
    </w:p>
    <w:p>
      <w:r>
        <w:t>4. The "reference" price (indicated in the reports)</w:t>
      </w:r>
    </w:p>
    <w:p>
      <w:r>
        <w:t>43. Intermodale reported that although the price indicated in the reports was established by the reporter, on the assumption of being the assignee, it was an indicative or "reference" price that was then discussed and negotiated between the assigned company and the client, and therefore, the final price could be different. In this regard, it is noted that a reference price was nonetheless defined among competitors, against which the offers made by all Parties to the agreement had to be calibrated, in such a way as to ensure the assignment of the construction site, in accordance with what was decided in the meetings.</w:t>
      </w:r>
    </w:p>
    <w:p>
      <w:r>
        <w:t>44. Once the supplier of a construction site was decided, the other companies, if requested to submit an offer by that same client, would have to propose a less favorable price (greater than the reference price), in such a way as to ensure the supply to the designated company, at the agreed reference price or at another price agreed upon by them.</w:t>
      </w:r>
    </w:p>
    <w:p>
      <w:r>
        <w:t>5. The monitoring and penalty system</w:t>
      </w:r>
    </w:p>
    <w:p>
      <w:r>
        <w:t>45. The coordination also included a monitoring phase by Intermodale, which "received monthly data on actual turnover and quantities, which served to verify any discrepancies between theoretical productions - calculated based on the assignments - and actual productions." In the ORDINI VE database, there was also a folder Verifiche cantieri containing, in turn, two folders Verifiche Feb. 2012 and Verifiche Sett. 2011, within which are contained PDFs referring to control activities of companies participating in the coordination (GBT, JES, SB) and a folder on pending construction sites.</w:t>
      </w:r>
    </w:p>
    <w:p>
      <w:r>
        <w:t>46. This monitoring was accompanied by a system for reporting deviant behaviors. Within the ORDINI BL folder of the database, there are tables ("Excel Annotations") that present the order identifier - which allows identifying the name of the client, the location of the construction site, and the volume of work - the indication of the participant accusing another (column "Who"), as well as the indication of the accused party (column "Accusation") and the description of the accusation made (column "Description"). Similarly, in the ORDINI VE database, there is a file "Penalty Calculation 4" with annotations of the same nature.</w:t>
      </w:r>
    </w:p>
    <w:p>
      <w:r>
        <w:t>47. All Parties to the proceeding, including Intermodale, emphasized the contentiousness of the participants in the coordination. For example, De Pra emphasized how strong the temptation was to report construction sites in a misleading manner, trying to hide or not disclose their own construction sites; moreover, it was not infrequent for the agreed assignments not to be respected.</w:t>
      </w:r>
    </w:p>
    <w:p>
      <w:r>
        <w:t>48. In light of this contentiousness, Intermodale attempted to introduce a sanctioning mechanism, for the Venice table, for non-compliance with the agreements, which was based on calculating penalties proportional to the volumes taken from the competitor. However, the payment of the penalty was left to the initiative of the Parties themselves. This mechanism does not appear to have been successful, given the lack of coercion and the insignificance of the amounts that resulted. There is no evidence of actual payments of the penalties provided for by the participants in the coordination of the Venice Mare area.</w:t>
      </w:r>
    </w:p>
    <w:p>
      <w:r>
        <w:t>The crisis of the concrete production and sales sector</w:t>
      </w:r>
    </w:p>
    <w:p>
      <w:r>
        <w:t>49. As indicated by the Parties to the proceeding, the concrete production sector has faced, starting from 2008, a production crisis of enormous importance and duration, which is still ongoing.</w:t>
      </w:r>
    </w:p>
    <w:p>
      <w:r>
        <w:t>50. This is confirmed by data released by ATECAP (Technical Economic Association of Ready-Mixed Concrete). In the ATECAP 2014 Report, it emerges that in Northern Italy, in 2013, the decrease in levels of ready-mixed concrete production is lower than in other macro areas of Italy in percentage terms, although it stands at -19.5%, while in absolute terms it is precisely in the north that there has been the greatest production contraction (3.8 million cubic meters lost). The production decline is more concentrated in the two-year period 2012-2013 and, in any case, "From the beginning of the crisis to the end of 2013, the contraction of production in the macro areas varies in relative terms from a minimum of 54.4% (equal to 18.9 million cubic meters less) for the northern regions...". On average, across the entire national territory, this contraction, in the period from 2008 to 2013, is estimated by ATECAP to be over 56%.</w:t>
      </w:r>
    </w:p>
    <w:p>
      <w:r>
        <w:t>54. Doc. 146 "The [omissis] emphasized that the objective for Dolomiti to participate in the meetings managed by Intermodale in the presence of F.lli Romor and SuperBeton was to know the strategies of competitors although Mr. De Pra never considered these meetings useful as there was an incentive for participants to hide or not disclose their own construction sites."</w:t>
      </w:r>
    </w:p>
    <w:p>
      <w:r>
        <w:t>55. Available on the website www.atecap.it.</w:t>
      </w:r>
    </w:p>
    <w:p>
      <w:r>
        <w:t>56. "At the territorial level, the decrease in levels of ready-mixed concrete production affects all geographical divisions. In 2013, the most significant decline, in relative terms, is recorded in the islands with -23.9%; followed by the central regions, with -21.4% and the southern regions, with -20.7%; better, albeit negatively, is the situation in the northern regions which report a contraction of 19.5%. In absolute terms, the positions of the territorial divisions are reversed: the production contraction in the year in question assumes considerable proportions in the north (with 3.8 million cubic meters lost), followed by the south (with -1.9 million cubic meters), the center (with -1.6 million cubic meters) and finally the islands (with -0.9 million cubic meters)." ATECAP Report.</w:t>
      </w:r>
    </w:p>
    <w:p>
      <w:r>
        <w:rPr>
          <w:b/>
        </w:rPr>
        <w:t>[Pages 61–63]</w:t>
      </w:r>
    </w:p>
    <w:p>
      <w:r>
        <w:t>BULLETIN NO. 49 OF JANUARY 18, 2016 63</w:t>
      </w:r>
    </w:p>
    <w:p>
      <w:r>
        <w:t>51. Based on the statements of Intermodale and other Parties to the proceeding, the decrease in the volume of concrete marketed in the geographical areas of Veneto in the province of Venice and Belluno, from the beginning of the crisis to today, would be approximately 70%. In April 2010, therefore, at the time the coordination managed by Intermodale began, the companies had already been experiencing a significant reduction in the demand for concrete for over two years.</w:t>
      </w:r>
    </w:p>
    <w:p>
      <w:r>
        <w:t>II. EVALUATIONS</w:t>
      </w:r>
    </w:p>
    <w:p>
      <w:r>
        <w:t>1. Relevant markets</w:t>
      </w:r>
    </w:p>
    <w:p>
      <w:r>
        <w:t>a) The product market</w:t>
      </w:r>
    </w:p>
    <w:p>
      <w:r>
        <w:t>52. It is established that, in this case, the definition of the relevant market is essentially aimed at identifying the characteristics of the economic and legal context in which the agreement can restrict or distort the competitive mechanism and at deciphering its degree of offensiveness, the market can be defined, from a commodity perspective, as that of the production and sale of concrete.</w:t>
      </w:r>
    </w:p>
    <w:p>
      <w:r>
        <w:t>53. The market affected by the reported agreement is that of the production and marketing of concrete. Concrete is a semi-finished product obtained from the mixing of cement, aggregates such as gravel and sand, water, and any additives; production is carried out using machinery. Concrete is usually supplied to users pre-packaged, that is, prepared at a mixing plant and transported to the place of use by means of concrete mixers. There is also the possibility that concrete is prepared directly on-site by the user, using mixtures (made transportable by packaging in bags) to which water is added. Cement is the main element for the production of concrete, representing almost 70% of the mixture, and is not replaceable with other materials.</w:t>
      </w:r>
    </w:p>
    <w:p>
      <w:r>
        <w:t>b) Geographical markets</w:t>
      </w:r>
    </w:p>
    <w:p>
      <w:r>
        <w:t>54. The concrete market has limited geographical dimensions due to the perishable characteristics of the product resulting from the rapid solidification times, which determine its limited transportability. The investigative findings have highlighted that the concrete market has a geographical dimension equal to a limited distance from the production plant. However, it should be noted that research and development activities in the construction materials sector have led to the development of additives, which, in addition to improving the technical characteristics of concrete in terms of elasticity and strength, have also allowed for longer workability (particularly the so-called "retarding additives") and, therefore, to transport the pre-packaged product over greater distances, thus expanding its marketing radius.</w:t>
      </w:r>
    </w:p>
    <w:p>
      <w:r>
        <w:t>(1) The market of the agreement concerning the Venice Mare Area</w:t>
      </w:r>
    </w:p>
    <w:p>
      <w:r>
        <w:t>55. Some Parties to the proceeding have provided information regarding the distance of customers served by their concrete plants in Veneto. From the statements of the Parties, it emerges that in Veneto the concrete plants usually serve customers within a radius of about 20/30 km, given the level of congestion of the road network, although they can cover greater distances, up to about 40 km with the use of retarders.</w:t>
      </w:r>
    </w:p>
    <w:p>
      <w:r>
        <w:t>56. Using this information, it is possible to outline the "service areas" of the various plants of the Parties. From this exercise, it emerges that in the service area of each plant in the Venice Mare area, at least one plant of a competitor falls within it and that there is a continuum of plants – and therefore of partially overlapping service areas – belonging to the different Parties to the proceeding in the area that includes the municipalities of San Donà di Piave, Caorle, and Jesolo where the plants of the Parties to this coordination are located.</w:t>
      </w:r>
    </w:p>
    <w:p>
      <w:r>
        <w:t>In an agreement, the commodity and geographical extension of the relevant market is largely determined by the extent of the coordination itself, as this extension indicates the breadth of the market that the participants in the agreement believed possible and profitable to monopolize, taking into account the transaction costs to be incurred to organize the coordination itself. For this reason, since the agreement involved the municipalities of Caorle, Jesolo, and San Donà di Piave in the province of Venice, with reference to the so-called "Venice Mare Table," the relevant market coincides with the sale of pre-packaged concrete in the municipalities of Jesolo, Caorle, and San Donà di Piave, all in the province of Venice.</w:t>
      </w:r>
    </w:p>
    <w:p>
      <w:r>
        <w:t>(2) The market of the agreement concerning the Province of Belluno</w:t>
      </w:r>
    </w:p>
    <w:p>
      <w:r>
        <w:t>57. Similarly, in the province of Belluno, despite the limitations of the predominantly mountainous terrain of the Veneto region, it emerges that in the service area of each plant in the province of Belluno, at least one plant of a competitor falls within it and that there is a continuum of plants – and therefore of partially overlapping service areas – belonging to the different Parties of the coordination concerning this geographical area. This circumstance is confirmed by the identification of a separate concertation in the Belluno area (the so-called Belluno Table). Therefore, with reference to the so-called "Belluno Table," the relevant market coincides with the sale of pre-packaged concrete in the province of Belluno.</w:t>
      </w:r>
    </w:p>
    <w:p>
      <w:r>
        <w:t>58. As described above, the concertations subject to this proceeding occurred thanks to the activities carried out by the consulting company Intermodale. The coordination for the two tables (Venice Mare and Belluno) consisted of the communication to Intermodale, generally on a weekly basis, by each participant, of all the construction sites starting up and those expected to start, along with the related quantities of concrete to be supplied. Participants were required to communicate in advance any construction site that was starting, thus avoiding beginning the supply beforehand and were to respect the assignments collectively agreed upon at the table, which were based essentially on the criterion of the historical supplier, tempered by the criterion of proximity and respect for the historical quota, where calculated.</w:t>
      </w:r>
    </w:p>
    <w:p>
      <w:r>
        <w:t>59. To this end, Intermodale collected the information provided by the participating companies and prepared summary tables of the assignments to each Party, including situations already discussed and decided in previous meetings, as well as controversial situations and new situations. These tables were the subject of discussion in the generally weekly meetings for each table, following which Intermodale distributed an updated version of the tables reflecting the outcomes of the assignment decisions made at the table. Furthermore, at each of the two tables, the reference price for the supply was also agreed upon, aimed at guiding the behavior of the assignee and competitors in negotiations with the construction site. The actual price could partially deviate from what was collectively decided as it was, as already mentioned, also the result of negotiations carried out by the assignee with the customer.</w:t>
      </w:r>
    </w:p>
    <w:p>
      <w:r>
        <w:t>60. What was decided as a result of the weekly meetings represented the content of the coordination to which each participant was implicitly required to adhere, by the very fact of joining the distribution mechanism. This meant that once the supplier of a construction site was decided, other companies, if asked to submit an offer, would have to propose a price less favorable than the agreed reference price, in order to ensure the supply to the designated company.</w:t>
      </w:r>
    </w:p>
    <w:p>
      <w:r>
        <w:t>61. Over time, it happened that some participants did not adhere to the indications provided by Intermodale, and this led to discussions during the weekly meetings. The consulting company, therefore, envisioned a system of sanctions to give greater force to the coordination, which was only prepared for the Venice Mare table and only for 2012. It was a system of sanctions that it calculated and imposed itself, the compliance with which, however, was left to the initiative of the Parties themselves. However, there is no evidence that the Parties ever paid the penalties calculated by Intermodale.</w:t>
      </w:r>
    </w:p>
    <w:p>
      <w:r>
        <w:t>62. This circumstance is confirmed, conversely, in the annotations column of the ORDERS VE/Orders Excel and ORDINIBL/Orders Excel folders, where it reads: "Started by 4 without notification and assignment" "Started without notification 31/12/2013" regarding the coordination of the Belluno area, as well as "started by 11 without notification and assignment," "started without notification and initial assignment notification center vacation pra' torri," "started by 4 without assignment at a non-agreed price of € 61.00, started by 12 without notification and assignment" for the coordination of the Venice Mare area. Number 4 represents SBT and number 12 Jesolo Calcestruzzi, number 11 Mosole.</w:t>
      </w:r>
    </w:p>
    <w:p>
      <w:r>
        <w:t>63. There is evidence of this in the database for both concertations: regarding Venice Mare: "Construction site initially assigned to 13 and supplied by 4 for price differences," "construction site initially assigned to 1 delivery 4 verify!!!!!!!!!!," "construction site initially assigned to 12 and supplied by 4 at 63.00," "initially assigned to 4 provides 2," "initially assigned to 11 provides 4." Number 4 corresponds to SBT, number 11 to Mosole, number 12 to Jesolo Calcestruzzi, number 13 to Ilsa Pacifici. Regarding Belluno: "initially assigned to 24 and agreed to exchange with 25," "initially assigned to 25 the construction site was supplied by 4 (23/10/2013)." Number 24 corresponds to Calcestruzzi Dolomiti (now De Pra), number 25 to Romor.</w:t>
      </w:r>
    </w:p>
    <w:p>
      <w:r>
        <w:rPr>
          <w:b/>
        </w:rPr>
        <w:t>[Pages 64–66]</w:t>
      </w:r>
    </w:p>
    <w:p>
      <w:r>
        <w:t>66 BULLETIN NO. 49 OF JANUARY 18, 2016</w:t>
      </w:r>
    </w:p>
    <w:p>
      <w:r>
        <w:t>62. The investigative evidence shows that the Parties implemented two different agreements aimed at the allocation of customers, assisted by the establishment of reference selling prices, on one hand, in the Venice Mare area for a period of approximately 3 years (2010-2013) and, on the other hand, in the province of Belluno for a period of approximately 10 months (2013-2014), see infra section V. The duration of each agreement is traceable to the notes present in the Intermodale database which, chronologically, recorded the information it received from the Parties regarding the reported construction sites for which the assignment to the participants was decided. The two agreements also provided for an exchange of information aimed at making the concrete sales market in the affected geographical areas more transparent.</w:t>
      </w:r>
    </w:p>
    <w:p>
      <w:r>
        <w:t>63. The two agreements subject to this proceeding allowed the participating companies, in their respective geographical areas, at least to avoid a possible price war triggered by the prolonged economic crisis (starting from 2008) which caused a progressive contraction in the volumes of concrete sold.</w:t>
      </w:r>
    </w:p>
    <w:p>
      <w:r>
        <w:t>64. The contested conduct constitutes the most serious violation of competition law. The Parties to the proceeding, in fact, engaged in mutual collaboration with the aim of replacing competition with a mechanism for customer allocation, also through the establishment of a reference price. This allowed for the elimination of any uncertainty arising from the free play of competition, maintaining each party's historical clientele and higher prices. The conduct was carried out through the provision of sensitive information about customers, volumes, and prices to Intermodale, systematically and through the conduct of periodic meetings, in the presence of the involved companies. The premise was that such information would be shared with the other participants in the agreement and that the allocation of construction sites would be collectively agreed under the supervision of Intermodale, which intervened actively only in cases where the companies were unable to reach an agreement among themselves.</w:t>
      </w:r>
    </w:p>
    <w:p>
      <w:r>
        <w:t>65. As seen, the prevailing criterion for the allocation of construction sites, for both tables, was, from the outset, that of the historical clientele which received, through the coordination and intermediation of Intermodale, a sort of "endorsement" from the competitors. This included an implicit "non-aggression" rule regarding the competitor's customer, made possible by the disclosure of each party's historical customers and by agreeing on a compatible reference supply price, thus allowing the presentation of an offer by the other participants in the agreement, if requested, at a higher and non-competitive price compared to the agreed price.</w:t>
      </w:r>
    </w:p>
    <w:p>
      <w:r>
        <w:t>66. The collection of information from each company by Intermodale and its circulation to the participants at each table were aimed at influencing the commercial choices of each company and, in particular, at ensuring that each of them could preserve its loyal clientele and historical market share at prices higher than those that would have occurred in the presence of a context of mutual competition. In other words, the two forms of coordination, organized through Intermodale, had a clear anti-competitive object, as they aimed to eliminate any reasonable uncertainty regarding the customer acquisition policy and the selling price to be offered.</w:t>
      </w:r>
    </w:p>
    <w:p>
      <w:r>
        <w:t>67. According to national jurisprudence, each economic operator must independently determine the conduct to be followed in the market, and it is therefore "... strictly prohibited for operators to have direct or indirect contacts aimed at creating conditions of competition that do not correspond to normal market conditions." In this case, the Parties established a structured system of customer allocation assisted by the establishment of a reference price, which was systematically implemented in two different geographical markets. Therefore, the agreements in question represent restrictions on competition (hardcore), among the most serious that antitrust legislation provides for. The coordination, carried out through regular meetings and systematic exchanges of information and reports, constituted a single "agreement" continued in the relevant market of Venice Mare (as identified above) and a single "agreement" continued in the relevant market of Belluno.</w:t>
      </w:r>
    </w:p>
    <w:p>
      <w:r>
        <w:t>III. REPLY TO THE ARGUMENTS OF THE PARTIES TO THE PROCEEDING</w:t>
      </w:r>
    </w:p>
    <w:p>
      <w:r>
        <w:t>68. The Parties to the proceeding have all, as already documented above and despite some differences, admitted to having participated in the meetings organized by Intermodale which took place over a time frame between 2010 and 2013 for the Venice Mare area and between 2013 and 2014 for the province of Belluno. GBT, Jesolo, Mosole, and Ilsa for the Venice Mare table and De Pra for the Belluno table highlighted the particularly severe economic situation that would have led the companies to accept Intermodale's proposal to coordinate the rationalization of the allocation of construction sites and the reduction of competitive pressure, based on the assumption of the participation of the main competitors, thus putting a brake on mutual price and customer aggression that had even exacerbated the effects of the crisis, causing significant losses.</w:t>
      </w:r>
    </w:p>
    <w:p>
      <w:r>
        <w:t>69. All Parties emphasized the situation of severe and prolonged crisis in the construction sector that has persisted with increasing intensity from 2008 to the present day and is still ongoing, to the point that the volumes of concrete produced and sold have reportedly contracted by about 70%.</w:t>
      </w:r>
    </w:p>
    <w:p>
      <w:r>
        <w:t>70. In this regard, it is noted, however, that the peculiarity of the economic situation in the sector does not appear to be a valid reason to justify forms of coordination of pricing policies or customer allocation.</w:t>
      </w:r>
    </w:p>
    <w:p>
      <w:r>
        <w:t>71. Some Party companies highlighted the contentiousness of the participants at the coordination tables and the tendency not to report construction sites, to deviate from what was decided at the table, both in terms of assignments and regarding the agreed reference prices. However, this contentiousness did not prevent the continuation of the cartels, with a shorter duration, approximately 10 months for the Belluno cartel and about 3 years for the Venice Mare cartel. Furthermore, the uncontested participation in the exchange of information and weekly tables, albeit with interruptions for certain periods, confirms the existence of an anti-competitive agreement between Intermodale, GBT, SBT, Mosole, Jesolo, and Ilsa Pacifici concerning the Venice Mare area on one side and SBT, De Pra, and Romor concerning the Belluno area on the other.</w:t>
      </w:r>
    </w:p>
    <w:p>
      <w:r>
        <w:t>72. The agreements were implemented for about three years in the relevant market of Venice Mare and for about 10 months in the relevant market of Belluno. In this context, the fact that, as stated by some Parties during the hearing, there were frequent deviations in both tables from what was agreed upon at the weekly meetings and recorded in the summary reports distributed by Intermodale does not contradict the existence of a shared and implemented strategy and is therefore not decisive for the ascertainment of the anti-competitive agreements.</w:t>
      </w:r>
    </w:p>
    <w:p>
      <w:r>
        <w:t>73. The existence of deviations, more frequent over time, not adequately sanctioned, has been the cause of the gradual decline of both agreements, as evidenced by the abandonment of the table and the renunciation of Intermodale's consultancy by the Party companies, even before the opening of the I772 investigation (at the end of January 2014), and therefore even before the initiation of the present proceeding (May 2014).</w:t>
      </w:r>
    </w:p>
    <w:p>
      <w:r>
        <w:t>74. Mosole argued that the infringements in question cannot be considered "very serious" as indicated in the CRI but, at most, "serious" since the agreement would have concerned a geographically limited market (only a few municipalities in the province of Venice), whose effects on the price of concrete sold have not been proven and this also due to the systematic deviations of the participants. In this regard, it is noted that an assessment of the effects is not necessary for the ascertainment of infringements such as those in question, where the very object is restrictive and which represent, by their very nature, the most serious conduct prohibited by competition law.</w:t>
      </w:r>
    </w:p>
    <w:p>
      <w:r>
        <w:t>75. The companies GBT, SBT, and Romor argued that the infringements contested in this proceeding and in proceeding I772 would actually be a single infringement and that different cartels could not be identified as suggested in the Statement of Objections, as the participants at the different tables would largely be the same, the product would be the same, the methods followed would be the same, the role of Intermodale would be the same, and the purpose would often coincide, with the representatives of the companies at the meetings of the various tables being significantly overlapping. Nor would the coincidence of geographical areas be essential, based on community precedents for the definition of a single agreement. GBT particularly emphasizes that within the "Intermodale system," meaning the coordination activity that the consulting company provided for all the geographical areas in which it operated, each company has...</w:t>
      </w:r>
    </w:p>
    <w:p>
      <w:r>
        <w:rPr>
          <w:b/>
        </w:rPr>
        <w:t>[Pages 67–69]</w:t>
      </w:r>
    </w:p>
    <w:p>
      <w:r>
        <w:t>BULLETIN NO. 49 OF JANUARY 18, 2016 69</w:t>
      </w:r>
    </w:p>
    <w:p>
      <w:r>
        <w:t>adhered to the coordination based on its operations, being present at every table where geographical areas in which the company was operational were involved.</w:t>
      </w:r>
    </w:p>
    <w:p>
      <w:r>
        <w:t>76. The argument proposed, however, does not appear to be shareable for several reasons: first of all, in light of the same community principles, the single agreement appears logically sustainable only where there is a single plan that unites all participants. This, however, does not occur in the present case. In fact, the markets for the sale of concrete are local and are characterized by participation from small-sized companies operating only in certain geographical areas. Therefore, a hypothetical single agreement at the regional or multi-regional level does not seem to find possible justification in the absence of a common purpose among operators who do not compete with each other.</w:t>
      </w:r>
    </w:p>
    <w:p>
      <w:r>
        <w:t>77. The correctness of identifying multiple distinct agreements (two in the present proceeding and two in proceeding I772) lies in the fact that there were separate tables for the different local markets, where representatives of different companies sat, so much so that the participants at the different tables coincide only to a residual extent. Of the Parties in the present proceeding, only SuperBeton and General Beton are found to have participated in two different tables out of the four overall (ascertained with the investigation I772 and with the present investigation). The other five companies are found to have participated only in one of the four coordination tables.</w:t>
      </w:r>
    </w:p>
    <w:p>
      <w:r>
        <w:t>78. Furthermore, the duration of the coordinations was different (about 3 years for Venezia Mare and 10 months for Belluno). The meetings within each coordination took place on different days and in different locations, each within the operational area of the involved companies. Also, the communication of the construction sites to Intermodale occurred at different times for the participants at the two tables, and the records distributed by it differed for the two coordinations; moreover, the customer allocations concerned different geographical areas where the characteristics of marketing were influenced by the different morphological conformation of the territory. For these reasons, the objections, in particular, of SuperBeton, Romor, and GBT regarding the existence of a single infringement cannot be accepted, nor regarding the conduct subject to the present proceeding, and even less regarding those already ascertained as in violation of competition law in the previous proceeding I772.</w:t>
      </w:r>
    </w:p>
    <w:p>
      <w:r>
        <w:t>73 In the Treuhand II ruling, the Court notes that: “for the qualification of different behaviors as a single and continuous infringement, it is necessary to verify whether they present a link of complementarity, in the sense that each of them is intended to address one or more consequences of the normal play of competition, and whether they contribute, interacting with each other, to the realization of the complex of anti-competitive effects desired by their respective authors within a comprehensive plan aimed at achieving a single objective. In this regard, all circumstances that can prove or cast doubt on such a link must be taken into account, such as the period of application, the content (including the methods used), and, correlatively, the objective of the different behaviors in question (point 241). This ruling was confirmed on appeal by the Court of Justice (C-194/14 P) on October 22, 2015.</w:t>
      </w:r>
    </w:p>
    <w:p>
      <w:r>
        <w:t>74 Without considering Intermodale, which coordinated all the tables and thus, by definition, is involved in all the coordinations.</w:t>
      </w:r>
    </w:p>
    <w:p>
      <w:r>
        <w:t>75 To which Calcestruzzi S.p.A. and the Zillo group are also added, involved in two tables out of the four overall.</w:t>
      </w:r>
    </w:p>
    <w:p>
      <w:r>
        <w:t>76 Mosole, Ilsa Pacifici, Jesolo, Romor, De Pra in proceeding I780, to which are added 3 companies Parties to proceeding I772: Friulana Calcestruzzi S.p.A., Cobeton S.r.l., and Concrete Nordest S.r.l.</w:t>
      </w:r>
    </w:p>
    <w:p>
      <w:r>
        <w:t>77 Over 3.5 years for the UD cartel and about 2 years for that of Trieste, as ascertained in the final provision of proceeding I772.</w:t>
      </w:r>
    </w:p>
    <w:p>
      <w:r>
        <w:t>70 BULLETIN NO. 49 OF JANUARY 18, 2016</w:t>
      </w:r>
    </w:p>
    <w:p>
      <w:r>
        <w:t>79. Mosole has repeatedly emphasized, through its sole director, that the representative who made the statements recorded during the inspection (a member of the same family), as well as both individuals who appear to have represented the company at the meetings organized by Intermodale, acted on their own initiative without being authorized to do so and not being in any way in a relationship of dependence or collaboration with the company. In one case, it was a surveyor, a former employee of Mosole, now retired, and in the other, the son of the Sole Director. In this situation, Mosole believes that it was up to the Authority to prove that these individuals acted in the name and on behalf of the company, with a relationship of dependence in some way "formalized." However, the argument raised by Mosole does not appear to be shareable as all parties at the Venezia Mare table, including the consulting company, confirmed the presence of a representative of Mosole at the meetings organized by Intermodale, and the latter indicated precisely in the former employee of the company or, only more rarely, in the son of the Sole Director the representatives of Mosole who interfaced with the consulting company. They, moreover, provided Intermodale, like the others, with the sales data of concrete as well as the construction sites supplied or in progress, thus demonstrating that they were aware of detailed information about the company's operations. Furthermore, in light of the fact that the consulting company appears to have been compensated by Mosole for the work performed and that the aforementioned individuals provided Intermodale, like the others, with the sales data of concrete, as well as the construction sites supplied or in progress, the formalization of the relationship with the company of these individuals cannot be an essential requirement to consider that such people sat at the coordination table in the name and on behalf of the company. All these elements, on the contrary, demonstrate how the aforementioned individuals substantially acted on behalf of the company, for the purpose that is relevant here. On the other hand, the need for further formalization would undoubtedly lend itself to an instrumental use of circumventing antitrust regulations.</w:t>
      </w:r>
    </w:p>
    <w:p>
      <w:r>
        <w:t>80. SuperBeton has pointed out that the revenues of the company, relevant for the possible calculation of the sanction in the present proceeding, would have already been communicated in the context of proceeding I772, fully regarding the revenue of the Venezia Mare area and partially regarding the province of Belluno, as they are included in the revenue of the so-called left Piave, geographically included within the scope of proceeding I772. Such revenues,</w:t>
      </w:r>
    </w:p>
    <w:p>
      <w:r>
        <w:t>78 Doc. 145, in final memorandum doc. 270 and in final hearing doc. 280 bis.</w:t>
      </w:r>
    </w:p>
    <w:p>
      <w:r>
        <w:t>79 Who at the time also held the role of Delegate Councillor of Mosole S.p.A., the parent company of Calcestruzzi Mosole S.r.l., in which it has been incorporated to date.</w:t>
      </w:r>
    </w:p>
    <w:p>
      <w:r>
        <w:t>80 If it were admitted as an exonerating circumstance that the participation in constitutive elements of an anti-competitive agreement by representatives of a company occurred in a personal capacity, “it would allow the involved companies to have a formidable argument that is unassailable by contrary evidence (according to an approach that is indeed conflicting with the established guidelines regarding the distribution of the burden of proof in the context of prohibited agreements)” (Council of State, June 3, 2014, no. 2838, I722 International Logistics). And again “[T]he merely behavioral and markedly factual connotation of the infringement referred to in Article 101 TFEU evidently disregards the formal boundaries of attributions in corporate and associative contexts.” Arguing otherwise, the involved companies could initiate collusive practices at a formally different decision-making level than the competent one, “thus overcoming – through a formal ruse – the typically substantial nature of antitrust investigations” (Council of State, June 27, 2014, no. 3252, I722 International Logistics).</w:t>
      </w:r>
    </w:p>
    <w:p>
      <w:r>
        <w:t>81 The revenue of the Sospirolo (BL) plant would have already been communicated in proceeding I772, as included in the left Piave area.</w:t>
      </w:r>
    </w:p>
    <w:p>
      <w:r>
        <w:t>BULLETIN NO. 49 OF JANUARY 18, 2016 71</w:t>
      </w:r>
    </w:p>
    <w:p>
      <w:r>
        <w:t>therefore, having already constituted the basis for calculating the sanction imposed in the concluded proceeding, cannot be reconsidered in this context, under penalty of violating the principle of ne bis in idem. This argument does not appear worthy of acceptance insofar as the revenues useful for calculating the sanction related to the conduct contested in the present proceeding are those pertaining to the relevant markets that, for the two agreements here ascertained, have been identified within the scope of the coordination (Venezia Mare Area and Province of Belluno). Moreover, SuperBeton was asked in proceeding I772 to provide the revenue generated concerning the left Piave area in the province of Treviso, and not the revenue possibly generated in the same geographical area (left Piave) in the different provinces of Venice and/or Belluno, which are the subject of the present investigation.</w:t>
      </w:r>
    </w:p>
    <w:p>
      <w:r>
        <w:t>Conclusion. The anti-competitive purpose of the coordinations through Intermodale</w:t>
      </w:r>
    </w:p>
    <w:p>
      <w:r>
        <w:t>81. In conclusion, the elements acquired during the investigation confirm the hypothesis outlined at the initiation of the proceeding, namely that GBT, SuperBeton, Ilsa Pacifici, Jesolo, and Mosole participated from 2010 to 2013, through the service company Intermodale, in an agreement aimed at the allocation of concrete supply construction sites, with the establishment of reference prices, in the geographical market north of Venice, identified above as Venezia Mare. SuperBeton, De Pra, and Romor, in 2013-2014 and always through Intermodale, also participated in a coordination aimed at the allocation of concrete supply construction sites and the establishment of reference prices, in the geographical market of the province of Belluno. The coordination, in both markets, was aimed at maintaining the historical clientele of each competitor. The coordinations involved the main operators in the geographical areas involved, representing approximately 100% of the market regarding the Venezia Mare table and about 50% concerning the Belluno table.</w:t>
      </w:r>
    </w:p>
    <w:p>
      <w:r>
        <w:t>IV. GRAVITY AND DURATION OF THE INFRINGEMENTS</w:t>
      </w:r>
    </w:p>
    <w:p>
      <w:r>
        <w:t>82. Article 15, paragraph 1, of Law No. 287/90 provides that the Authority, in cases of serious infringements, taking into account their gravity and duration, shall impose an administrative pecuniary sanction of up to ten percent of the turnover achieved by the company responsible for the infringement in the last financial year, considering the gravity and duration of the same infringement. Community jurisprudence has clarified that the gravity of the infringement can be assessed by considering, in particular, the nature of the conduct, the importance of the companies, and the context in which the behaviors were carried out.</w:t>
      </w:r>
    </w:p>
    <w:p>
      <w:r>
        <w:t>83. Regarding the nature of the agreements in question, it is noted that the behaviors of the Parties represent a secret cartel for customer allocation, assisted by the establishment of reference prices, aimed at maintaining the historical shares of the participants. The two secret horizontal agreements occurred between companies that represented approximately 100% of the relevant market of Venezia Mare and approximately 50% of the relevant market of Belluno, suitable, by their very nature, to significantly restrict competition.</w:t>
      </w:r>
    </w:p>
    <w:p>
      <w:r>
        <w:rPr>
          <w:b/>
        </w:rPr>
        <w:t>[Pages 70–72]</w:t>
      </w:r>
    </w:p>
    <w:p>
      <w:r>
        <w:t>72 BULLETIN NO. 49 OF JANUARY 18, 2016</w:t>
        <w:br/>
        <w:t>nature, and intended to alter the normal functioning of competition and, therefore, fall within the category of the most serious violations of antitrust legislation.</w:t>
      </w:r>
    </w:p>
    <w:p>
      <w:r>
        <w:t>84. It must be considered that according to constant case law, for a violation of competition rules to be considered intentional, it is not necessary for the company committing it to be aware of breaching such rules, but it is sufficient that it could not ignore that its behavior aimed at restricting competition.</w:t>
      </w:r>
    </w:p>
    <w:p>
      <w:r>
        <w:t>85. In the case at hand, all the companies involved in the proceeding possess the legal and economic knowledge necessary to understand the consequences from a competition perspective of the behavior carried out, also considering the evident illicit nature that characterizes a secret agreement among competitors aimed at restricting competition among the participants in terms of prices and clientele.</w:t>
      </w:r>
    </w:p>
    <w:p>
      <w:r>
        <w:t>86. The anticompetitive objective has, moreover, been fully implemented in the mutual allocation of construction sites, based on the historical shares and the historical clientele of each participant.</w:t>
      </w:r>
    </w:p>
    <w:p>
      <w:r>
        <w:t>87. It emerges, therefore, that the behaviors carried out by Intermodale, SBT, GBT, Jesolo, Ilsa Pacifici, and Mosole in the Venice Mare area and by Intermodale, SBT, De Pra, and Romor in the province of Belluno constitute very serious violations of the rules protecting competition. In this regard, the Guidelines on the application of the criteria for quantifying administrative pecuniary sanctions imposed by the Authority in application of Article 15, paragraph 1, of Law No. 287/90 consider such horizontal secret agreements on price-fixing, market allocation, and production limitation (point 12).</w:t>
      </w:r>
    </w:p>
    <w:p>
      <w:r>
        <w:t>88. Regarding the duration of the violation, the beginning of the concertation in Venice Mare must be traced back to June 17, 2010, when the first assignments were made to all participants, although the transmission of information by the companies to Intermodale was also prior to that date, and the end to January 10, 2013, for Jesolo, June 13, 2013, for Ilsa Pacifici, May 24, 2013, for Mosole, and June 20, 2013, for General Beton Triveneta and SuperBeton (the last dates on which reports from the participants and the corresponding assignments appear in the Intermodale database). As for the Belluno table, the start of the concertation is to be traced back to February 25, 2013, and the end to January 21, 2014, for SuperBeton and De Pra (the last date from which the assignments of construction sites to the participants appear in the Intermodale database).</w:t>
      </w:r>
    </w:p>
    <w:p>
      <w:r>
        <w:t>89. The company Romor, in its final memorandum, emphasized that the Communication of Investigative Results does not clearly highlight the subjective profile of the company identified as Romor in the Intermodale records, thus creating a fundamental ambiguity regarding which company these records were intended to refer to, considering that the Romor family has operated in the marketing of concrete with different companies that always had the family surname in their corporate name. Romor points out, in this regard, that the company involved in the proceeding (F.lli Romor S.r.l.), established in March 2013, only from August of that year took over the concrete production business from a family company in liquidation (Gino &amp; Aurelio Romor S.r.l.) and, therefore, there would be doubt as to which company the records intended to refer. However, the exception raised by Romor does not appear to be shareable as the concrete production plants of the Romor family were managed by the company Gino &amp; Aurelio Romor S.r.l. until July 2013, to then be, as of August 5, 2013, partially transferred to Romor and partially sold to third parties. There is therefore no ambiguity regarding the ownership of these plants and the related activity attributable to Gino &amp; Aurelio Romor S.r.l. until July 2013 and to F.lli Romor S.r.l., a party to the present proceeding, from August 5, 2013. Since the company always referred to physical persons of the Romor family, there has been no change in the identification of the company in the Intermodale database, but there can be no ambiguity regarding the fact that the turnover at the coordination table managed by Intermodale is the same that governed the timing of the management of the plants belonging to the two family companies. Moreover, the turnover achieved by the consulting company Intermodale for 2013, distributed among the various client companies, testifies to the origin of the sums received by the two different companies of the Romor family within the same year 2013. As of August 5, 2013, therefore, the term Romor in the Intermodale database identifies the company involved in the present proceeding.</w:t>
      </w:r>
    </w:p>
    <w:p>
      <w:r>
        <w:t>90. In conclusion, for the company Romor, since it has rented the production and sale branch of concrete from the family company Gino &amp; Aurelio Romor S.r.l. in liquidation as of August 5, 2013, the start date must coincide with that date while the end date coincides with January 21, 2014, like the other participants.</w:t>
      </w:r>
    </w:p>
    <w:p>
      <w:r>
        <w:t>91. The duration of the concertations, therefore, is 3 years and 3 days in the case of the Venice Mare cartel for SBT and GBT, 2 years and 361 days for Ilsa Pacifici, 2 years and 207 days for Jesolo Calcestruzzi, and 2 years and 341 days for Mosole. As for the Belluno cartel, the duration was 330 days for the companies SBT and De Pra while it was 169 days for the company Romor.</w:t>
      </w:r>
    </w:p>
    <w:p>
      <w:r>
        <w:t>92. General Beton, Mosole, and especially Intermodale, as seen above, have declared a timing only partially coinciding with what emerges from the database, stating that the cessation of coordination in the Venice Mare area must be traced back to the end of 2012. However, as highlighted above, the database acquired from Intermodale accounts for reports and related assignments made even on dates subsequent to those indicated by the Parties as the last dates of coordination.</w:t>
      </w:r>
    </w:p>
    <w:p>
      <w:r>
        <w:t>93. Similarly, De Pra and Intermodale for the Belluno table indicated the cessation of coordination in this area at the end of 2013. However, even in this case, as highlighted above, the database acquired from Intermodale accounts for assignments made even on dates subsequent to December 2013, based on reports of the construction sites by the participants at the table. For this reason, it is therefore considered that the cartel persisted until January 21, 2014.</w:t>
      </w:r>
    </w:p>
    <w:p>
      <w:r>
        <w:t>94. With reference to the province of Belluno, all the Parties have indicated that construction activity is strongly conditioned by climatic conditions, to the point that the concertation could only be possibly traced back to a few months of the year, as the others are precluded from carrying out the activity for objective reasons. The company De Pra has also cited, as a reason for the temporal limitation of construction activity (and, therefore, of concrete sales), the restrictions imposed during the summer period in numerous tourist locations in the province, to favor the stay of vacationers. This objection does not appear to be worthy of acceptance as the Intermodale database accounts for reports and assignments even in winter and summer months, with variable frequency but without any interruption. The fact that some assignments did not materially follow the start of the construction site, besides being generally valid, if it concerns construction sites reported before their start, does not negate the existence of coordination with anticompetitive purposes.</w:t>
      </w:r>
    </w:p>
    <w:p>
      <w:r>
        <w:t>V. QUANTIFICATION OF THE SANCTION</w:t>
      </w:r>
    </w:p>
    <w:p>
      <w:r>
        <w:t>95. Once the seriousness and duration of the violations committed by Intermodale, Superbeton, General Beton, Jesolo, Ilsa Pacifici, Mosole, De Pra, and Romor have been ascertained, for the purpose of identifying the quantification criteria, it is necessary to take into account the provisions of Article 11 of Law No. 689/1981, as recalled by Article 31 of Law No. 287/90, as well as the interpretative criteria outlined in the Guidelines of October 22, 2014.</w:t>
      </w:r>
    </w:p>
    <w:p>
      <w:r>
        <w:t>96. Based on points 7 and following of the Guidelines, to calculate the base amount of the sanction, the value of the sales of the goods involved in the violations has been referenced, that is, the turnover related to the sales of concrete in the respective relevant markets, in the last full year of participation in the violation, net of VAT and other taxes. In the case of the Venice Mare agreement, the turnover in the relevant market for the year 2012 was considered, while in the case of the Belluno agreement, the turnover in the relevant market for the year 2013 was considered. The percentage to be applied is set based on the degree of seriousness of the violation.</w:t>
      </w:r>
    </w:p>
    <w:p>
      <w:r>
        <w:t>97. This percentage is identified between 15% (minimum applicable) and 30%, in order to allow for consideration of the peculiarities of the individual case. For secret agreements on price-fixing, market allocation, and production limitation, the Guidelines state that due to their very nature, they constitute some of the most serious restrictions of competition.</w:t>
      </w:r>
    </w:p>
    <w:p>
      <w:r>
        <w:rPr>
          <w:b/>
        </w:rPr>
        <w:t>[Pages 73–75]</w:t>
      </w:r>
    </w:p>
    <w:p>
      <w:r>
        <w:t>BULLETIN NO. 49 OF JANUARY 18, 2016 75</w:t>
      </w:r>
    </w:p>
    <w:p>
      <w:r>
        <w:t>and customer allocation, as in the case at hand, the percentage of the value of sales "will generally not be less than 15%" (point 12 of the Guidelines). In the case in question, the level of market concentration does not appear to be high while the implementation of the unlawful practice is certainly proven for the entire duration. Therefore, the base amount of the sanction is set at 15% of the value of sales, which corresponds to the minimum provided by the Guidelines.</w:t>
      </w:r>
    </w:p>
    <w:p>
      <w:r>
        <w:t>98. The amount corresponding to 15% of the value of sales achieved in the relevant market, as specified above, is quantified as follows:</w:t>
      </w:r>
    </w:p>
    <w:p>
      <w:r>
        <w:t>value of sales</w:t>
        <w:br/>
        <w:t>Venice Sea Severity 15%</w:t>
        <w:br/>
        <w:t>(point 8 Guidelines)</w:t>
        <w:br/>
        <w:t>Sea (point 7 Guidelines)</w:t>
        <w:br/>
        <w:t>(relevant turnover 2012)</w:t>
        <w:br/>
        <w:t>SBT 1,555,290 233,294</w:t>
        <w:br/>
        <w:t>GBT 1,270,113 190,517</w:t>
        <w:br/>
        <w:t>Mosole 839,217 125,883</w:t>
        <w:br/>
        <w:t>Ilsa 1,233,757 185,064</w:t>
        <w:br/>
        <w:t>Jesolo 2,431,060 364,659</w:t>
        <w:br/>
        <w:t>Intermodale 180,443 27,067</w:t>
      </w:r>
    </w:p>
    <w:p>
      <w:r>
        <w:t>value of sales</w:t>
        <w:br/>
        <w:t>Severity 15%</w:t>
        <w:br/>
        <w:t>Belluno (point 8 Guidelines)</w:t>
        <w:br/>
        <w:t>(point 7 Guidelines)</w:t>
        <w:br/>
        <w:t>(relevant turnover 2013)</w:t>
        <w:br/>
        <w:t>SBT 2,578,444 386,767</w:t>
        <w:br/>
        <w:t>Romor 361,669 54,250</w:t>
        <w:br/>
        <w:t>De Pra 4,758,826 713,824</w:t>
        <w:br/>
        <w:t>Intermodale 139,404 20,911</w:t>
      </w:r>
    </w:p>
    <w:p>
      <w:r>
        <w:t>99. In the case of Intermodale, being a consulting company, the relevant turnover was calculated by applying the percentage of 15% on 50% of the turnover that the company achieved with the participating companies in the two cartels, in 2013 for the Belluno cartel and in 2012 for the Venice Sea cartel. The percentage of 50% represents an estimate of the fees received by Intermodale for the management of the cartel, in relation to the overall consulting provided to the Parties.</w:t>
      </w:r>
    </w:p>
    <w:p>
      <w:r>
        <w:t>100. Regarding the duration of the agreement, it was 3 years and 3 days in the case of the Venice Sea cartel for Intermodale, SBT, and GBT, 2 years and 361 days for Ilsa Pacifici, 2 years and 207 days for Jesolo Calcestruzzi, and 2 years and 341 days for Mosole, as well as, concerning the Belluno cartel, 330 days for the companies Intermodale, SBT, and De Pra and 169 days for the company Romor. The amounts calculated above were, therefore, multiplied, with reference to the participants in the Venice Sea cartel, by 3.008 in the case of Intermodale, GBT, and SBT, by 2.93 regarding Mosole, by 2.99 concerning Ilsa Pacifici, and by 2.56 regarding Jesolo. Relatively, then, to the participants in the Belluno province cartel, the multiplication factor is 0.9 for Intermodale, SBT, and De Pra and 0.46 for Romor. Therefore, the base amount for each company corresponds to:</w:t>
      </w:r>
    </w:p>
    <w:p>
      <w:r>
        <w:t>Base amount</w:t>
        <w:br/>
        <w:t>Venice Sea</w:t>
        <w:br/>
        <w:t>SBT 701,747</w:t>
        <w:br/>
        <w:t>GBT 573,075</w:t>
        <w:br/>
        <w:t>Mosole 368,836</w:t>
        <w:br/>
        <w:t>Ilsa 553,340</w:t>
        <w:br/>
        <w:t>Jesolo 933,527</w:t>
        <w:br/>
        <w:t>Intermodale 81,416</w:t>
      </w:r>
    </w:p>
    <w:p>
      <w:r>
        <w:t>Belluno</w:t>
        <w:br/>
        <w:t>SBT 348,090</w:t>
        <w:br/>
        <w:t>Romor 24,955</w:t>
        <w:br/>
        <w:t>De Pra 642,442</w:t>
        <w:br/>
        <w:t>Intermodale 18,820</w:t>
      </w:r>
    </w:p>
    <w:p>
      <w:r>
        <w:t>101. The companies De Pra, GBT, and Intermodale provided qualified cooperation throughout the entire proceeding, helping to reconstruct the contested case from the perspective of its functioning, coordination, and duration. For these companies, it is deemed appropriate to value the cooperation provided as a mitigating factor (ex point 23 of the Guidelines), to the extent of 10%.</w:t>
      </w:r>
    </w:p>
    <w:p>
      <w:r>
        <w:t>102. De Pra, GBT, and SBT submitted to the Authority the antitrust compliance programs adopted, requesting their evaluation as a mitigating factor (also pursuant to point 23 of the Guidelines). GBT, in particular, provided documentation used for conducting training sessions, carried out by external legal consultants, aimed at top management and all business functions at the end of 2014 (December) already before the adoption of the program by the company's Board of Directors (January 21, 2015) as well as in 2015. The antitrust compliance program of De Pra, whose adoption is dated April 28, 2015, provided for the conduct of audit sessions and meetings aimed at its implementation, which actually took place in July and September 2015. SuperBeton reports the adoption, on December 12, 2014, by the company's Board of Directors, of an antitrust compliance program to integrate the provisions on competition already contained in the Organization, Management, and Control Model pursuant to Legislative Decree No. 231/2001. However, no forms of implementation have been documented.</w:t>
      </w:r>
    </w:p>
    <w:p>
      <w:r>
        <w:t>103. Therefore, although all the programs presented by the Parties (De Pra, GBT, SBT) provide for the involvement of management, the identification of personnel responsible for the program, the organization of training activities, as well as the provision of incentives/disincentives, monitoring and audit systems, however, as already indicated above, regarding the Antitrust Compliance Program submitted by SuperBeton, there is no evidence in the records of activities of concrete implementation of the same. The documentation submitted mentions, in fact, the company's intention to conduct seminars on competition law topics for the benefit of executives and sales managers, of which, however, no proof of actual conduct has been provided, nor of the identity of any participants. Conversely, the compliance programs submitted by GBT and De Pra, whose adoption is dated January 21, 2015, and April 28, 2015, respectively, all prior to the Communication of the Investigative Results, account for the conduct of specific seminar activities for the benefit of employees and managers. In this regard, therefore, in line with what is provided in point 23 of the Guidelines, it is deemed appropriate to recognize only De Pra and GBT a specific mitigating factor equal to 5% of the sanction, due to the documented activity of these latter companies in implementing their respective antitrust compliance programs.</w:t>
      </w:r>
    </w:p>
    <w:p>
      <w:r>
        <w:t>104. As for the economic conditions of the companies, although the prerequisites for applying a specific reduction were not met (not resulting, in each of the last three business years, i) a loss in the balance sheet and ii) a negative operating result), however, the specificity of the situation of Jesolo, a company in liquidation, justifies the application to it of a reduction of the amount of the related sanction equal to 15%.</w:t>
      </w:r>
    </w:p>
    <w:p>
      <w:r>
        <w:t>105. Article 15 of Law No. 287/90 provides for a maximum limit of the sanction equal to 10% of the total turnover achieved in the financial year closed before the notification of the warning. Below is reported, for each company, the amount of the sanction as resulting from the described calculation carried out in application of the Guidelines and the maximum sanction that can be imposed due to the limit imposed by the maximum penalty:</w:t>
      </w:r>
    </w:p>
    <w:p>
      <w:r>
        <w:rPr>
          <w:b/>
        </w:rPr>
        <w:t>[Pages 76–78]</w:t>
      </w:r>
    </w:p>
    <w:p>
      <w:r>
        <w:t>78 BULLETIN NO. 49 OF JANUARY 18, 2016</w:t>
        <w:br/>
        <w:t>Amount of sanctions net of</w:t>
        <w:br/>
        <w:t>Venezia Mare ceiling 10% turnover 2014</w:t>
        <w:br/>
        <w:t>mitigating factors</w:t>
        <w:br/>
        <w:t>SBT 701,747 21,564,288.2</w:t>
        <w:br/>
        <w:t>GBT 487,114 1,782,660.1</w:t>
        <w:br/>
        <w:t>Mosole 368,836 2,290,445.4</w:t>
        <w:br/>
        <w:t>Ilsa 553,340 450,071.6</w:t>
        <w:br/>
        <w:t>Jesolo 793,498 124,258.1</w:t>
        <w:br/>
        <w:t>Intermodale 73,274 5,242</w:t>
        <w:br/>
        <w:t>Belluno</w:t>
        <w:br/>
        <w:t>SBT 348,090 21,564,288.2</w:t>
        <w:br/>
        <w:t>Romor 24,955 284,965.1</w:t>
        <w:br/>
        <w:t>De Pra 546,075 1,280,168.4</w:t>
        <w:br/>
        <w:t>Intermodale 16,938 5,242</w:t>
        <w:br/>
        <w:t>106. In consideration of the above, the amount of the imposed sanction is set at the following amount (€):</w:t>
        <w:br/>
        <w:t>Venezia Mare Table</w:t>
        <w:br/>
        <w:t>SBT 701,747</w:t>
        <w:br/>
        <w:t>GBT 487,114</w:t>
        <w:br/>
        <w:t>Mosole 368,836</w:t>
        <w:br/>
        <w:t>Ilsa 450,072</w:t>
        <w:br/>
        <w:t>Jesolo 124,258</w:t>
        <w:br/>
        <w:t>Intermodale 5,242</w:t>
        <w:br/>
        <w:t>Belluno Table</w:t>
        <w:br/>
        <w:t>SBT 348,090</w:t>
        <w:br/>
        <w:t>Romor 24,955</w:t>
        <w:br/>
        <w:t>De Pra 546,075</w:t>
        <w:br/>
        <w:t>Intermodale 5,242</w:t>
        <w:br/>
        <w:t>Requests for inability to pay</w:t>
        <w:br/>
        <w:t>107. The companies GBT, SBT, Mosole, Jesolo, Ilsa Pacifici, De Pra, and Romor submitted, in their final submissions or concurrently with them, within the prescribed deadlines, requests for inability to pay pursuant to point 31 of the Guidelines.</w:t>
      </w:r>
    </w:p>
    <w:p>
      <w:r>
        <w:t>BULLETIN NO. 49 OF JANUARY 18, 2016 79</w:t>
        <w:br/>
        <w:t>108. On this point, it should be noted that for the companies Mosole, SBT, De Pra, and GBT, based on the 2014 financial results of each of the companies, the ratio of the final sanction to the size of the company, whether assessed in terms of net equity or measured against the total assets, assumes very low percentage values, which allow for the exclusion of a condition of inability to pay.</w:t>
        <w:br/>
        <w:t>109. For Romor, it is noted that it is a company with a very limited net equity (approximately 52,000 euros). The profitability situation measured as the ratio of total costs to turnover, in the 2014 financial statement, changes only marginally with the application of the sanction. Regarding the solvency situation, the indicators expressing the ratio of own funds/total assets and own funds/total liabilities show a situation that is already critical regardless of the sanction. Other indicators, however, including the value of net equity and the ratio of net debt to gross operating margin, do not highlight a critical situation even after the application of the sanction. On the contrary, the company's liquidity shows net current assets exceeding the value of the fine. It is therefore believed that even for Romor there are no grounds for applying a reduction of the sanction for inability to pay.</w:t>
        <w:br/>
        <w:t>110. For Ilsa Pacifici Remo, the solvency situation appears already deteriorated regardless of the sanction. The imposition of the sanction, therefore, does not significantly affect the existing situation. Regarding the liquidity situation, based on the data resulting from the 2014 financial statement of the company, it is noted that the net working capital is to be considered positive as there are no repayment terms for debts to shareholders for financing (arising from the merger with Ilsa Lavori S.r.l.) and, therefore, these can be excluded from current liabilities. This figure remains positive even after the imposition of the sanction. If we also consider the profitability of the business, it is noted that the EBITDA has always been positive in the last three years and the profit is only negative in the last financial year. Therefore, it is believed that there are also no grounds for applying a reduction of the sanction for inability to pay for Ilsa Pacifici Remo.</w:t>
        <w:br/>
        <w:t>111. As for Jesolo, in this case, the aforementioned point 31 does not apply, as the imminent cessation of Jesolo's business activity is entirely independent of the payment of the antitrust sanction: therefore, there is no causal link between the exit from the market and the sanction itself. This circumstance, moreover, as seen above, has been taken into account for granting a 15% mitigating factor that considers the economic conditions, pursuant to Article 11 of Law No. 689/81. Nor are the conditions for imposing a symbolic sanction as provided for in point 33 of the Guidelines met. According to the Authority's practice, endorsed by administrative jurisprudence, the symbolic amount of the antitrust sanction cannot, in fact, be justified for cases deemed very serious, as in the case at hand.</w:t>
        <w:br/>
        <w:t>112. In consideration of the above, the final amount of the sanction is set at:</w:t>
        <w:br/>
        <w:t>106 Occurred on February 3, 2014, see doc. 281.</w:t>
        <w:br/>
        <w:t>108 See doc. 281.</w:t>
      </w:r>
    </w:p>
    <w:p>
      <w:r>
        <w:t>80 BULLETIN NO. 49 OF JANUARY 18, 2016</w:t>
        <w:br/>
        <w:t>Venezia Mare Table</w:t>
        <w:br/>
        <w:t>SuperBeton 701,747</w:t>
        <w:br/>
        <w:t>General Beton Triveneta 487,114</w:t>
        <w:br/>
        <w:t>Mosole 368,836</w:t>
        <w:br/>
        <w:t>Ilsa Pacifici 450,072</w:t>
        <w:br/>
        <w:t>Jesolo 124,258</w:t>
        <w:br/>
        <w:t>Intermodale 5,242</w:t>
        <w:br/>
        <w:t>Belluno Table</w:t>
        <w:br/>
        <w:t>SuperBeton 348,090</w:t>
        <w:br/>
        <w:t>Romor 24,955</w:t>
        <w:br/>
        <w:t>De Pra 546,075</w:t>
        <w:br/>
        <w:t>Intermodale 5,242</w:t>
        <w:br/>
        <w:t>All of the above having been stated and considered;</w:t>
        <w:br/>
        <w:t>RESOLVES</w:t>
        <w:br/>
        <w:t>a) that the companies General Beton Triveneta S.p.A., SuperBeton S.p.A., Mosole S.p.A., Ilsa Pacifici Remo S.r.l., Jesolo Calcestruzzi S.r.l., and Intermodale S.r.l. have engaged in a complex and ongoing horizontal agreement aimed at coordinating the commercial behavior of concrete sales in the relevant market constituted by the geographical area of Venezia Mare, including the municipalities of Caorle, San Donà di Piave, and Jesolo, in violation of Article 2 of Law No. 287/90;</w:t>
        <w:br/>
        <w:t>b) that the companies SuperBeton S.p.A., F.lli Romor S.r.l., De Pra S.p.A., and Intermodale S.r.l. have engaged in a complex and ongoing horizontal agreement aimed at coordinating the commercial behavior of concrete sales in the relevant market constituted by the province of Belluno, in violation of Article 2 of Law No. 287/90;</w:t>
        <w:br/>
        <w:t>c) that the companies General Beton Triveneta S.p.A., SuperBeton S.p.A., Mosole S.p.A., Ilsa Pacifici Remo S.r.l., Jesolo Calcestruzzi S.r.l., F.lli Romor S.r.l., De Pra S.p.A., and Intermodale S.r.l. refrain in the future from engaging in behaviors similar to those subject to the established violations;</w:t>
        <w:br/>
        <w:t>d) that, due to the seriousness and duration of the violation referred to in point a), the companies referred to in the same point a) shall be imposed an administrative pecuniary sanction equal to euros:</w:t>
      </w:r>
    </w:p>
    <w:p>
      <w:r>
        <w:rPr>
          <w:b/>
        </w:rPr>
        <w:t>[Pages 79–81]</w:t>
      </w:r>
    </w:p>
    <w:p>
      <w:r>
        <w:t>BULLETIN NO. 49 OF JANUARY 18, 2016 81</w:t>
      </w:r>
    </w:p>
    <w:p>
      <w:r>
        <w:t xml:space="preserve">SuperBeton 701,747  </w:t>
        <w:br/>
        <w:t xml:space="preserve">General Beton Triveneta 487,114  </w:t>
        <w:br/>
        <w:t xml:space="preserve">Mosole 368,836  </w:t>
        <w:br/>
        <w:t xml:space="preserve">Ilsa 450,072  </w:t>
        <w:br/>
        <w:t xml:space="preserve">Jesolo 124,258  </w:t>
        <w:br/>
        <w:t>Intermodale 5,242</w:t>
      </w:r>
    </w:p>
    <w:p>
      <w:r>
        <w:t xml:space="preserve">e) that, due to the seriousness and duration of the violation referred to in point b), the companies referred to in the same point b) shall be imposed an administrative pecuniary sanction amounting to euros:  </w:t>
        <w:br/>
        <w:t xml:space="preserve">SuperBeton 348,090  </w:t>
        <w:br/>
        <w:t xml:space="preserve">Romor 24,955  </w:t>
        <w:br/>
        <w:t xml:space="preserve">De Pra 546,075  </w:t>
        <w:br/>
        <w:t>Intermodale 5,242</w:t>
      </w:r>
    </w:p>
    <w:p>
      <w:r>
        <w:t xml:space="preserve">The administrative sanctions referred to in the previous letters d) and e) must be paid within ninety days from the notification of this provision,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collector for collection; in this case, the increase absorbs the late payment interest accrued during the same period.  </w:t>
        <w:br/>
        <w:t xml:space="preserve">Notification of the payments made must be immediately communicated to the Authority, by sending a copy of the model certifying the payment made.  </w:t>
        <w:br/>
        <w:t xml:space="preserve">Pursuant to Article 26 of the same law, companies in economically disadvantaged conditions may request the installment payment of the sanction.  </w:t>
        <w:br/>
        <w:t>This provision will be notified to the interested parties and published in the Bulletin of the Competition and Market Authority.</w:t>
      </w:r>
    </w:p>
    <w:p>
      <w:r>
        <w:t>82 BULLETIN NO. 49 OF JANUARY 18, 2016</w:t>
      </w:r>
    </w:p>
    <w:p>
      <w:r>
        <w:t xml:space="preserve">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  </w:t>
        <w:br/>
        <w:t xml:space="preserve">THE SECRETARY GENERAL THE PRESIDENT  </w:t>
        <w:br/>
        <w:t>Roberto Chieppa Giovanni Pitruzzella</w:t>
      </w:r>
    </w:p>
    <w:p>
      <w:r>
        <w:t>BULLETIN NO. 49 OF JANUARY 18, 2016 83</w:t>
      </w:r>
    </w:p>
    <w:p>
      <w:r>
        <w:t xml:space="preserve">CONCENTRATION OPERATIONS  </w:t>
        <w:br/>
        <w:t xml:space="preserve">C12018 - A2A TRADING/BRANCH OF SORGENIA POWER  </w:t>
        <w:br/>
        <w:t xml:space="preserve">Provision No. 25798  </w:t>
        <w:br/>
        <w:t xml:space="preserve">THE COMPETITION AND MARKET AUTHORITY  </w:t>
        <w:br/>
        <w:t xml:space="preserve">IN ITS MEETING of December 22, 2015;  </w:t>
        <w:br/>
        <w:t xml:space="preserve">HEARD the Rapporteur Dr. Gabriella Muscolo;  </w:t>
        <w:br/>
        <w:t xml:space="preserve">VIEWED Law No. 287 of October 10, 1990;  </w:t>
        <w:br/>
        <w:t xml:space="preserve">VIEWED the communication from A2A Trading S.r.l., received on October 30, 2015;  </w:t>
        <w:br/>
        <w:t xml:space="preserve">VIEWED the request for information, with the related interruption of terms pursuant to Article 5, paragraph 3, of DPR No. 217/98, resolved in the meeting of November 18, 2015;  </w:t>
        <w:br/>
        <w:t xml:space="preserve">VIEWED the response from A2A Trading S.r.l., received on December 2, 2015;  </w:t>
        <w:br/>
        <w:t xml:space="preserve">VIEWED the documents of the proceeding;  </w:t>
        <w:br/>
        <w:t>CONSIDERED the following:</w:t>
      </w:r>
    </w:p>
    <w:p>
      <w:r>
        <w:t xml:space="preserve">I. THE PARTIES  </w:t>
        <w:br/>
        <w:t xml:space="preserve">1. A2A Trading S.r.l. (hereinafter, A2A Trading) carries out electricity and gas trading activities within the A2A group. A2A Trading is 100% controlled by A2A S.p.A., which is jointly controlled by the municipalities of Milan and Brescia, each holding a 25% share, against a share of treasury shares equal to 0.9% owned by A2A S.p.A. As A2A S.p.A. is a publicly traded company, the remaining shares, corresponding to a share of 49.1% of the share capital, are dispersed among a multitude of small shareholders. The turnover achieved by the A2A group in 2014 was 4.984 billion euros, of which [3-4] billion produced in Italy.  </w:t>
        <w:br/>
        <w:t xml:space="preserve">2. The subject of acquisition is a branch of business of Sorgenia Power S.p.A. (hereinafter, Sorgenia Power) - a company belonging to the Sorgenia group - consisting of the combined cycle power plant with a capacity of 801 MW (hereinafter, the Plant) located in Bertonico-Turano Lodigiano (Lodi). The Plant achieved a turnover of [100-492] million euros in 2014, generated entirely in Italy.  </w:t>
        <w:br/>
        <w:t xml:space="preserve">1 Group formed by the merger of the municipal companies of Milan (AEM/AMSA) and Brescia (ASM), active in the following sectors: wholesale procurement of electricity and natural gas, sale of electricity and natural gas to end customers, distribution of electricity and natural gas, regional transport of natural gas, integrated water cycle, waste management and disposal, cogeneration and district heating, heat management, facility management, other services, particularly related to the management of public lighting, traffic regulation systems, video surveillance systems, and votive lamps, provision of certain internet and data communication services.  </w:t>
        <w:br/>
        <w:t xml:space="preserve">2 In this version, some data are omitted or included in value ranges, as confidentiality or secrecy elements of the information were deemed to exist.  </w:t>
        <w:br/>
        <w:t>3 Sorgenia Power is 100% owned by Sorgenia Holding S.p.A., which is in turn 100% controlled by 8 marzo 91 S.r.l.: see in this regard provision No. 25337 of February 25, 8 marzo 91/Sorgenia (C/11984).</w:t>
      </w:r>
    </w:p>
    <w:p>
      <w:r>
        <w:rPr>
          <w:b/>
        </w:rPr>
        <w:t>[Pages 82–84]</w:t>
      </w:r>
    </w:p>
    <w:p>
      <w:r>
        <w:t>84 BULLETIN NO. 49 OF JANUARY 18, 2016</w:t>
      </w:r>
    </w:p>
    <w:p>
      <w:r>
        <w:t xml:space="preserve">II. DESCRIPTION OF THE OPERATION  </w:t>
        <w:br/>
        <w:t>3. The operation consists of the acquisition by A2A Trading of exclusive control over the plant owned by Sorgenia Power through a management contract for the plant itself. In particular, the contract provides, in exchange for the payment of a fee in cash, the attribution to A2A Trading - for a duration of five years tacitly renewable for further periods of five years unless terminated early - of the exclusive power to manage the asset, including the definition of the production strategies of the plant, the consequent marketing of the electricity produced, as well as the assumption of long-term strategic decisions concerning the plant, such as maintenance to be carried out and new investments. The contract is also resolutively conditioned upon the possible subsequent ineffectiveness of another mirror contract, with which, with reversed parties, Sorgenia Power acquires the contractual control of a combined cycle plant located in Gissi (CH) owned by Abruzzoenergia S.p.A., another company belonging to the A2A group.</w:t>
      </w:r>
    </w:p>
    <w:p>
      <w:r>
        <w:t xml:space="preserve">III. QUALIFICATION OF THE OPERATION  </w:t>
        <w:br/>
        <w:t>4. The communicated operation, as it involves the acquisition of exclusive control contractually over the business branch constituted by the plant, constitutes a concentration pursuant to Article 5, paragraph 1, letter b), of Law No. 287/90. It falls within the scope of application of Law No. 287/90 as the conditions referred to in Article 1 of Regulation EC 139/04 do not apply, and it is subject to the obligation of prior notification provided for by Article 16, paragraph 1, of the same law as the total turnover achieved in the last financial year at the national level by the group of companies involved was over 492 million euros and the turnover achieved by the company subject to acquisition was over 49 million euros.</w:t>
      </w:r>
    </w:p>
    <w:p>
      <w:r>
        <w:t xml:space="preserve">IV. EVALUATION OF THE CONCENTRATION OPERATION  </w:t>
        <w:br/>
        <w:t xml:space="preserve">4.1. Relevant markets  </w:t>
        <w:br/>
        <w:t xml:space="preserve">5. The operation in question concerns the wholesale electricity supply markets on one side and the dispatching services on the other.  </w:t>
        <w:br/>
        <w:t xml:space="preserve">Wholesale electricity supply market  </w:t>
        <w:br/>
        <w:t xml:space="preserve">6. Regarding the wholesale electricity supply sector, from the commodity side it includes, in Italy, both forward and spot transactions (Day-Ahead Market and Intraday Market) concluded through the platforms organized by Gestore dei Mercati Energetici S.p.A. (“GME”), as well as bilateral contracts (OTC). From a geographical point of view, the wholesale electricity supply market is of supra-regional dimensions, based on a subdivision into macro-zones dictated both by transmission constraints and by differences in the supply structure, which reflect stable differences in electricity selling prices. In this case, the area affected by the operation is the so-called macro-zone North.  </w:t>
        <w:br/>
        <w:t xml:space="preserve">Market for dispatching services  </w:t>
        <w:br/>
        <w:t xml:space="preserve">7. As for the market for dispatching services (“MSD”), it concerns the procurement by the electricity grid operator Terna, through the acceptance of “upward” and “downward” offers, of the resources necessary for resolving intra-national congestions, for creating energy reserves, as well as for real-time balancing between injections and withdrawals.  </w:t>
        <w:br/>
        <w:t xml:space="preserve">The MSD is also divided into two phases: in the ex ante MSD phase, offers are accepted by Terna for the purpose of resolving congestions and establishing an adequate reserve margin, and in the Balancing Market (“MB”) phase, real-time offers are accepted instead, in order to maintain continuous balance between supply and demand for energy.  </w:t>
        <w:br/>
        <w:t xml:space="preserve">The separation of offers for different types of services on ex-ante MSD and the introduction of the possibility of indicating different prices for the various services offered in the various MSD sessions would therefore allow for the definition of distinct markets for both ex-ante MSD and MB, as well as for the different services required by Terna in these markets. For the purposes of evaluating this operation, however, the issue of a more detailed definition of the dispatching services markets can be left open.  </w:t>
        <w:br/>
        <w:t>8. In general, the dispatching services purchased by Terna on MSD do not appear to be substitutable among themselves, as they respond to different needs and are therefore suitable for identifying distinct product markets, the size of which depends on the geographical areas within which Terna can procure them, sometimes coinciding with the macro-zones, sometimes corresponding to broader (e.g., continental Italy) or narrower areas. In the first approximation, for the present purposes, the geographical extent of the dispatching services markets can be identified on a zonal basis (North), while allowing for the possibility that for some services “clusters” with a more restricted geographical size may form.</w:t>
      </w:r>
    </w:p>
    <w:p>
      <w:r>
        <w:t xml:space="preserve">4.2 Effects of the operation  </w:t>
        <w:br/>
        <w:t xml:space="preserve">9. In relation to the wholesale electricity supply market, macro-zone North, it is noted that A2A's installed generation capacity in 2014 amounted to [10-15%], compared to [1-5%] expressed by the plant. At the same time, A2A's sales on the Day-Ahead Market and on the Intraday Market for 2014 in the same area reached [5-10%], while the target plant expressed [1-5%] of the market.  </w:t>
        <w:br/>
        <w:t xml:space="preserve">Within this context, the increase obtained by A2A as a result of the operation in terms of installed capacity and sales appears marginal, also considering the fact that other more significant operators, such as ENEL and - on the sales side - ENI, are positioned in the same market.  </w:t>
        <w:br/>
        <w:t xml:space="preserve">10. Regarding the offer of dispatching services in the macro-area North, in 2014 A2A was already the leading operator, in terms of sales accepted “upward” by Terna, both on ex-ante MSD and on MB, with shares of [25-30%] and [20-25%], respectively, while the Target Plant expressed, in those MSD sessions, [1-5%] and [1-5%] of the market.  </w:t>
        <w:br/>
        <w:t xml:space="preserve">11. In “downward” sales, moreover, A2A held in 2014 a market share, on ex-ante MSD and on MB, respectively equal to [1-5%] and [1-5%] and the increase obtained by A2A with the operation appears marginal, since the offers from the Target Plant accepted by Terna amounted in 2014 to [1-5%] and [1-5%] of the total “downward” quantities accepted in the programming and real-time sessions.  </w:t>
        <w:br/>
        <w:t xml:space="preserve">Furthermore, several other operators in 2014 were found to hold market shares, in terms of “downward” offers, well above the combined share of A2A and the Target Plant.  </w:t>
        <w:br/>
        <w:t xml:space="preserve">12. In conclusion, therefore, it is believed that the operation does not significantly and adversely alter the structure of the affected markets.  </w:t>
        <w:br/>
        <w:t xml:space="preserve">THEREFORE CONSIDERED, that the operation in question does not result, pursuant to Article 6, paragraph 1, of Law No. 287/90, in the establishment or strengthening of a dominant position in the affected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provision will be published in the Bulletin of the Antitrust Authority.  </w:t>
        <w:br/>
        <w:t xml:space="preserve">THE SECRETARY GENERAL THE PRESIDENT  </w:t>
        <w:br/>
        <w:t>Roberto Chieppa Giovanni Pitruzzella</w:t>
      </w:r>
    </w:p>
    <w:p>
      <w:r>
        <w:rPr>
          <w:b/>
        </w:rPr>
        <w:t>[Pages 85–87]</w:t>
      </w:r>
    </w:p>
    <w:p>
      <w:r>
        <w:t>BULLETIN NO. 49 OF JANUARY 18, 2016 87</w:t>
      </w:r>
    </w:p>
    <w:p>
      <w:r>
        <w:t xml:space="preserve">C12024 - MARINVEST/GRANDI NAVI VELOCI  </w:t>
        <w:br/>
        <w:t xml:space="preserve">Provision No. 25799  </w:t>
        <w:br/>
        <w:t xml:space="preserve">THE ANTITRUST AUTHORITY  </w:t>
        <w:br/>
        <w:t xml:space="preserve">IN ITS MEETING of December 22, 2015;  </w:t>
        <w:br/>
        <w:t xml:space="preserve">HEARD the Rapporteur Dr. Gabriella Muscolo;  </w:t>
        <w:br/>
        <w:t xml:space="preserve">VIEWED Law No. 287 of October 10, 1990;  </w:t>
        <w:br/>
        <w:t xml:space="preserve">VIEWED the communication from Marinvest S.r.l. received on November 27, 2015;  </w:t>
        <w:br/>
        <w:t xml:space="preserve">CONSIDERED the following:  </w:t>
        <w:br/>
        <w:t xml:space="preserve">I. THE PARTIES  </w:t>
        <w:br/>
        <w:t xml:space="preserve">Marinvest S.r.l. (hereinafter Marinvest, or the Party) is a company whose purpose is financial activities in general (excluding the collection of savings from the public in any form) and the conduct of shipping activities in the maritime field. The main controlling interests of Marinvest are in SNAV S.p.A. (a company providing maritime transport services, short-range, Pontine Islands, Aeolian Islands, Campanian Archipelago, and to and from Croatia, hereinafter SNAV), and in Aprile S.p.A. (a company engaged in land, air, and sea shipping activities). Marinvest jointly controls Grandi Navi Veloci S.p.A. with Idea Capital Funds SGR S.p.A. (hereinafter IDEA). Other activities carried out by other companies controlled by Marinvest consist of maritime services related and ancillary to shipping activities; shipbuilding and repair activities; shipping by land, air, or sea. Marinvest, in turn, is controlled by Trading and Project Limited, with a participation share of 99.826%. In 2014, the consolidated turnover achieved worldwide by the Marinvest Group was approximately [700-1,000] million euros, of which approximately [100-492] million euros were achieved in the EU and [100-492] million euros were achieved in Italy.  </w:t>
        <w:br/>
        <w:t xml:space="preserve">Grandi Navi Veloci S.p.A. (hereinafter GNV) is active in the sector of mixed passenger/cargo maritime transport, through all-cargo ferries (so-called "Ro-Ro") or mixed passenger/cargo services (so-called "Ro-Pax") on multiple routes in the Mediterranean basin. GNV has direct control of Grandi Navi Veloci Espana S.L. and Grandi Navi Veloci Maroc S.a.r.l., in both of which it holds a 100% participation share.  </w:t>
        <w:br/>
        <w:t xml:space="preserve">At the time of notification, GNV is subject to joint control by Marinvest (57.39%) and IDEA (40.09%). The remaining shares are held by Charme Investment S.c.a. (hereinafter, Charme), with 1.56%, and minority shareholders, with 0.96%.  </w:t>
        <w:br/>
        <w:t xml:space="preserve">1 In this version, some data are omitted, as there were deemed to be elements of confidentiality or secrecy of the information.  </w:t>
        <w:br/>
        <w:t>2 IDEA obtained its shares from Investitori associati S.G.R. (hereinafter IA) in May 2015, through the acquisition of the investment fund "Investitori Associati IV". See AGCM, provision of May 13, 2015, C11993 – Idea Capital Funds Asset Management Company/Investitori Associati Asset Management Company – Investitori Associati IV.</w:t>
      </w:r>
    </w:p>
    <w:p>
      <w:r>
        <w:t xml:space="preserve">88 BULLETIN NO. 49 OF JANUARY 18, 2016  </w:t>
        <w:br/>
        <w:t xml:space="preserve">The consolidated turnover achieved worldwide by the GNV Group was approximately [100-492] million euros, of which approximately [100-492] million euros were achieved in the EU and [100-492] million euros were achieved in Italy.  </w:t>
        <w:br/>
        <w:t xml:space="preserve">II. DESCRIPTION OF THE OPERATION  </w:t>
        <w:br/>
        <w:t xml:space="preserve">The operation consists of the transition, by Marinvest, from a situation of joint control with IDEA to a situation of exclusive control over GNV.  </w:t>
        <w:br/>
        <w:t xml:space="preserve">The operation is structured in the following phases:  </w:t>
        <w:br/>
        <w:t xml:space="preserve">- transfer of IDEA's shares (40.09%) and Charme's shares in GNV to SAS Shipping Agencies Services S.a.r.l. (hereinafter SAS), a Luxembourg company appointed by Marinvest as the buyer, as per the preliminary sale agreement of the shares;  </w:t>
        <w:br/>
        <w:t xml:space="preserve">- convening an extraordinary meeting of GNV, to be held concurrently with the closing of the preliminary sale agreement, for the amendment of the articles of association of GNV that currently establish a governance regime that results in joint control between Marinvest and IDEA. Marinvest and SAS have indeed signed an agreement whereby, at the aforementioned extraordinary meeting, they will vote in favor of the amendment of GNV's articles of association, which will entail the application of the legal majority rules for the adoption of all resolutions of the assembly and the board of directors, thus determining, as an effect of the operation, the exclusive control of GNV by Marinvest, as the holder of the majority share (57.39%).  </w:t>
        <w:br/>
        <w:t xml:space="preserve">III. QUALIFICATION OF THE OPERATION  </w:t>
        <w:br/>
        <w:t xml:space="preserve">The notified operation, as it involves the acquisition of exclusive control of a company, constitutes a concentration pursuant to Article 5, paragraph 1, letter b), of Law No. 287/90.  </w:t>
        <w:br/>
        <w:t xml:space="preserve">It falls within the scope of application of Law No. 287/90, as the conditions referred to in Article 1 of Regulation (EC) No. 139/2004 do not apply. However, this concentration is not subject to the obligation of prior notification provided for by Article 16, paragraphs 1 and 2, of the same law, as only the turnover of the acquired company exceeded 49 million euros, while the total turnover achieved in the last financial year at the national level by the group of companies involved was below 492 million euros.  </w:t>
        <w:br/>
        <w:t xml:space="preserve">CONSIDERED, therefore, that the operation is not subject to the obligation of prior notification pursuant to Article 16, paragraph 1, of Law No. 287/90;  </w:t>
        <w:br/>
        <w:t xml:space="preserve">RESOLVES  </w:t>
        <w:br/>
        <w:t xml:space="preserve">that there is no need to take action.  </w:t>
        <w:br/>
        <w:t>3 The preliminary sale agreement provides for the option for SAS to also purchase some shares from certain minority shareholders. In this case, while Marinvest's shareholding remains unchanged, SAS would control 41.65% of GNV, with the remaining 0.96% held by minority shareholders.</w:t>
      </w:r>
    </w:p>
    <w:p>
      <w:r>
        <w:t xml:space="preserve">BULLETIN NO. 49 OF JANUARY 18, 2016 89  </w:t>
        <w:br/>
        <w:t xml:space="preserve">The above conclusions will be communicated, pursuant to Article 16, paragraph 4, of Law No. 287/90, to the companies involved and to the Minister of Economic Development.  </w:t>
        <w:br/>
        <w:t xml:space="preserve">This provision will be published in the Bulletin of the Antitrust Authority.  </w:t>
        <w:br/>
        <w:t xml:space="preserve">THE SECRETARY GENERAL THE PRESIDENT  </w:t>
        <w:br/>
        <w:t>Roberto Chieppa Giovanni Pitruzzella</w:t>
      </w:r>
    </w:p>
    <w:p>
      <w:r>
        <w:rPr>
          <w:b/>
        </w:rPr>
        <w:t>[Pages 88–90]</w:t>
      </w:r>
    </w:p>
    <w:p>
      <w:r>
        <w:t xml:space="preserve">90 BULLETIN NO. 49 OF JANUARY 18, 2016  </w:t>
        <w:br/>
        <w:t xml:space="preserve">C12025 - TERNA/RAILWAY ELECTRIC COMPANY  </w:t>
        <w:br/>
        <w:t xml:space="preserve">Provision No. 25800  </w:t>
        <w:br/>
        <w:t xml:space="preserve">THE ANTITRUST AUTHORITY  </w:t>
        <w:br/>
        <w:t xml:space="preserve">IN ITS MEETING of December 22, 2015;  </w:t>
        <w:br/>
        <w:t xml:space="preserve">HEARD the Rapporteur Dr. Gabriella Muscolo;  </w:t>
        <w:br/>
        <w:t xml:space="preserve">VIEWED Law No. 287 of October 10, 1990;  </w:t>
        <w:br/>
        <w:t xml:space="preserve">VIEWED the communication from Terna S.p.A., received on December 1, 2015;  </w:t>
        <w:br/>
        <w:t xml:space="preserve">CONSIDERED the following:  </w:t>
        <w:br/>
        <w:t xml:space="preserve">I. THE PARTIES  </w:t>
        <w:br/>
        <w:t xml:space="preserve">TERNA – Rete Elettrica Nazionale S.p.A. (hereinafter, TERNA) is the operator of the national high and very high voltage electricity transmission network (hereinafter, RTN), of which it owns approximately 99%. TERNA is primarily engaged in the transmission and dispatching of electricity at the national level and in the unified management of the national transmission network, including transport lines and transformation stations. TERNA is controlled by Cassa Depositi e Prestiti S.p.A., with a shareholding of approximately 30% of the share capital. In 2014, TERNA achieved a consolidated worldwide turnover of approximately 1.92 billion euros, of which approximately 1.88 billion in Italy.  </w:t>
        <w:br/>
        <w:t xml:space="preserve">The object of acquisition is 100% of the company SELF – Società Elettrica Ferroviaria S.r.l. (hereinafter SELF), wholly controlled by Ferrovie dello Stato Italiane S.p.A. (FS). SELF carries out activities related to the transport and transmission of electricity concerning part of the high and very high voltage line network currently owned by RFI – Rete Ferroviaria Italiana S.p.A. (RFI), a company wholly owned by FS. Prior to the transfer, a business unit of RFI will be incorporated into SELF, mainly consisting of high and very high voltage lines both already included and yet to be included in the National Transmission Network (hereinafter RTN), along with portions of electrical stations and the related properties pertaining to such lines. In 2014, the turnover generated by SELF was 8.2 million euros. Based on available estimates, the turnover attributable to the assets that will be included in SELF at the time of the transfer of the company is – at full capacity – over 100 million euros per year.  </w:t>
        <w:br/>
        <w:t xml:space="preserve">II. DESCRIPTION OF THE OPERATION  </w:t>
        <w:br/>
        <w:t xml:space="preserve">The operation in question consists of the transfer, to TERNA, of 100% of the capital of SELF after the Business Unit of RFI has been conferred to it. In this way, the high and very high voltage electricity transmission network owned by the FS group will be acquired by TERNA and included in the RTN.  </w:t>
        <w:br/>
        <w:t xml:space="preserve">This operation has been carried out pursuant to the provisions of Law No. 190 of December 23, 2014, which in Article 1, paragraph 193, provided for the inclusion in the national electricity transmission network of high and very high voltage electricity networks in accordance with the regulations adopted by the Italian Electrical Committee and the related portions of stations owned by Ferrovie dello Stato Italiane S.p.A. or by companies controlled by it, also subordinating the effectiveness of the aforementioned inclusion “to the completion of the acquisition of the aforementioned assets by the national transmission system operator referred to in Article 36 of Legislative Decree No. 93 of June 1, 2011, or by a company controlled by it.”  </w:t>
        <w:br/>
        <w:t xml:space="preserve">III. QUALIFICATION OF THE OPERATION  </w:t>
        <w:br/>
        <w:t xml:space="preserve">The communicated operation, as it involves the acquisition of exclusive control of a company, constitutes a concentration pursuant to Article 5, paragraph 1, letter b), of Law No. 287/90.  </w:t>
        <w:br/>
        <w:t xml:space="preserve">The operation falls within the scope of application of Law No. 287/90, as the conditions referred to in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492 million euros and the turnover of the company subject to acquisition exceeds 49 million euros.  </w:t>
        <w:br/>
        <w:t xml:space="preserve">IV. EVALUATION OF THE CONCENTRATION  </w:t>
        <w:br/>
        <w:t xml:space="preserve">The relevant market  </w:t>
        <w:br/>
        <w:t xml:space="preserve">The operation concerns the market for the transmission and dispatching of electricity.  </w:t>
        <w:br/>
        <w:t xml:space="preserve">The activity of electricity transmission consists of the transport and transformation of electricity from production plants or points of interconnection with foreign networks, to the points of interconnection with distribution networks and to the withdrawal points of final customers directly connected to the RTN. Activities related to the maintenance and development of the RTN, as well as the dispatching of electricity, are also functional to the transport of energy on the network.  </w:t>
        <w:br/>
        <w:t xml:space="preserve">The latter activity consists of issuing instructions for the utilization and coordinated operation of production plants and the transmission network, or in defining the order of access to the network.  </w:t>
        <w:br/>
        <w:t xml:space="preserve">In the relevant market, all entities intending to inject electricity into the network (in the capacity of generators, importers, wholesalers, as such qualified as dispatching users) are present on the demand side. Since the scheduling of commitments for the injection/withdrawal of electricity under sales contracts is a fundamental element to ensure, in a liberalized context, the functioning of the system, the programs themselves, whether resulting from bilateral contracts or referring to trading in centralized markets (wholesale electricity market and dispatching services market), must be registered with the network operator. Regarding the supply side, the activity of electricity transmission and dispatching is characterized by conditions of natural and legal monopoly, and is ensured by the network operator (TERNA), which manages the RTN as a shared infrastructure among multiple operators and assigns the rights to use transport capacity in order to connect those who intend to inject electricity into the network.  </w:t>
        <w:br/>
        <w:t xml:space="preserve">With regard to the geographical dimension of the market, the exercise of transmission and dispatching, involving activities that impact the functioning of the entire RTN, has a relevant geographical scope that can be defined as corresponding to the national territory.  </w:t>
        <w:br/>
        <w:t xml:space="preserve">The activity of transmission and dispatching carried out by TERNA is compensated through tariffs defined by the regulator, the Authority for Electricity and Gas.  </w:t>
        <w:br/>
        <w:t xml:space="preserve">Effects of the operation  </w:t>
        <w:br/>
        <w:t xml:space="preserve">Currently, TERNA holds approximately 99% of the RTN and revenues from transmission and dispatching activities. With the operation, the kilometers of line of the RTN and the expected revenues from the market will increase. On the new total, the contribution of SELF will be approximately 5.6% in value and 9.8% in kilometers of line. As a result of the operation, however, TERNA's share will again exceed 99% for both parameters. In any case, the communicated operation is not such as to produce significant competitive effects, as the activity of electricity transmission is already carried out in a unified manner by Terna, in its capacity as operator of the RTN, and is subject to regulation by the Authority for Electricity and Gas, which defines the technical-economic conditions for access to the RTN and the methods of service provision.  </w:t>
        <w:br/>
        <w:t xml:space="preserve">For the reasons stated and considered, the operation in question does not appear to be capable of significantly altering the competitive conditions in the relevant market.  </w:t>
        <w:br/>
        <w:t xml:space="preserve">THEREFORE, IT IS CONSIDERED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provision will be published in the Bulletin of the Antitrust Authority.  </w:t>
        <w:br/>
        <w:t xml:space="preserve">THE SECRETARY GENERAL THE PRESIDENT  </w:t>
        <w:br/>
        <w:t>Roberto Chieppa Giovanni Pitruzzella</w:t>
      </w:r>
    </w:p>
    <w:p>
      <w:r>
        <w:rPr>
          <w:b/>
        </w:rPr>
        <w:t>[Pages 91–93]</w:t>
      </w:r>
    </w:p>
    <w:p>
      <w:r>
        <w:t>BULLETIN NO. 49 OF JANUARY 18, 2016 93</w:t>
      </w:r>
    </w:p>
    <w:p>
      <w:r>
        <w:t xml:space="preserve">ACTIVITY OF REPORTING AND CONSULTATION  </w:t>
        <w:br/>
        <w:t xml:space="preserve">AS1246 – CONSIP - TENDER FOR THE CONCLUSION OF A FRAMEWORK AGREEMENT FOR  </w:t>
        <w:br/>
        <w:t xml:space="preserve">EVOLVED TELEPHONE EXCHANGES  </w:t>
        <w:br/>
        <w:t xml:space="preserve">Rome, November 13, 2015  </w:t>
        <w:br/>
        <w:t xml:space="preserve">Ministry of Economy and Finance  </w:t>
        <w:br/>
        <w:t xml:space="preserve">Subject: request for opinion Vs. prot. n. 0119080/2015 of October 22, 2015, received on the same date, regarding the Tender notice for the conclusion of a Framework Agreement for the supply, installation, and maintenance of evolved telephone exchanges and related products and services.  </w:t>
        <w:br/>
        <w:t xml:space="preserve">With reference to the request for opinion formulated pursuant to Article 22 of Law October 10, 1990, n. 287, by your Ministry concerning the tender documentation regarding the procedure prepared by Consip S.p.A. for the conclusion of a Framework Agreement for the supply, installation, and maintenance of evolved telephone exchanges and related products and services, it is communicated that the Italian Competition Authority, in its meeting of November 11, 2015, deemed that the provisions contained in such drafts are substantially in line with the guidelines expressed by this Authority regarding tenders prepared by Consip S.p.A.  </w:t>
        <w:br/>
        <w:t xml:space="preserve">The Authority reserves the right to evaluate the outcomes of the tender, should elements emerge during its conduct that could configure anti-competitive offenses.  </w:t>
        <w:br/>
        <w:t xml:space="preserve">THE SECRETARY GENERAL  </w:t>
        <w:br/>
        <w:t>Roberto Chieppa</w:t>
      </w:r>
    </w:p>
    <w:p>
      <w:r>
        <w:t>94 BULLETIN NO. 49 OF JANUARY 18, 2016</w:t>
      </w:r>
    </w:p>
    <w:p>
      <w:r>
        <w:t xml:space="preserve">AS1247 – CONSIP - TENDER FOR THE SUPPLY OF SUBSTITUTE CANTEEN SERVICE THROUGH ELECTRONIC MEAL VOUCHERS EDITION 1  </w:t>
        <w:br/>
        <w:t xml:space="preserve">Rome, January 12, 2016  </w:t>
        <w:br/>
        <w:t xml:space="preserve">Ministry of Economy and Finance  </w:t>
        <w:br/>
        <w:t xml:space="preserve">With reference to the request for opinion formulated pursuant to Article 22 of Law n. 287/90 by the Ministry of Economy and Finance, concerning the “Draft of the tender notice for the supply of the substitute canteen service through electronic meal vouchers of any nominal value and related services in favor of public administrations – edition 1”, prepared by the Public IT Services Concessionaire – Consip S.p.A. (hereinafter Consip), it is communicated that the Italian Competition Authority, in its meeting of December 10, 2015, deemed that the provisions contained therein are, overall, substantially in line with the guidelines expressed by this Authority regarding tenders prepared by Consip.  </w:t>
        <w:br/>
        <w:t xml:space="preserve">With particular regard to the provisions of the Tender Regulations, based on which participation in ordinary Consortia or in Temporary Associations of Enterprises (R.T.I.) is not permitted for companies that are able to individually meet the economic and technical participation requirements for the individual lot, the following observations are made.  </w:t>
        <w:br/>
        <w:t xml:space="preserve">The Authority, as previously noted, considering the peculiarities of the market affected by the tender in question, agrees with the decision to introduce in the special tender regulations clauses limiting the forms of associative participation. This is, in fact, a market characterized by an oligopolistic structure, with a high degree of concentration and in which episodes of collusion have already occurred.  </w:t>
        <w:br/>
        <w:t xml:space="preserve">Regarding the methods of applying the aforementioned limitations, the Authority recalls its recent “Communication concerning the exclusion of ‘superfluous’ temporary groupings of enterprises from public tenders”, disseminated on the institutional website since December 23, 2014, in which it clarified that “… the possible inclusion of a clause excluding the ‘superfluous’ R.T.I., as well as its application by the contracting authority, [must be based on] … the principle of proportionality, recognizing the possibility of excluding the grouping only where it presents characteristics such that it can be considered macroscopically anti-competitive and, therefore, in contrast with Article 101 TFEU and/or Article 2 of Law n. 287/90.”  </w:t>
        <w:br/>
        <w:t xml:space="preserve">In the aforementioned Communication, the Authority also highlighted that “… in order to ensure a proper balance between the principles imposed by Union law to protect free competition, on the one hand, and to guarantee the widest participation in public tenders, on the other hand … the inclusion in tender notices of clauses excluding the participation of ‘superfluous’ R.T.I. is legitimate only where the clause:  </w:t>
        <w:br/>
        <w:t xml:space="preserve">1) specifies the reasons for the possible exclusion in relation to the needs of the specific case, such as the nature of the service and/or the structure of the reference market;  </w:t>
        <w:br/>
        <w:t xml:space="preserve">2) provides that the exclusion of the R.T.I. cannot be automatic, as the contracting authority is required to demonstrate the existence of concrete and current risks of collusion among the participating companies in the grouping;  </w:t>
        <w:br/>
        <w:t xml:space="preserve">3) stipulates that the evaluation of the contracting authority, regarding the existence of possible anti-competitive profiles in the formation of the grouping, takes into account the justifications – in terms of managerial and industrial efficiency, in light of the value, size, or type of service requested – that the participating companies in the R.T.I. provide at the time of submitting the application or at the request of the contracting authority.”  </w:t>
        <w:br/>
        <w:t xml:space="preserve">Finally, the Authority reserves the right to evaluate the outcomes of the tender, should elements emerge during its conduct that could configure anti-competitive offenses.  </w:t>
        <w:br/>
        <w:t xml:space="preserve">THE PRESIDENT  </w:t>
        <w:br/>
        <w:t>Giovanni Pitruzzella</w:t>
      </w:r>
    </w:p>
    <w:p>
      <w:r>
        <w:rPr>
          <w:b/>
        </w:rPr>
        <w:t>[Pages 94–96]</w:t>
      </w:r>
    </w:p>
    <w:p>
      <w:r>
        <w:t>BULLETIN NO. 49 OF JANUARY 18, 2016</w:t>
      </w:r>
    </w:p>
    <w:p>
      <w:r>
        <w:t>96 AS1248 – CONSIP - SUPPLY OF MANAGEMENT AND MAINTENANCE SERVICES FOR IP AND PDL SYSTEMS</w:t>
        <w:br/>
        <w:t>Rome, December 3, 2015</w:t>
        <w:br/>
        <w:t>Ministry of Economy and Finance</w:t>
        <w:br/>
        <w:t>Subject: request for opinion Vs. prot. no. 0130119/2015 of November 17, 2015, received on the same date, regarding the Call for tenders for the supply of management and maintenance services for IP and PDL systems at the offices of the Public Administration.</w:t>
        <w:br/>
        <w:t>With reference to the request for opinion formulated pursuant to Article 22 of Law October 10, 1990, no. 287, by this Ministry concerning the tender documentation regarding the procedure prepared by Consip S.p.A. for the award of a contract for the supply of management and maintenance services for IP and PDL systems, it is communicated that the Antitrust Authority, in its meeting of December 2, 2015, deemed that the provisions contained in such drafts are substantially in line with the guidelines expressed by this Authority regarding calls for tenders prepared by Consip S.p.A.</w:t>
        <w:br/>
        <w:t>The Authority reserves the right to evaluate the outcomes of the tender, should elements emerge during its course that could configure antitrust violations.</w:t>
        <w:br/>
        <w:t>THE SECRETARY GENERAL</w:t>
        <w:br/>
        <w:t>Roberto Chieppa</w:t>
      </w:r>
    </w:p>
    <w:p>
      <w:r>
        <w:t>BULLETIN NO. 49 OF JANUARY 18, 2016</w:t>
      </w:r>
    </w:p>
    <w:p>
      <w:r>
        <w:t>97 AS1249 - REGION OF SARDINIA - LABORATORY HEALTH SERVICES UNDER SERVICE REGIME</w:t>
        <w:br/>
        <w:t>Rome, December 21, 2015</w:t>
        <w:br/>
        <w:t>President of the Regional Council of the Autonomous Region of Sardinia</w:t>
        <w:br/>
        <w:t>Councillor for Hygiene and Health and Social Assistance of the Autonomous Region of Sardinia</w:t>
        <w:br/>
        <w:t>In the exercise of its institutional duties, the Antitrust Authority, in its meeting of December 10, 2015, resolved to formulate the following considerations, pursuant to Article 21 of Law no. 287/90, regarding the current regulations in the Autonomous Region of Sardinia concerning laboratory health services performed under service regime.</w:t>
        <w:br/>
        <w:t>According to the definition of the Conference between the State, the Regions, and the Autonomous Provinces of Trento and Bolzano, as per the document titled “Criteria for the reorganization of laboratory diagnostic service networks” of March 23, 2011, the service institution aims to ensure the “possibility for laboratory structures to utilize other structures for examinations that, due to their number, complexity, and/or need for highly qualified personnel and equipment, should be consolidated within a few realities.”</w:t>
        <w:br/>
        <w:t>The Region of Sardinia had already regulated the matter with Regional Council Resolution no. 30/7 of August 26, 2003, concerning the “Regulation of service for private clinical analysis laboratories.”</w:t>
        <w:br/>
        <w:t>In this act, referring to the classification outlined in the DPCM of February 10, 1984, three types of analysis laboratories are identified, differentiated based on the type of services that can be performed and the complexity of the instrumental and organizational equipment used.</w:t>
        <w:br/>
        <w:t>In particular, the analysis laboratories have been distinguished into: (i) general base laboratories, such as multidisciplinary facilities that perform diagnostic investigations in clinical biochemistry, hematology, and microbiology on biological samples; (ii) specialized laboratories, such as monospecialistic structures intended to carry out high-level technological and professional diagnostic investigations with reference to each specialization of laboratory medicine (clinical and toxicological chemistry; hematology; microbiology and seroimmunology; cytopathology; virology; medical genetics); (iii) base laboratories with specialized sectors, such as structures that, in addition to providing services typical of general base laboratories, also carry out high-level technological and professional diagnostic investigations in one or more specialized sectors.</w:t>
      </w:r>
    </w:p>
    <w:p>
      <w:r>
        <w:t>98 BULLETIN NO. 49 OF JANUARY 18, 2016</w:t>
        <w:br/>
        <w:t>Within the Resolution under examination, it is established that:</w:t>
        <w:br/>
        <w:t>- general base laboratories “are required to directly provide,” through the analysis of the sample in their own structure, “the services of simple and frequent execution, listed in the appropriate technical annex”; such services are therefore “excluded from the service” (point 1);</w:t>
        <w:br/>
        <w:t>- for the sole “services of high professional and/or technological content” listed in annex 2, general base laboratories may have them performed in service, at other specialized clinical analysis laboratories or with specialized sections, public and private (point 2);</w:t>
        <w:br/>
        <w:t>- general base laboratories that utilize the “laboratory service” are required to “turn to a single reference laboratory for each type of examination” (point 3);</w:t>
        <w:br/>
        <w:t>- the same laboratories may request the service “only from other accredited structures within the regional territory” (point 4);</w:t>
        <w:br/>
        <w:t>- “specialized laboratories or those with specialized sections” may not have examinations performed in service at other laboratories, “due to their qualification as specialist facilities” (point 9).</w:t>
        <w:br/>
        <w:t>The Authority believes that the aforementioned provisions raise competitive concerns, as they impose unjustified constraints on the ability to perform laboratory analyses at the best-equipped structure (for example, in terms of technical equipment and specialized personnel, or due to the number of cases handled or, again, for the speed of execution of the diagnostic examination). This is also considering that the service institution, by providing analysis laboratories with greater flexibility in organizing their offerings, can contribute to the improvement of diagnostic health services, also from the perspective of expanding the ways of meeting user needs.</w:t>
        <w:br/>
        <w:t>In particular, with reference to points 1) and 2) of the Resolution, it is noted that the principle according to which recourse to the service is allowed only for the more complex services (and not also for those of “simple and frequent execution”) introduces a broad and unnecessary restriction on the freedom of determination of the methods of offering their services by analysis laboratories. This constraint, in fact, does not appear in the reconstruction of the service system carried out by the aforementioned State/Regions Conference document; while it is evident that other regional regulations limit the constraint for the laboratory to perform the examination on-site only to cases where there is a technical impediment to recourse to the service (for example, due to the risk of sample deterioration in case of transport).</w:t>
        <w:br/>
        <w:t>Similarly, the obligation for general base laboratories that utilize the service to turn to a single laboratory for each type of examination (point 3 of the Resolution) also appears, in light of the examination of other regional regulations, disproportionate in relation to the objective of not fragmenting the performance of each type of examination. According to the Authority, the identification of the external laboratory to which to entrust the service should not be inspired by principles of staticity. In other words, the laboratory that resorts to the service should be able to choose to commission the diagnostic examination to the structure - accredited and specialized for that specific examination - taking into account, from time to time, its ability to perform the service more effectively (for example, based on the timing it takes to perform the examination, the number of cases handled, or the equipment and personnel used).</w:t>
        <w:br/>
        <w:t>The provision aimed at limiting the ability of base laboratories to turn to laboratories in service located outside the regional territory (point 4 of the Resolution) is also subject to</w:t>
      </w:r>
    </w:p>
    <w:p>
      <w:r>
        <w:rPr>
          <w:b/>
        </w:rPr>
        <w:t>[Pages 97–99]</w:t>
      </w:r>
    </w:p>
    <w:p>
      <w:r>
        <w:t>BULLETIN NO. 49 OF JANUARY 18, 2016 99</w:t>
      </w:r>
    </w:p>
    <w:p>
      <w:r>
        <w:t>to unjustifiably restrict the activities of analysis laboratories and is only partially mitigated by the provisions of Deliberation No. 52/10 of December 10, 2013 - according to which it is possible to turn to external structures outside the Region "when the aforementioned services cannot be performed in the regional structures." In this regard, it is believed that the limitation of entrusting services exclusively to laboratories located within the regional boundaries risks hindering the very purpose underlying the institution, namely to ensure users the quality of services which, at times, require highly specialized personnel and/or need to be performed at a laboratory that has a numerically adequate case history. Nor does this constraint appear to be dictated by concerns related to the transport of samples outside the island (possible deterioration of transported samples, or transport costs), given that other Regions, including those with similar geomorphological characteristics, have not felt the need to introduce such a restriction.</w:t>
      </w:r>
    </w:p>
    <w:p>
      <w:r>
        <w:t>Finally, certain interpretative perplexities arise - and a clarifying intervention would be warranted - from the provision of the Deliberation according to which "Specialized laboratories and basic laboratories with specialized sectors cannot have examinations performed in service, in relation to their qualification as specialized facilities" (point 9 of the Deliberation). This formulation lends itself to being read in the sense that it is prohibited for specialized laboratories - or those with specialized sections - to perform any service in service. It would therefore be necessary to clarify that the prohibition applies only to services attributable to the specialized branch for which the structure has obtained the qualification of specialized laboratory.</w:t>
      </w:r>
    </w:p>
    <w:p>
      <w:r>
        <w:t>In light of the above, the Authority hopes that the expressed evaluations will be taken into account in order to eliminate from the regional regulation in question limitations on the provision of services in service that could produce harmful effects on competition among private clinical analysis structures.</w:t>
      </w:r>
    </w:p>
    <w:p>
      <w:r>
        <w:t>The Authority invites communication, within a period of forty-five days from the receipt of this report, of the determinations taken regarding the highlighted competitive criticalities.</w:t>
      </w:r>
    </w:p>
    <w:p>
      <w:r>
        <w:t>This report will be published in the Authority's Bulletin pursuant to Article 26 of Law No. 287/90.</w:t>
      </w:r>
    </w:p>
    <w:p>
      <w:r>
        <w:t>THE PRESIDENT</w:t>
        <w:br/>
        <w:t>Giovanni Pitruzzella</w:t>
      </w:r>
    </w:p>
    <w:p>
      <w:r>
        <w:t>100 BULLETIN NO. 49 OF JANUARY 18, 2016</w:t>
      </w:r>
    </w:p>
    <w:p>
      <w:r>
        <w:t>AS1250 - MUNICIPALITY OF CARSOLI (AQ) - SPELEOLOGICAL GUIDES</w:t>
      </w:r>
    </w:p>
    <w:p>
      <w:r>
        <w:t>Rome, December 28, 2015</w:t>
        <w:br/>
        <w:t>Abruzzo Region – Department of Transport, Mobility, Tourism, and Culture</w:t>
        <w:br/>
        <w:t>Municipality of Carsoli – Technical Office</w:t>
      </w:r>
    </w:p>
    <w:p>
      <w:r>
        <w:t>With this report, made pursuant to Article 21 of Law October 10, 1990, No. 287, the Antitrust Authority, following a complaint submitted by a speleological guide, intends to make some competitive considerations regarding the regulation of this activity resulting from L.R. Abruzzo August 11, 2004, No. 25 "Rules for the regulation of the professional activity of speleological guide and for the reorganization of the Examination Commission for the technical assessment of those aspiring to practice the profession of speleological guide in Abruzzo" and from the deliberation of the Municipality of Carsoli of August 14, 2014, No. 82 "Tariffs for tickets for entry to underground cavities and activities of the special natural reserve of the caves of Pietrasecca."</w:t>
      </w:r>
    </w:p>
    <w:p>
      <w:r>
        <w:t>In particular, Article 2 of L.R. No. 25/2004 states that the activity of speleological guiding is reserved for professionals registered in a specific regional register and that registration is valid for three years (Article 2). The qualification for the profession, necessary for registration in the register, is obtained by passing a specific examination, held every three years by the Abruzzo Regional Council, to assess the professional technical capacity of the candidates, or by attending qualifying courses normally organized every three years by the Region (Article 3). The municipalities supervise the exercise of the activity in question (Article 13).</w:t>
      </w:r>
    </w:p>
    <w:p>
      <w:r>
        <w:t>The deliberation of the Municipality of Carsoli No. 82/2014, among various purposes, provides for the guarantee of the application of the principles of competition and free market, establishing that subjects authorized to accompany in the cave may autonomously exercise their activity within the Special Natural Reserve of the Caves of Pietrasecca, subject to the condition of recognizing the Carsolana community a "proportional compensation for the visits made."</w:t>
      </w:r>
    </w:p>
    <w:p>
      <w:r>
        <w:t>Furthermore, the exercise of the activity of speleological guiding is subject to a costly accreditation procedure, aimed "to compensate for the costs of ascertaining environmental, geopalynological, chemical-physical, archaeological-naturalistic, and landscape emergencies, as well as reference points for monitoring and for launching SOS in case of need."</w:t>
      </w:r>
    </w:p>
    <w:p>
      <w:r>
        <w:t>BULLETIN NO. 49 OF JANUARY 18, 2016 101</w:t>
      </w:r>
    </w:p>
    <w:p>
      <w:r>
        <w:t>It is also established, in a confusing manner, that the guides must prove to the Municipality that they have acquired in situ all the "necessary information to conduct the accompanyings in accordance with the procedures that will be established by the Municipality of Carsoli to be accepted with specific minutes signed by the parties."</w:t>
      </w:r>
    </w:p>
    <w:p>
      <w:r>
        <w:t>The aforementioned deliberation No. 82/2014 establishes fixed tariffs for each hiking route to the Caves of Pietrasecca, according to 3 levels of difficulty. For the same route and level considered, the tariffs are differentiated based on the type of professional offering the service and are particularly contained in the "guided tours to the Cave of the Deer conducted independently by subjects accredited by the Municipality, authorized to accompany and in the cave with their own equipment for visitors and with costs borne by the accompanying subject."</w:t>
      </w:r>
    </w:p>
    <w:p>
      <w:r>
        <w:t>In this regard, the Authority intends to draw attention to the distortions of competition and the correct functioning of the market for professional services offered by speleological guides that arise from the provisions of L.R. No. 25/2004 regarding registration in the regional register and from the provisions of municipal deliberation No. 82/2014 concerning the required costly accreditation of professionals with the Municipality and the authoritative definition of differentiated and fixed tariffs.</w:t>
      </w:r>
    </w:p>
    <w:p>
      <w:r>
        <w:t>In particular, regarding Article 2 of L.R. Abruzzo No. 25/2004, the provision of the obligation for the professional, already qualified by passing a specific examination, to register in a regional register comes to the fore. As repeatedly pointed out by the Authority, this provision "translates into an unjustified limitation on access to the market," as it is not proportionate to the objective of ensuring users the quality of the service. Since understandable needs for verifying the preparation and competence of the professional are ensured by the prior passing of a specific qualification examination (provided for by Articles 3-6 of the same law, which in Article 7 also requires updating obligations), it would still be preferable, from a competition protection standpoint, that the subjects deemed suitable are registered in a mere list of qualified professionals.</w:t>
      </w:r>
    </w:p>
    <w:p>
      <w:r>
        <w:t>Regarding deliberation No. 82/2014, the provisions briefly described highlight an overall regulation of the activities of speleological guides that is contrary to the principles of competition.</w:t>
      </w:r>
    </w:p>
    <w:p>
      <w:r>
        <w:t>In this sense, the accreditation with the Municipality requested by the deliberation in question for a fee to compensate various costs incurred by the administration itself comes to the fore.</w:t>
      </w:r>
    </w:p>
    <w:p>
      <w:r>
        <w:t>This provision appears capable of restricting access to the activity of speleological guiding, not only due to the absence of any transparent, public, and non-discriminatory selection criteria but also due to its costly nature (€200 per professional, as established by the deliberation itself). The deliberation, in particular, introduces a requirement not provided for by the regional regulation, which considers the qualification and registration in the regional register of the professional sufficient, and entrusts the Municipality with a mere supervisory power that does not require, by its nature, the imposition of additional burdens on professionals. These, moreover, are expressly intended to compensate costs related to functions that the Municipality should ensure anyway and that are not directly connected with the exercise of the profession in question.</w:t>
      </w:r>
    </w:p>
    <w:p>
      <w:r>
        <w:t>1 See, among others, the report of June 19, 2014, AS1135 - Provisions contained in some regional and provincial laws regarding tourist professions, as well as the report of June 19, 2008, AS460 - Regulation of the profession of alpine guide (framework law January 2, 1989, No. 6 and regional laws).</w:t>
      </w:r>
    </w:p>
    <w:p>
      <w:r>
        <w:rPr>
          <w:b/>
        </w:rPr>
        <w:t>[Pages 100–102]</w:t>
      </w:r>
    </w:p>
    <w:p>
      <w:r>
        <w:t>102 BULLETIN NO. 49 OF JANUARY 18, 2016</w:t>
        <w:br/>
        <w:t>Secondly, the provision of differentiated rates established directly by the resolution in question is found to be restrictive of competition, both for the speleological guides in a freelance regime and for those accredited by the Municipality. Indeed, although the routes and levels of difficulty are the same, the Municipality provides extremely low rates, and therefore more appealing to tourists, only for excursions carried out by the speleological guides accredited by the Municipality.</w:t>
      </w:r>
    </w:p>
    <w:p>
      <w:r>
        <w:t>Thirdly, the resolution under examination imposes fixed rates on both categories of professionals. In this regard, it is reiterated that regulations preventing economic operators from using price leverage as a tool to differentiate their presence in the market have negative effects on competition, both because they prevent the offering of services at lower prices/rates and because they prohibit the professional from recovering through higher rates the costs incurred to improve the service.</w:t>
      </w:r>
    </w:p>
    <w:p>
      <w:r>
        <w:t>Even the most recent jurisprudence of the Supreme Court, although referring to professional rates, has stated that “the rate is not in itself a guarantee of the quality of the service, thus the derogation from the rate with the agreement of a lower fee does not equate in any way to a substandard service.”</w:t>
      </w:r>
    </w:p>
    <w:p>
      <w:r>
        <w:t>The Authority, in conclusion, hopes that the considerations outlined above will lead to a modification of L.R. No. 25/2004 in the sense of requiring the professional to register in a mere regional list and not in a proper register, and of the municipal resolution No. 82/2014 in order to avoid restrictions on the exercise of the activity in question arising from the request for costly accreditation and from the provision of unjustifiably differentiated and fixed rates.</w:t>
      </w:r>
    </w:p>
    <w:p>
      <w:r>
        <w:t>The Authority invites communication, within a period of 45 days from the receipt of this report, of the determinations taken regarding the highlighted competitive criticalities.</w:t>
      </w:r>
    </w:p>
    <w:p>
      <w:r>
        <w:t>This report will be published in the Bulletin of the Antitrust Authority.</w:t>
      </w:r>
    </w:p>
    <w:p>
      <w:r>
        <w:t xml:space="preserve">THE PRESIDENT </w:t>
        <w:br/>
        <w:t>Giovanni Pitruzzella</w:t>
      </w:r>
    </w:p>
    <w:p>
      <w:r>
        <w:t xml:space="preserve">BULLETIN NO. 49 OF JANUARY 18, 2016 103 </w:t>
        <w:br/>
        <w:t xml:space="preserve">UNFAIR COMMERCIAL PRACTICES </w:t>
        <w:br/>
        <w:t xml:space="preserve">IP244 - AVRON-REGISTRATION IN THE REGISTER AND PAYMENT REMINDERS </w:t>
        <w:br/>
        <w:t xml:space="preserve">Provision No. 25803 </w:t>
        <w:br/>
        <w:t xml:space="preserve">THE ANTITRUST AUTHORITY </w:t>
        <w:br/>
        <w:t xml:space="preserve">IN ITS MEETING of December 22, 2015; </w:t>
        <w:br/>
        <w:t xml:space="preserve">HEARD the Rapporteur Dr. Salvatore Rebecchini; </w:t>
        <w:br/>
        <w:t xml:space="preserve">VIEWING Part II, Title III, of Legislative Decree No. 206 of September 6, 2005, containing the “Consumer Code” and subsequent amendments (hereinafter, Consumer Code); </w:t>
        <w:br/>
        <w:t xml:space="preserve">VIEWING, in particular, Article 27, paragraph 12, of the Consumer Code, according to which in the event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 </w:t>
        <w:br/>
        <w:t xml:space="preserve">VIEWING Law No. 689 of November 24, 1981; </w:t>
        <w:br/>
        <w:t xml:space="preserve">VIEWING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w:t>
        <w:br/>
        <w:t xml:space="preserve">VIEWING its resolution No. 24949, of May 28, 2014, with which the Authority ascertained the unfairness of the commercial practice carried out by Avron s.r.o. and IPDM Internet Publishing &amp; Demand Management Mon. Ike., from January 2012 until the issuance of the aforementioned provision. In the case of Avron s.r.o., this commercial practice consisted of a plurality of conducts consisting of the unilateral and unsolicited pre-registration of the business data of Italian micro-enterprises in an online database, in order to promote the subscription of an unsolicited paid advertising service by resorting to undue conditioning of the decision-making process of micro-enterprises, as well as the neutralization of the right of withdrawal contractually granted and the repeated sending of notices and payment reminders, accompanied in some cases by the threat of legal action for the coercive recovery of the claimed credit. In the case of IPDM Internet Publishing &amp; Demand Management Mon. Ike., on the other hand, the commercial practice consisted of formulating, on behalf of Avron S.r.o., so-called “settlement and write-off” proposals, sent by mail and email, also resorting to repeated and insistent threats of legal action before foreign authorities to proceed with the coercive collection of an unduly claimed credit; </w:t>
        <w:br/>
        <w:t>VIEWING its resolution No. 25556, of July 9, 2015, with which the Authority ascertained that the behavior of Avron s.r.o. and IPDM Internet Publishing &amp; Demand Management Mon. Ike. constituted a violation of Article 27, paragraph 12, of the Consumer Code for failing to comply with the aforementioned resolution No. 24949, of May 28, 2014;</w:t>
      </w:r>
    </w:p>
    <w:p>
      <w:r>
        <w:t xml:space="preserve">BULLETIN NO. 49 OF JANUARY 18, 2016 104 </w:t>
        <w:br/>
        <w:t xml:space="preserve">VIEWING the documents of the proceeding; </w:t>
        <w:br/>
        <w:t xml:space="preserve">CONSIDERING the following: </w:t>
        <w:br/>
        <w:t xml:space="preserve">1. With provision No. 24949, of May 28, 2014, the Authority, at the conclusion of proceeding PS9174, found that the commercial practice carried out by Avron S.r.o. (hereinafter “Avron”) and by IPDM Internet Publishing &amp; Demand Management Mon. Ike. (hereinafter “IPDM”) towards Italian micro-enterprises was unfair pursuant to Articles 20, 24, 25, paragraph 1, letters d) and e), as well as 26, paragraph 1, letter f), of the Consumer Code and prohibited its dissemination or continuation. With this provision, in particular, the Authority ascertained the unfair nature of the commercial practice carried out by Avron, structured around a series of conducts aimed at promoting a subscription service for online advertising, hindering the exercise of the contractually granted right of withdrawal, as well as aggressively requesting, directly or through the debt collection company IPDM, the payment of the installments of such subscription, also resorting to the threat of taking legal action before a foreign authority for the coercive recovery of an unduly claimed credit. The Authority also ascertained the unfair nature of the commercial practice carried out by IPDM, consisting of sending payment reminders and settlement proposals to the micro-enterprises involved in Avron's commercial practice, also accompanied by the threat of taking legal action before a foreign authority in case of non-payment of the requested amounts. </w:t>
        <w:br/>
        <w:t xml:space="preserve">2. Having not adopted any measures suitable to remove the profiles of unfairness ascertained in relation to the above-described commercial practice, the Authority, with provision No. 25307 of February 3, 2015 (proceeding IP229), contested to Avron and IPDM the violation of letter a) of the repeatedly cited resolution No. 24949, of May 28, 2014, subsequently declaring their non-compliance with provision No. 25556 of July 9, 2015. </w:t>
        <w:br/>
        <w:t xml:space="preserve">3. In particular, various Italian micro-enterprises that subscribed to the subscription reported having received, through various channels, payment requests from Avron and IPDM. These payment requests were received by the aforementioned micro-enterprises in a period subsequent to the notification of provision No. 24949, of May 28, 2014, and referred to particularly high sums of money as the professionals had added, for each reminder, additional amounts by way of interest and late fees to the originally requested amount. These reminders also contained intimidating expressions used by Avron and IPDM to threaten the coercive recovery of an unduly claimed credit. </w:t>
        <w:br/>
        <w:t xml:space="preserve">4. The Authority considered that the sending of the aforementioned payment requests constituted the reiteration of one of the conducts that are an integral part of the unfair commercial practice sanctioned by resolution No. 24949, of May 28, 2014. The Authority, therefore, with provision No. 25556 of July 9, 2015, considered that the behavior carried out by Avron and IPDM constituted non-compliance with letter a) of the aforementioned resolution No. 24949, of May 28, 2014, as the conducts carried out by the aforementioned professionals substantially mirrored the same modus operandi that the Authority had already deemed unfair based on the aforementioned resolution No. 24949, of May 28, 2014. </w:t>
        <w:br/>
        <w:t>5. Based on the reports received, starting from September 2015, it emerged that Avron and IPDM continued to carry out the commercial practice deemed unfair by the Authority, with reference to the same profiles that led to the ascertainment.</w:t>
      </w:r>
    </w:p>
    <w:p>
      <w:r>
        <w:rPr>
          <w:b/>
        </w:rPr>
        <w:t>[Pages 103–105]</w:t>
      </w:r>
    </w:p>
    <w:p>
      <w:r>
        <w:t>BULLETIN NO. 49 OF JANUARY 18, 2016 105</w:t>
        <w:br/>
        <w:t>of non-compliance with resolution no. 24949, of May 28, 2014. In particular, Avron, through the debt collection company IPDM, sent further payment reminders to the Italian micro-enterprises involved in the aforementioned unfair commercial practice, accompanied by the threat of resorting to a foreign judicial authority for the coercive recovery of an improperly claimed credit, as well as settlement proposals for payment in full and in part.</w:t>
      </w:r>
    </w:p>
    <w:p>
      <w:r>
        <w:t>6. Provision no. 25556, of July 9, 2015, was notified to Avron on August 5, 2015, and to IPDM on August 14, 2015. Therefore, from the documentary evidence, it appears that the unfair commercial practice deemed such by the Authority was again disseminated after the notification date of the aforementioned provision.</w:t>
      </w:r>
    </w:p>
    <w:p>
      <w:r>
        <w:t>7. In conclusion, the prerequisites for initiating the procedure provided for by Article 27, paragraph 12, of the Consumer Code, aimed at imposing an administrative pecuniary sanction from 10,000 to 5,000,000 euros, are present.</w:t>
      </w:r>
    </w:p>
    <w:p>
      <w:r>
        <w:t>CONSIDERING, therefore, that the established facts constitute a case of non-compliance with the Authority's resolution no. 24949, of May 28, 2014, pursuant to Article 27, paragraph 12, of the Consumer Code;</w:t>
      </w:r>
    </w:p>
    <w:p>
      <w:r>
        <w:t>RESOLVES</w:t>
        <w:br/>
        <w:t>a) to contest to the company Avron S.r.o. and to the company IPDM Internet Publishing &amp; Demand Management Mon. Ike. the violation referred to in Article 27, paragraph 12, of the Consumer Code, for failing to comply with the Authority's resolution no. 24949, of May 28, 2014;</w:t>
        <w:br/>
        <w:t>b) the initiation of the procedure for the possible imposition of the pecuniary sanction referred to in Article 27, paragraph 12, of the Consumer Code;</w:t>
        <w:br/>
        <w:t>c) that the person responsible for the procedure is Dr. Luca Biffaro;</w:t>
        <w:br/>
        <w:t>d) that the acts of the procedure can be viewed at Directorate C, of the General Directorate for Consumer Protection of the Authority, by the legal representatives of the company Avron S.r.o. and those of the company IPDM Internet Publishing &amp; Demand Management Mon. Ike., or by persons delegated by them;</w:t>
        <w:br/>
        <w:t>e) that within thirty days from the notification of this provision, the interested parties may submit defensive writings and documents to the Authority, as well as request to be heard;</w:t>
        <w:br/>
        <w:t>f) that the procedure must be concluded within one hundred twenty days from the date of communication of this provision.</w:t>
      </w:r>
    </w:p>
    <w:p>
      <w:r>
        <w:t>For the purposes of quantifying the possible pecuniary sanction provided for by Article 27, paragraph 12, of the Consumer Code, Avron S.r.o. and IPDM Internet Publishing &amp; Demand Management Mon. Ike. are requested to provide a copy of the latest financial statements or suitable accounting documentation certifying the economic conditions in the last year.</w:t>
      </w:r>
    </w:p>
    <w:p>
      <w:r>
        <w:t>106 BULLETIN NO. 49 OF JANUARY 18, 2016</w:t>
        <w:br/>
        <w:t>This provision will be notified to the interested parties and published in the Bulletin of the Authority for Competition and Market.</w:t>
      </w:r>
    </w:p>
    <w:p>
      <w:r>
        <w:t>THE SECRETARY GENERAL THE PRESIDENT</w:t>
        <w:br/>
        <w:t>Roberto Chieppa Giovanni Pitruzzella</w:t>
      </w:r>
    </w:p>
    <w:p>
      <w:r>
        <w:t>BULLETIN NO. 49 OF JANUARY 18, 2016 107</w:t>
        <w:br/>
        <w:t>IP245 - EXPO GUIDE</w:t>
        <w:br/>
        <w:t>Provision no. 25804</w:t>
        <w:br/>
        <w:t>THE AUTHORITY FOR COMPETITION AND MARKET</w:t>
        <w:br/>
        <w:t>IN ITS MEETING of December 22, 2015;</w:t>
        <w:br/>
        <w:t>HEARD the Rapporteur Dr. Salvatore Rebecchini;</w:t>
        <w:br/>
        <w:t>VIEWED Part II, Title III, of Legislative Decree No. 206 of September 6, 2005, containing the "Consumer Code" and subsequent amendments (hereinafter, Consumer Code);</w:t>
        <w:br/>
        <w:t>NOTED, in particular Article 27, paragraph 12, of the Consumer Code, pursuant to which in the event of non-compliance with urgent measures or those prohibiting or removing effects, the Authority applies a pecuniary administrative sanction from 10,000 to 5,000,000 euros and in cases of repeated non-compliance, the Authority may order the suspension of business activity for a period not exceeding thirty days;</w:t>
        <w:br/>
        <w:t>VIEWED Law No. 689 of November 24, 1981;</w:t>
        <w:b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VIEWED its resolution no. 24788, of February 5, 2014, with which the Authority found the unfairness of the commercial practice carried out by Expo Guide S.C., starting from January 2012 and temporarily suspended on November 12, 2013, as a result of the precautionary measure ordered by the Authority with resolution no. 24524 of September 18, 2013, articulated in a plurality of conducts consisting of the unilateral and unsolicited pre-registration of the business data of micro-enterprises in an online database, in order to promote the subscription of an unsolicited paid advertising service through the undue conditioning of the decision-making process of micro-enterprises, as well as in the neutralization of the right of withdrawal contractually granted and in the repeated sending of notices and payment reminders, accompanied in some cases by the threat of legal action for the coercive recovery of the claimed credit;</w:t>
        <w:br/>
        <w:t>VIEWED its resolution no. 25557, of July 9, 2015, with which the Authority found that the behavior of the company Expo Guide S.C. constituted a violation of Article 27, paragraph 12, of the Consumer Code for failing to comply with the aforementioned resolution no. 24788, of February 5, 2014;</w:t>
        <w:br/>
        <w:t>VIEWED the acts of the procedure;</w:t>
        <w:br/>
        <w:t>CONSIDERED the following:</w:t>
        <w:br/>
        <w:t>1. With provision no. 24788, of February 5, 2014, the Authority, at the conclusion of procedure PS9026, deemed that the commercial practice carried out by Expo Guide S.C. (hereinafter "Expo-Guide") against Italian micro-enterprises was unfair pursuant to Articles 20, 24, 25, paragraph 1, letters d) and e), as well as 26, paragraph 1, letter f), of the Consumer Code and prohibited its dissemination or continuation. With this provision, in particular, the Authority has</w:t>
      </w:r>
    </w:p>
    <w:p>
      <w:r>
        <w:rPr>
          <w:b/>
        </w:rPr>
        <w:t>[Pages 106–108]</w:t>
      </w:r>
    </w:p>
    <w:p>
      <w:r>
        <w:t>108 BULLETIN NO. 49 OF JANUARY 18, 2016</w:t>
      </w:r>
    </w:p>
    <w:p>
      <w:r>
        <w:t>established the unfair nature of the commercial practice carried out by Expo-Guide, structured around a series of behaviors aimed at promoting a subscription service for online advertising, hindering the exercise of the right of withdrawal contractually granted, as well as demanding payment of the installments of such subscription in an aggressive manner, either directly or through a debt collection agency, even resorting to the threat of legal action.</w:t>
      </w:r>
    </w:p>
    <w:p>
      <w:r>
        <w:t>2. Not having the professional adopted, within the term set by letter c) of the aforementioned resolution, any measures suitable to remove the profiles of unfairness established in relation to the above-described commercial practice, the Authority, with provision no. 25308 of February 3, 2015 (procedure IP230), contested Expo-Guide for violating letter a) of the repeatedly cited resolution no. 24788 of February 5, 2014, subsequently declaring its non-compliance with provision no. 25557 of July 9, 2015.</w:t>
      </w:r>
    </w:p>
    <w:p>
      <w:r>
        <w:t>3. In particular, various Italian micro-enterprises that subscribed to the subscription reported having received payment requests via email through a debt collection agency acting in the name and on behalf of Expo-Guide. These payment requests were received by the aforementioned micro-enterprises in a period subsequent to the notification of provision no. 24788 of February 5, 2014, and referred to particularly high amounts of money as the professional had added, for each reminder, additional sums by way of interest and late fees to the originally requested amount. Furthermore, these reminders also contained intimidating expressions used by Expo-Guide to threaten the coercive recovery of an unjustly claimed credit.</w:t>
      </w:r>
    </w:p>
    <w:p>
      <w:r>
        <w:t>4. The Authority considered that the sending of the aforementioned payment requests constituted the reiteration of one of the behaviors that are an integral part of the unfair commercial practice sanctioned by resolution no. 24788 of February 5, 2014. Therefore, the Authority, with provision no. 25557 of July 9, 2015, deemed that the conduct carried out by Expo-Guide constituted non-compliance with letter a) of the aforementioned resolution no. 24788 of February 5, 2014, as the behaviors carried out by the aforementioned professional, also through the reminders and proposals sent via two debt collection companies, substantially mirrored the same modus operandi that the Authority had already deemed unfair based on the aforementioned resolution no. 24788 of February 5, 2014.</w:t>
      </w:r>
    </w:p>
    <w:p>
      <w:r>
        <w:t>5. Based on the reports received starting from September 2015, it emerged that Expo-Guide continued to carry out the commercial practice deemed unfair by the Authority, with reference to the same profiles that led to the ascertainment of non-compliance with resolution no. 24788 of February 5, 2014. In particular, the professional, through the debt collection company CSML, sent further payment reminders to the Italian micro-enterprises involved in the above-described unfair commercial practice, accompanied by the threat of resorting to a foreign judicial authority for the coercive recovery of an unjustly claimed credit, as well as so-called settlement proposals.</w:t>
      </w:r>
    </w:p>
    <w:p>
      <w:r>
        <w:t>6. Provision no. 25557 of July 9, 2015, was notified to Expo-Guide on September 3, 2015. Therefore, from the documentary evidence, it appears that the commercial practice deemed unfair by the Authority was again disseminated after the date of notification of the aforementioned provision.</w:t>
      </w:r>
    </w:p>
    <w:p>
      <w:r>
        <w:t>7. In conclusion, the prerequisites for initiating the procedure provided for by Article 27, paragraph 12, of the Consumer Code, aimed at imposing an administrative pecuniary sanction from 10,000 to 5,000,000 euros, are present.</w:t>
      </w:r>
    </w:p>
    <w:p>
      <w:r>
        <w:t>CONSIDERING, therefore, that the established facts constitute a case of non-compliance with the Authority's resolution no. 24788 of February 5, 2014, pursuant to Article 27, paragraph 12, of the Consumer Code;</w:t>
      </w:r>
    </w:p>
    <w:p>
      <w:r>
        <w:t>RESOLVES</w:t>
      </w:r>
    </w:p>
    <w:p>
      <w:r>
        <w:t>a) to contest to the company Expo-Guide S.C. the violation referred to in Article 27, paragraph 12, of the Consumer Code, for failing to comply with the Authority's resolution no. 24788 of February 5, 2014;</w:t>
      </w:r>
    </w:p>
    <w:p>
      <w:r>
        <w:t>b) to initiate the procedure for the possible imposition of the pecuniary sanction referred to in Article 27, paragraph 12, of the Consumer Code;</w:t>
      </w:r>
    </w:p>
    <w:p>
      <w:r>
        <w:t>c) that the person responsible for the procedure is Dr. Luca Biffaro;</w:t>
      </w:r>
    </w:p>
    <w:p>
      <w:r>
        <w:t>d) that the legal representatives of the company Expo-Guide S.C., or persons delegated by it, may view the documents of the procedure at Directorate C, of the General Directorate for Consumer Protection of the Authority;</w:t>
      </w:r>
    </w:p>
    <w:p>
      <w:r>
        <w:t>e) that within thirty days from the notification of this provision, the interested parties may submit defensive writings and documents to the Authority, as well as request to be heard;</w:t>
      </w:r>
    </w:p>
    <w:p>
      <w:r>
        <w:t>f) that the procedure must be concluded within one hundred twenty days from the date of communication of this provision.</w:t>
      </w:r>
    </w:p>
    <w:p>
      <w:r>
        <w:t>For the purposes of quantifying the possible pecuniary sanction provided for by Article 27, paragraph 12, of the Consumer Code, Expo-Guide S.C. is requested to provide a copy of the latest financial statements or suitable accounting documentation certifying the economic conditions in the last year.</w:t>
      </w:r>
    </w:p>
    <w:p>
      <w:r>
        <w:t>The present provision will be notified to the interested parties and published in the Bulletin of the Authority for Competition and the Market.</w:t>
      </w:r>
    </w:p>
    <w:p>
      <w:r>
        <w:t>THE SECRETARY GENERAL THE PRESIDENT</w:t>
      </w:r>
    </w:p>
    <w:p>
      <w:r>
        <w:t>Roberto Chieppa Giovanni Pitruzzella</w:t>
      </w:r>
    </w:p>
    <w:p>
      <w:r>
        <w:rPr>
          <w:b/>
        </w:rPr>
        <w:t>[Pages 109–111]</w:t>
      </w:r>
    </w:p>
    <w:p>
      <w:r>
        <w:t>BULLETIN NO. 49 OF JANUARY 18, 2016 111</w:t>
      </w:r>
    </w:p>
    <w:p>
      <w:r>
        <w:t xml:space="preserve">PS10039 - PHILIPS-SWEEP LEGAL/COMMERCIAL WARRANTY  </w:t>
        <w:br/>
        <w:t xml:space="preserve">Provision No. 25805  </w:t>
        <w:br/>
        <w:t xml:space="preserve">THE ANTITRUST AUTHORITY  </w:t>
        <w:br/>
        <w:t xml:space="preserve">IN ITS MEETING of December 22, 2015;  </w:t>
        <w:br/>
        <w:t xml:space="preserve">HEARD the Rapporteur Dr. Salvatore Rebecchini;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communications received on July 23 and September 18, 2015, whereby, jointly, the companies Philips Consumer Relations B.V. and Philips S.p.A. first presented and then further specified commitments pursuant to Article 27, paragraph 7, of the Consumer Code and Article 9 of the Regulation;  </w:t>
        <w:br/>
        <w:t>HAVING REGARD to the documents of the proceeding;</w:t>
      </w:r>
    </w:p>
    <w:p>
      <w:r>
        <w:t xml:space="preserve">I. THE PARTIES  </w:t>
        <w:br/>
        <w:t xml:space="preserve">1. Philips S.p.A. (hereinafter also Philips Italia), as a professional, pursuant to Article 18, letter b), of the Consumer Code. The company, belonging to the Dutch group Philips, operates as a wholesaler in the field of electronic products and small and large household appliances and is responsible - also through the website www.philips.it - for the assistance for all products sold by the group in Italy.  </w:t>
        <w:br/>
        <w:t xml:space="preserve">2. Philips Consumer Relations B.V. (hereinafter also Philips CR), as a professional, pursuant to Article 18, letter b), of the Consumer Code. The company, belonging to the Dutch group Philips, operates in the field of electronic products and small and large household appliances through the online store operating on the website www.philips-shop.it.  </w:t>
        <w:br/>
        <w:t>3. Philips Consumer Lifestyle B.V. (hereinafter also Philips CL), as a professional, pursuant to Article 18, letter b), of the Consumer Code. The company, belonging to the Dutch group Philips, operates in the field of electronic products and small and large household appliances as a supplier of products sold wholesale by Philips S.p.A.</w:t>
      </w:r>
    </w:p>
    <w:p>
      <w:r>
        <w:t xml:space="preserve">II. THE CONDUCTS SUBJECT TO THE PROCEEDING  </w:t>
        <w:br/>
        <w:t>4. The proceeding concerns the dissemination, through the pages of the websites www.philips.it and www.philips-shop.it, of potentially omissive and misleading information regarding consumer rights and, in particular, mandatory pre-contractual information and the right of withdrawal pursuant to Articles 49 et seq. of the Consumer Code, as well as the legal warranty of conformity, pursuant to Articles 128 et seq. of the Consumer Code.</w:t>
      </w:r>
    </w:p>
    <w:p>
      <w:r>
        <w:t>112 BULLETIN NO. 49 OF JANUARY 18, 2016</w:t>
      </w:r>
    </w:p>
    <w:p>
      <w:r>
        <w:t xml:space="preserve">III. THE OUTCOMES OF THE PROCEEDING: THE PRESENTATION OF COMMITMENTS  </w:t>
        <w:br/>
        <w:t xml:space="preserve">1) The course of the proceeding  </w:t>
        <w:br/>
        <w:t xml:space="preserve">5. In relation to the conducts described above, on June 9, 2015, the companies Philips CR, Philips CL, and Philips Italia were notified of the initiation of investigative proceeding No. PS/10039 for possible violation of Articles 49 and 51 of the Consumer Code, as the professionals did not seem to provide the consumer in a clear and understandable manner, before being bound by the contract, certain information required by law to be mandatory, and for possible violation of Articles 20, 21, and 22 of the Consumer Code, as the information provided on the terms and conditions for utilizing the warranty could have been such as to alter the commercial choices of the consumer, in relation to the exercise of specific rights granted by law.  </w:t>
        <w:br/>
        <w:t xml:space="preserve">6. The professionals sent, on July 10, 2015, the response to the request for information made concurrently with the communication of the initiation of the proceeding, contesting among other things the attribution of the conducts to the company Philips CL, as it operates in Italy exclusively as a supplier of products sold wholesale by Philips Italia.  </w:t>
        <w:br/>
        <w:t xml:space="preserve">7. On July 23, 2015, the professionals Philips CR and Philips Italia presented a proposal for commitments pursuant to Article 27, paragraph 7, of the Consumer Code and Article 9 of the Regulation, which they illustrated during a hearing held on September 16, 2015, and then specified with the sending of a new consolidated version received on September 18, 2015.  </w:t>
        <w:br/>
        <w:t xml:space="preserve">8. On October 9, 2015, the date of conclusion of the investigative phase was communicated to the Parties pursuant to Article 16, paragraph 1, of the Regulation.  </w:t>
        <w:br/>
        <w:t>9. On November 10, 2015, the opinion of the Authority for Guarantees in Communications was requested.</w:t>
      </w:r>
    </w:p>
    <w:p>
      <w:r>
        <w:t xml:space="preserve">2) The elements acquired and the commitments of the professional  </w:t>
        <w:br/>
        <w:t xml:space="preserve">10. With a note received on September 18, 2015, the professionals Philips CR and Philips Italia presented the consolidated version of their proposal for commitments, pursuant to Article 27, paragraph 7, of the Consumer Code and Article 9 of the Regulation.  </w:t>
        <w:br/>
        <w:t xml:space="preserve">11. In particular, these commitments – which in their final version are attached to this provision and constitute an integral part thereof – provide that:  </w:t>
        <w:br/>
        <w:t xml:space="preserve">a) regarding the contacts of the online seller Philips CR, it will also add in the appropriate pages of the Philips Online Shop the indication of its fax number and clarify that the telephone or email contacts are managed by Philips Italia on behalf of Philips CR;  </w:t>
        <w:br/>
        <w:t xml:space="preserve">b) regarding the information on the right of withdrawal, the professionals commit to: i) make clearer the existence of a legal right of withdrawal from the contract, within 14 days from the delivery of the product; ii) more clearly distinguish the improved profiles conventionally recognized to consumers by Philips, namely that the 14-day period is extended to 21 days by the company; iii) make clearer and more understandable the information regarding the conditions, terms, and procedures for exercising the right of withdrawal, while providing the standard form; include in the emails sent to consumers for the confirmation of purchases made a link to the standard form for exercising the right of withdrawal; iv) condition the completion of the sales procedure on the reading and acceptance of the Terms of Sale by the consumer, who must therefore check a specific box; revisit the FAQs in light of the changes mentioned above; v) modify the said Terms of Sale, in order to eliminate the limitations therein provided on the right of withdrawal, which as clarified by the professionals were inapplicable and never applied, as such goods were never sold on the Philips Online Shop;  </w:t>
        <w:br/>
        <w:t xml:space="preserve">c) regarding the warranty of conformity of goods, the professionals commit to: i) better inform the consumer about the existence of a legal warranty of conformity, clarifying its content, duration, and methods of use; ii) clarify the distinction between the warranty provided by law and the conventional warranty offered by the company for free, which adds to and does not replace the legal one; iii) send an email to all consumers who have made purchases in the last two years to remind them of the existence of the legal warranty of conformity; iv) issue a specific communication to all retailers of Philips products in Italy and to the authorized service centers directly by Philips Italia, raising awareness of the need to inform consumers about the existence and content of the legal warranty, distinguishing it from the conventional warranty on Philips products;  </w:t>
        <w:br/>
        <w:t>d) regarding the conventional warranty of conformity, the professionals will modify the information forms on the website www.philips.it, in order to eliminate the limitations present therein, which were inapplicable and never applied as such goods are not produced by Philips nor have they ever been sold on the Philips Online Shop.</w:t>
      </w:r>
    </w:p>
    <w:p>
      <w:r>
        <w:t xml:space="preserve">IV. EVALUATION OF THE COMMITMENTS  </w:t>
        <w:br/>
        <w:t xml:space="preserve">12. The Authority believes that the commitments proposed by the professional are not only suitable to remedy the possible illegitimacy profiles of the contested commercial practice in the initiation communication, but also to determine further positive effects in the interest of consumers.  </w:t>
        <w:br/>
        <w:t xml:space="preserve">13. In fact, following their implementation, consumers will have full, widespread, and systematic knowledge of their rights. Furthermore, the clarifications provided will allow consumers to better distinguish the different roles played towards them by Philips CR, which operates as a seller, and by Philips Italia, which operates as a producer and as the manager of communications via telephone and email with consumers. Finally, the more detailed information will offer greater clarity on the methods of recognition of withdrawal and the warranty adopted by the professionals, which should be noted were already improvements over the minimum standard required by law.  </w:t>
        <w:br/>
        <w:t xml:space="preserve">14. In particular, the inclusion of the fax number adds to the already wide availability of contact means already provided on the seller's site, thus offering the consumer the full variety of communication channels suitable to facilitate contact with the professional, while the clarification that the telephone and email contacts are managed by Philips Italia on behalf of Philips CR allows consumers to frame the different roles held by the two professionals.  </w:t>
        <w:br/>
        <w:t>15. Regarding the right of withdrawal, the proposed changes aim to fully account for the existence and conditions for exercising the withdrawal provided for by Articles 52 et seq. of the Consumer Code.</w:t>
      </w:r>
    </w:p>
    <w:p>
      <w:r>
        <w:rPr>
          <w:b/>
        </w:rPr>
        <w:t>[Pages 112–114]</w:t>
      </w:r>
    </w:p>
    <w:p>
      <w:r>
        <w:t>114 BULLETIN NO. 49 OF JANUARY 18, 2016</w:t>
        <w:br/>
        <w:t>as well as the improved conditions that the professional already recognizes for the exercise of such right.</w:t>
        <w:br/>
        <w:t>16. Regarding information on the legal warranty and the conventional warranty, finally, particular emphasis should be placed on the proposal to send a specific communication to all consumers who have made purchases in the last two years, with an effect that extends, in this way, also to consumers who have already purchased on the site. The commitment of Philips Italia to send a communication to all Philips retailers aimed at raising awareness about the necessity of informing consumers regarding the existence of the legal warranty and the distinction between this and the conventional warranty should also be emphasized, a commitment that is such as to involve professionals who are not parties to the proceeding in pursuing the same consumer protection objectives, raising the standard of diligence of the entire distribution and assistance network of the group in Italy.</w:t>
        <w:br/>
        <w:t>17. In light of the above considerations, it is believed that the commitments presented meet the requirements set forth in Article 27, paragraph 7, of the Consumer Code.</w:t>
        <w:br/>
        <w:t>THEREFORE CONSIDERED, that the commitments presented by the companies Philips Consumer Relations B.V. and Philips S.p.A. in the terms outlined above are suitable to eliminate the possible profiles of unfairness of the commercial practice subject to investigation;</w:t>
        <w:br/>
        <w:t>CONSIDERED to impose the obligation of the aforementioned commitments on the companies Philips Consumer Relations B.V. and Philips S.p.A.;</w:t>
        <w:br/>
        <w:t>THEREFORE CONSIDERED to be able to close the proceeding without ascertaining the infringement;</w:t>
        <w:br/>
        <w:t>RESOLVES</w:t>
        <w:br/>
        <w:t>a) to make mandatory, towards the company Philips Consumer Relations B.V. and Philips S.p.A., pursuant to Article 27, paragraph 7, of the Consumer Code and Article 9, paragraph 2, letter a), of the Regulation, the commitments proposed by the same companies on September 18, 2015, as described in the statement attached to this provision;</w:t>
        <w:br/>
        <w:t>b) to close the proceeding without ascertaining the infringement, pursuant to Article 27, paragraph 7, of the Consumer Code and Article 9, paragraph 2, letter a), of the Regulation;</w:t>
        <w:br/>
        <w:t>c) that the companies Philips Consumer Relations B.V. and Philips S.p.A., within sixty days from the date of notification of this resolution, inform the Authority of the implementation of the commitments.</w:t>
        <w:br/>
        <w:t>Pursuant to Article 9, paragraph 3, of the Regulation, the proceeding may be reopened ex officio, where:</w:t>
        <w:br/>
        <w:t>a) the professionals do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provision will be notified to the interested parties and published in the Bulletin of the Antitrust Authority.</w:t>
      </w:r>
    </w:p>
    <w:p>
      <w:r>
        <w:t>THE SECRETARY GENERAL THE PRESIDENT</w:t>
        <w:br/>
        <w:t>Roberto Chieppa Giovanni Pitruzzella</w:t>
      </w:r>
    </w:p>
    <w:p>
      <w:r>
        <w:t>116 BULLETIN NO. 49 OF JANUARY 18, 2016</w:t>
        <w:br/>
        <w:t>ANNEX 1</w:t>
        <w:br/>
        <w:t>STATEMENT OF COMMITMENTS</w:t>
        <w:br/>
        <w:t>In the context of proceeding no. PS/10039, initiated by the Antitrust Authority (hereinafter also "the Authority") on June 9, 2015, concerning the commercial conduct of the companies Philips Consumer Relations B.V. and Philips S.p.A. regarding the information provided about consumer rights and, in particular, the mandatory pre-contractual information and the right of withdrawal pursuant to Articles 49 et seq. of the Consumer Code, as well as the legal warranty of conformity, pursuant to Articles 128 et seq. of the Consumer Code, the companies Philips Consumer Relations B.V. (hereinafter also Philips CR) and Philips S.p.A. (hereinafter also Philips Italia), pursuant to and for the effects of Article 27, paragraph 7, of the Consumer Code (Legislative Decree September 6, 2005, no. 206 and subsequent amendments) commit, starting from the date of communication of the Authority's provision, to implement the following measures in the manner and within the timeframes indicated below.</w:t>
        <w:br/>
        <w:t>I. Contacts of the professional</w:t>
        <w:br/>
        <w:t>Philips CR commits to:</w:t>
        <w:br/>
        <w:t>1. add to the website of the Philips Online Shop also the indication of its own fax number, in addition to the contacts already provided;</w:t>
        <w:br/>
        <w:t>2. clarify within the web pages of the Philips Online Shop where telephone or email contacts are provided to consumers that these are of Philips Italia, as it is that company that manages them on behalf of Philips CR.</w:t>
        <w:br/>
        <w:t>II. Right of withdrawal</w:t>
        <w:br/>
        <w:t>Philips CR commits to:</w:t>
        <w:br/>
        <w:t>1. modify the banner "Why buy from the Philips Online Shop?" that currently appears on the homepage of the Philips Online Shop and on each product sheet, in order to make clearer the existence of a legal right of withdrawal from the contract within 14 days from the delivery of the product, extended to 21 days by Philips;</w:t>
        <w:br/>
        <w:t>2. modify the "Add to cart" box that appears on each product sheet present in the Philips Online Shop, in order to make accessible from it clear and understandable information on the existence of the legal right of withdrawal, the conditions, terms, and procedures for its exercise, while providing the relevant standard form;</w:t>
        <w:br/>
        <w:t>3. modify the text of the Terms of Sale of the Philips Online Shop in order to:</w:t>
        <w:br/>
        <w:t>a. clarify, even better, the existence of the legal right of withdrawal, as well as the conditions, terms, and procedures for its exercise, distinguishing even more clearly the improved profiles if any conventionally recognized in this regard to consumers by Philips CR;</w:t>
        <w:br/>
        <w:t>b. eliminate typos related to the limitations of the right of refund provided for (i) "gift wrapping costs," (ii) "any other expenses," and (iii) services that the consumer has "already begun to use";</w:t>
        <w:br/>
        <w:t>4. revisit the FAQs related to "Returns, refunds, and cancellations" currently reported in the "Guide" accessible from the homepage of the Philips Online Shop, in light of the measures sub nn. (1)-(3) that precede;</w:t>
      </w:r>
    </w:p>
    <w:p>
      <w:r>
        <w:rPr>
          <w:b/>
        </w:rPr>
        <w:t>[Pages 115–117]</w:t>
      </w:r>
    </w:p>
    <w:p>
      <w:r>
        <w:t>BULLETIN NO. 49 OF JANUARY 18, 2016 117</w:t>
      </w:r>
    </w:p>
    <w:p>
      <w:r>
        <w:t xml:space="preserve">5. Include within the emails sent to consumers for the confirmation of purchases made through the Philips On Line Shop, a link to the standard form for exercising the right of withdrawal;  </w:t>
        <w:br/>
        <w:t>6. Modify the sales procedure on the Philips On Line Shop to provide that consumers can purchase the products offered therein only after checking a specific box, which indicates that they have read and accepted the Terms of Sale of the Philips On Line Shop.</w:t>
      </w:r>
    </w:p>
    <w:p>
      <w:r>
        <w:t xml:space="preserve">III. Warranty of conformity of goods  </w:t>
        <w:br/>
        <w:t xml:space="preserve">Philips CR undertakes to:  </w:t>
        <w:br/>
        <w:t xml:space="preserve">1.a modify the "Add to cart" box that appears on each product page in the Philips On Line Shop, in order to make accessible from it a reminder regarding the existence of the legal warranty of conformity of goods, accompanied by a brief description of the content, duration, and methods of use of the warranty itself;  </w:t>
        <w:br/>
        <w:t xml:space="preserve">2.a modify the Terms of Sale of the Philips On Line Shop in order to further clarify the existence of the legal warranty of conformity of goods, explicitly stating its content, duration, and methods of use, and also distinguishing it in even clearer terms from the conventional warranty, which Philips would continue to provide free of charge;  </w:t>
        <w:br/>
        <w:t>3.a send an email to all consumers who have made purchases from the Philips On Line Shop in the last 2 (two) years in order to remind them of the existence of the legal warranty of conformity of goods.</w:t>
      </w:r>
    </w:p>
    <w:p>
      <w:r>
        <w:t xml:space="preserve">Philips Italia undertakes to:  </w:t>
        <w:br/>
        <w:t xml:space="preserve">1.b modify the information forms related to the conformity warranty present on the website www.philips.it, in order to:  </w:t>
        <w:br/>
        <w:t xml:space="preserve">(i) further clarify the existence of the legal warranty of conformity of goods and to explicitly state that the conventional warranty offered by Philips Italia does not replace, but adds to the legal conformity warranty;  </w:t>
        <w:br/>
        <w:t xml:space="preserve">(ii) remove the (apparent) exclusions from the conventional warranty for monitors, recordable media, and digital decoders (exclusions, indeed, only apparent as they concern goods not produced by Philips, nor sold on the Philips On Line Shop);  </w:t>
        <w:br/>
        <w:t xml:space="preserve">2.b revisit the "Frequently Asked Questions" present on the website www.philips.it – accessible from the homepage of the site, following the path For Consumers/Assistance/Philips Consumer Care, in order to remind consumers that, in case of conformity defects of the purchased products, they can assert the legal warranty of conformity against the seller or the conventional warranty offered by Philips Italia, briefly describing its content, duration, and methods of use;  </w:t>
        <w:br/>
        <w:t>3.b disseminate to all retailers of Philips products in Italy and to the authorized Philips service centers, having a direct contractual relationship with Philips Italia, a specific communication that raises their awareness of the need to inform consumers about the existence and content of the legal warranty of conformity of goods, distinguishing it from the conventional warranty available on Philips products.</w:t>
      </w:r>
    </w:p>
    <w:p>
      <w:r>
        <w:t xml:space="preserve">Entry into force and duration  </w:t>
        <w:br/>
        <w:t>The Commitments will enter into force from the date of notification of the acceptance measure pursuant to Article 27, paragraph 7, of the Consumer Code ("Effective Date") and will remain valid indefinitely.</w:t>
      </w:r>
    </w:p>
    <w:p>
      <w:r>
        <w:t xml:space="preserve">118 BULLETIN NO. 49 OF JANUARY 18, 2016  </w:t>
        <w:br/>
        <w:t>Commitment III.1.b (ii) has already been implemented by Philips Italia. The other Commitments will be implemented within 2 (two) months from the Effective Date.</w:t>
      </w:r>
    </w:p>
    <w:p>
      <w:r>
        <w:t xml:space="preserve">Antitrust Authority Weekly Bulletin  </w:t>
        <w:br/>
        <w:t xml:space="preserve">of Competition and Market Year XXV- No. 49 - 2015  </w:t>
        <w:br/>
        <w:t xml:space="preserve">Editorial Coordination Giulia Antenucci  </w:t>
        <w:br/>
        <w:t xml:space="preserve">Editorial Staff Sandro Cini, Alberto Fardin, Francesca Melchiorri,  </w:t>
        <w:br/>
        <w:t xml:space="preserve">Valerio Ruocco, Simonetta Schettini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