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https://www.agcm.it/dotcmsdoc/bollettini/2018/49-18.pdf</w:t>
      </w:r>
    </w:p>
    <w:p>
      <w:r>
        <w:t>Pages translated : 75</w:t>
      </w:r>
    </w:p>
    <w:p/>
    <w:p>
      <w:r>
        <w:rPr>
          <w:b/>
        </w:rPr>
        <w:t>[Pages 1–3]</w:t>
      </w:r>
    </w:p>
    <w:p>
      <w:r>
        <w:t xml:space="preserve">Bulletin  </w:t>
        <w:br/>
        <w:t xml:space="preserve">Weekly  </w:t>
        <w:br/>
        <w:t xml:space="preserve">Year XXVIII - No. 49  </w:t>
        <w:br/>
        <w:t xml:space="preserve">Published on the website www.agcm.it  </w:t>
        <w:br/>
        <w:t>December 31, 2018</w:t>
      </w:r>
    </w:p>
    <w:p>
      <w:r>
        <w:t xml:space="preserve">SUMMARY  </w:t>
        <w:br/>
        <w:t xml:space="preserve">AGREEMENTS AND ABUSE OF DOMINANT POSITION 5  </w:t>
        <w:br/>
        <w:t xml:space="preserve">A517 - MARKETS FOR MAINTENANCE OF DIAGNOSTIC DEVICES  </w:t>
        <w:br/>
        <w:t xml:space="preserve">Decision No. 27433 5  </w:t>
        <w:br/>
        <w:t xml:space="preserve">I796 - SUPPORT AND TECHNICAL ASSISTANCE SERVICES TO THE PUBLIC ADMINISTRATION IN EU CO-FINANCED PROGRAMS  </w:t>
        <w:br/>
        <w:t xml:space="preserve">Decision No. 27461 7  </w:t>
        <w:br/>
        <w:t xml:space="preserve">I796 - SUPPORT AND TECHNICAL ASSISTANCE SERVICES TO THE PUBLIC ADMINISTRATION IN EU CO-FINANCED PROGRAMS  </w:t>
        <w:br/>
        <w:t xml:space="preserve">Decision No. 27462 10  </w:t>
        <w:br/>
        <w:t xml:space="preserve">I796 - SUPPORT AND TECHNICAL ASSISTANCE SERVICES TO THE PUBLIC ADMINISTRATION IN EU CO-FINANCED PROGRAMS  </w:t>
        <w:br/>
        <w:t xml:space="preserve">Decision No. 27463 13  </w:t>
        <w:br/>
        <w:t xml:space="preserve">I796 - SUPPORT AND TECHNICAL ASSISTANCE SERVICES TO THE PUBLIC ADMINISTRATION IN EU CO-FINANCED PROGRAMS  </w:t>
        <w:br/>
        <w:t xml:space="preserve">Decision No. 27464 16  </w:t>
        <w:br/>
        <w:t xml:space="preserve">I819 - INTERCENT-ER/TENDER FOR PLASMA-DERIVED DRUGS  </w:t>
        <w:br/>
        <w:t xml:space="preserve">Decision No. 27465 19  </w:t>
        <w:br/>
        <w:t xml:space="preserve">CONCENTRATION OPERATIONS 32  </w:t>
        <w:br/>
        <w:t xml:space="preserve">C12200 - ALPERIA/MULTIUTILITY UNINDUSTRIA SERVICES  </w:t>
        <w:br/>
        <w:t xml:space="preserve">Decision No. 27457 32  </w:t>
        <w:br/>
        <w:t xml:space="preserve">C12203 - EUROCAR/DORIGONI  </w:t>
        <w:br/>
        <w:t xml:space="preserve">Decision No. 27458 37  </w:t>
        <w:br/>
        <w:t xml:space="preserve">C12204 - VEGA CARBURANTS/CARBURANTS 3.0  </w:t>
        <w:br/>
        <w:t xml:space="preserve">Decision No. 27459 43  </w:t>
        <w:br/>
        <w:t xml:space="preserve">C12205 - TRENITALIA-PASSENGER TRANSPORT EMILIA ROMAGNA/PROVISIONAL RAILWAY COMPANY EMILIA ROMAGNA  </w:t>
        <w:br/>
        <w:t xml:space="preserve">Decision No. 27460 46  </w:t>
        <w:br/>
        <w:t xml:space="preserve">REPORTING AND CONSULTATIVE ACTIVITIES 51  </w:t>
        <w:br/>
        <w:t xml:space="preserve">AS1551 - OBSTACLES IN THE INSTALLATION OF MOBILE TELECOMMUNICATIONS AND BROADBAND WIRELESS ACCESS SYSTEMS AND THE DEVELOPMENT OF TELECOMMUNICATION NETWORKS IN 5G TECHNOLOGIES 51  </w:t>
        <w:br/>
        <w:t xml:space="preserve">AS1553 - 2019 BUDGET LAW - OBSERVATIONS REGARDING ARTICLES 41-BIS AND 51 OF BILL AC 1334 63  </w:t>
        <w:br/>
        <w:t xml:space="preserve">UNFAIR TRADE PRACTICES 70  </w:t>
        <w:br/>
        <w:t xml:space="preserve">PS11264 - MEVOSTORE CLICCATISSIMO-ONLINE SALES  </w:t>
        <w:br/>
        <w:t xml:space="preserve">Decision No. 27483 70  </w:t>
        <w:br/>
        <w:t xml:space="preserve">PS11281 - SOTTOCOSTO.ONLINE/PROMOTIONAL TRADE - VARIOUS ISSUES  </w:t>
        <w:br/>
        <w:t>Decision No. 27484 74</w:t>
      </w:r>
    </w:p>
    <w:p>
      <w:r>
        <w:t xml:space="preserve">BULLETIN NO. 49 OF DECEMBER 31, 2018 5  </w:t>
        <w:br/>
        <w:t xml:space="preserve">AGREEMENTS AND ABUSE OF DOMINANT POSITION  </w:t>
        <w:br/>
        <w:t xml:space="preserve">A517 - MARKETS FOR MAINTENANCE OF DIAGNOSTIC DEVICES  </w:t>
        <w:br/>
        <w:t xml:space="preserve">Decision No. 27433  </w:t>
        <w:br/>
        <w:t xml:space="preserve">THE ANTITRUST AUTHORITY  </w:t>
        <w:br/>
        <w:t xml:space="preserve">IN ITS MEETING of November 29, 2018;  </w:t>
        <w:br/>
        <w:t xml:space="preserve">HEARD the Rapporteur Dr. Gabriella Muscolo;  </w:t>
        <w:br/>
        <w:t xml:space="preserve">HAVING REGARD to Article 102 of the Treaty on the Functioning of the European Union (TFEU);  </w:t>
        <w:br/>
        <w:t xml:space="preserve">HAVING REGARD to Council Regulation (EC) No. 1/2003 of December 16, 2002, concerning the application of the competition rules laid down in Articles 81 and 82 of the EC Treaty (now Articles 101 and 102 TFEU);  </w:t>
        <w:br/>
        <w:t xml:space="preserve">HAVING REGARD to Law No. 287 of October 10, 1990;  </w:t>
        <w:br/>
        <w:t xml:space="preserve">HAVING REGARD to its resolution adopted on January 31, 2018, which initiated, pursuant to Article 14 of Law No. 287/90, an investigation against the companies GE Medical Systems Italia S.p.A. and its parent companies GE Healthcare Italia S.r.l. and GE Italia Holding S.r.l.; Siemens Healthcare S.r.l. and its parent company Siemens Healthineers Holding III B.V.; Philips S.p.A. and its parent companies Philips SAECO S.p.A. and Koninklijke Philips N.V. for alleged violations of Article 102 TFEU;  </w:t>
        <w:br/>
        <w:t xml:space="preserve">HAVING REGARD to its resolutions adopted on July 20, 2018 rejecting the commitments submitted by GE Medical Systems Italia S.p.A, GE Healthcare Italia S.r.l. and GE Italia Holding S.r.l., Philips S.p.A and Koninklijke Philips N.V. and Siemens Healthcare S.r.l.;  </w:t>
        <w:br/>
        <w:t xml:space="preserve">HAVING REGARD to its resolution adopted on August 8, 2018 by which the investigation procedure was subjectively expanded, pursuant to Article 14 of Law No. 287/90, against the companies Philips Medical System Nederland B.V., Siemens AG, Siemens Healthcare GmbH, GE Medical System S.C.S., General Electric Co.;  </w:t>
        <w:br/>
        <w:t xml:space="preserve">HAVING REGARD to all the acts of the procedure;  </w:t>
        <w:br/>
        <w:t xml:space="preserve">HAVING REGARD to the requests for extension of the deadline for concluding the procedure of October 31, 2018 and November 8, 2018, submitted respectively by GE Medical Systems S.C.S. and Philips Medical System Nederland B.V. in order to have a longer period of time to conduct a thorough analysis of the documentation in the file and fully exercise their right of defense;  </w:t>
        <w:br/>
        <w:t xml:space="preserve">CONSIDERING the complexity of the case subject to the Procedure and the wide articulation of the same also in terms of the Parties currently involved;  </w:t>
        <w:br/>
        <w:t xml:space="preserve">CONSIDERING the need to ensure the Parties the broadest exercise of their rights of defense and adversarial proceedings;  </w:t>
        <w:br/>
        <w:t>DEEMING, therefore, necessary, for the purposes of ascertaining the aspects subject to the procedure in the full exercise of the right of defense, to proceed with the postponement of the deadline for concluding the procedure, currently set for April 30, 2019;</w:t>
      </w:r>
    </w:p>
    <w:p>
      <w:r>
        <w:rPr>
          <w:b/>
        </w:rPr>
        <w:t>[Pages 4–6]</w:t>
      </w:r>
    </w:p>
    <w:p>
      <w:r>
        <w:t>6 BULLETIN NO. 49 OF DECEMBER 31, 2018</w:t>
      </w:r>
    </w:p>
    <w:p>
      <w:r>
        <w:t>RESOLVES</w:t>
      </w:r>
    </w:p>
    <w:p>
      <w:r>
        <w:t>to extend the deadline for the conclusion of the procedure to July 31, 2019.</w:t>
      </w:r>
    </w:p>
    <w:p>
      <w:r>
        <w:t>This provision will be notified to the interested parties and published in the Bulletin of the Authority for the Guarantee of Competition and the Market.</w:t>
      </w:r>
    </w:p>
    <w:p>
      <w:r>
        <w:t>THE SECRETARY GENERAL THE PRESIDENT pro tempore</w:t>
        <w:br/>
        <w:t>Filippo Arena Gabriella Muscolo</w:t>
      </w:r>
    </w:p>
    <w:p>
      <w:r>
        <w:t>BULLETIN NO. 49 OF DECEMBER 31, 2018 7</w:t>
      </w:r>
    </w:p>
    <w:p>
      <w:r>
        <w:t>I796 - SUPPORT AND TECHNICAL ASSISTANCE SERVICES TO THE PA IN EU CO-FINANCED PROGRAMS</w:t>
      </w:r>
    </w:p>
    <w:p>
      <w:r>
        <w:t>Provision No. 27461</w:t>
      </w:r>
    </w:p>
    <w:p>
      <w:r>
        <w:t>THE AUTHORITY FOR THE GUARANTEE OF COMPETITION AND THE MARKET</w:t>
      </w:r>
    </w:p>
    <w:p>
      <w:r>
        <w:t>IN ITS MEETING of December 12, 2018;</w:t>
      </w:r>
    </w:p>
    <w:p>
      <w:r>
        <w:t>HEARD the Rapporteur Dr. Gabriella Muscolo;</w:t>
      </w:r>
    </w:p>
    <w:p>
      <w:r>
        <w:t>HAVING REGARD to Law No. 287 of October 10, 1990;</w:t>
      </w:r>
    </w:p>
    <w:p>
      <w:r>
        <w:t>HAVING REGARD to the decree of the President of the Republic No. 217 of June 30, 1998;</w:t>
      </w:r>
    </w:p>
    <w:p>
      <w:r>
        <w:t>HAVING REGARD to its resolution of October 22, 2014, which adopted the Guidelines on the application methods of the criteria for quantifying administrative pecuniary sanctions imposed by the Authority in application of Article 15, paragraph 1, of Law No. 287/90 (hereinafter, briefly, "Guidelines");</w:t>
      </w:r>
    </w:p>
    <w:p>
      <w:r>
        <w:t>HAVING REGARD to its provision No. 26815 of October 18, 2017, adopted at the conclusion of procedure No. I/796 – Support and technical assistance services to the PA in EU co-financed programs, with which the Authority found that the companies Deloitte Consulting S.r.l., Deloitte &amp; Touche S.p.A., Ernst &amp; Young S.p.A., Ernst &amp; Young Financial Business Advisors S.p.A., KPMG S.p.A., KPMG Advisory S.p.A., PricewaterhouseCoopers S.p.A., PricewaterhouseCoopers Advisory S.p.A. had engaged in a restrictive agreement contrary to Article 101 TFEU consisting of a coordinated practice aimed at influencing the outcomes of the Consip AdA tender, through the elimination of mutual competitive confrontation and the division of lots;</w:t>
      </w:r>
    </w:p>
    <w:p>
      <w:r>
        <w:t>HAVING REGARD that for the established violation, due to the seriousness and duration of the infringement, an administrative pecuniary sanction of 1,516,218 euros was imposed on the companies PricewaterhouseCoopers S.p.A. and PricewaterhouseCoopers Advisory S.p.A., jointly and severally;</w:t>
      </w:r>
    </w:p>
    <w:p>
      <w:r>
        <w:t>HAVING REGARD to the ruling of the Lazio TAR of November 14, 2018, No. 10997, which partially accepted the appeal filed by PricewaterhouseCoopers S.p.A. and PricewaterhouseCoopers Advisory S.p.A., and, as a result, partially annulled provision No. 26815 of October 18, 2017, in the part concerning the determination of the sanction;</w:t>
      </w:r>
    </w:p>
    <w:p>
      <w:r>
        <w:t>HAVING REGARD, in particular, to the reasoning of the ruling of November 14, 2018, No. 10997, with which the Lazio TAR, in partial acceptance of the appeal filed and "pursuant to Article 134, paragraph 1, letter c), c.p.a. which recognizes the administrative judge an extended jurisdiction on the merits," set the parameters for the determination of the sanction to be imposed on the two aforementioned companies, referring the documents to the Authority so that it quantifies, in concrete terms, the amount of the same in accordance with the indications provided in the aforementioned ruling;</w:t>
      </w:r>
    </w:p>
    <w:p>
      <w:r>
        <w:t>HAVING REGARD to the parameters for the redetermination of the amount of the imposed pecuniary sanction, as identified by the administrative judge in the reasoning part of the aforementioned ruling considering: "that the infringement is definable as 'serious' as an operation of 'big rigging' in that it was aimed at the division of the relevant market (Consip AdA tender), but not 'secret', so that, in application of point 11 – but not also 12 – of the reference Guidelines, a percentage can be added to the 'base value' but to the extent that the panel deems appropriate to set at 10%" and that "the subjective consistency of the sanctioned companies and their leadership position in the sector, combined with the not insignificant economic value of the tender in question, means that AGCM can apply for effective deterrent purposes also the so-called 'entry fee' referred to in point 17 of the aforementioned Guidelines but, for the same reasons highlighted above, at the minimum percentage of 15%".</w:t>
      </w:r>
    </w:p>
    <w:p>
      <w:r>
        <w:t>CONSIDERING that the criteria identified by the Lazio TAR in the exercise of its jurisdiction on the merits for the redetermination of the sanction imposed jointly on PricewaterhouseCoopers S.p.A. and PricewaterhouseCoopers Advisory S.p.A. are precise, objective, and of automatic application and leave no discretionary margin in the implementation of the conforming constraint deriving from the ruling to be executed;</w:t>
      </w:r>
    </w:p>
    <w:p>
      <w:r>
        <w:t>CONSIDERING, therefore, that it is necessary to proceed, in compliance with the aforementioned ruling of the Lazio TAR and in accordance with the indications and parameters outlined therein, to the concrete redetermination of the sanction imposed by provision No. 26815 of October 18, 2017 against PricewaterhouseCoopers S.p.A. and PricewaterhouseCoopers Advisory S.p.A.;</w:t>
      </w:r>
    </w:p>
    <w:p>
      <w:r>
        <w:t>CONSIDERING that the re-exercise of the sanctioning power does not constitute acquiescence to the determinations made by the Lazio TAR, thus leaving unaffected any determination by the Authority following any appeal against the aforementioned ruling;</w:t>
      </w:r>
    </w:p>
    <w:p>
      <w:r>
        <w:t>HAVING REGARD to all the acts of the procedure;</w:t>
      </w:r>
    </w:p>
    <w:p>
      <w:r>
        <w:t>CONSIDERING the following:</w:t>
      </w:r>
    </w:p>
    <w:p>
      <w:r>
        <w:t>The reduction of the percentage of the value of sales</w:t>
      </w:r>
    </w:p>
    <w:p>
      <w:r>
        <w:t>1. In accordance with the parameter identified by the administrative judge in the ruling in question, the value of 30% of the sales of the goods or services subject to the infringement, as applied by the Authority pursuant to the Guidelines, must be reduced by 10%.</w:t>
      </w:r>
    </w:p>
    <w:p>
      <w:r>
        <w:t>2. In consideration of the above, the specific turnover, corresponding for PricewaterhouseCoopers S.p.A. and PricewaterhouseCoopers Advisory S.p.A. to 2,901,852 euros (para. 363 et seq. of the cited Provision) is subject to the percentage of 10%, resulting in a value of 290,185 euros.</w:t>
      </w:r>
    </w:p>
    <w:p>
      <w:r>
        <w:t>3. In accordance with the parameter identified by the administrative judge in the ruling in question, the value of 25% of the sales of the goods or services subject to the infringement, as applied by the Authority as an Entry fee, pursuant to the Guidelines, must be reduced by 15%.</w:t>
      </w:r>
    </w:p>
    <w:p>
      <w:r>
        <w:t>4. To the specific turnover as indicated above, the percentage of 15% is therefore applied as an Entry Fee, resulting in a value of 435,278 euros.</w:t>
      </w:r>
    </w:p>
    <w:p>
      <w:r>
        <w:t>5. The base amount of the sanction, as determined above, is equal to 725,463 euros.</w:t>
      </w:r>
    </w:p>
    <w:p>
      <w:r>
        <w:t>The redetermination of the sanction</w:t>
      </w:r>
    </w:p>
    <w:p>
      <w:r>
        <w:t>6. In application of the aforementioned quantification parameters defined by the ruling of the Lazio TAR of November 14, 2018, No. 10997, the final amount of the sanction to be imposed on the companies PricewaterhouseCoopers S.p.A. and PricewaterhouseCoopers Advisory S.p.A., for the conduct established by provision No. 26815 of October 18, 2017, applying a mitigating factor of 5% as recognized in the provision, is equal to 689,190 euros.</w:t>
      </w:r>
    </w:p>
    <w:p>
      <w:r>
        <w:t>All of the above being stated and considered;</w:t>
      </w:r>
    </w:p>
    <w:p>
      <w:r>
        <w:rPr>
          <w:b/>
        </w:rPr>
        <w:t>[Pages 7–9]</w:t>
      </w:r>
    </w:p>
    <w:p>
      <w:r>
        <w:t>BULLETIN NO. 49 OF DECEMBER 31, 2018 9</w:t>
      </w:r>
    </w:p>
    <w:p>
      <w:r>
        <w:t>RESOLVES</w:t>
      </w:r>
    </w:p>
    <w:p>
      <w:r>
        <w:t>that the administrative pecuniary sanction to be applied to the companies PricewaterhouseCoopers S.p.A. and PricewaterhouseCoopers Advisory S.p.A., jointly and severally, for the conduct attributed to them in the Authority's provision no. 26815 of October 18, 2017, in relation to the AdA tender issued by Consip, is redetermined in the amount of 689,190 euros.</w:t>
      </w:r>
    </w:p>
    <w:p>
      <w:r>
        <w:t>Against this provision, an appeal may be filed with the Lazio TAR,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This provision will be notified to the interested party and published in the Bulletin of the Authority for Competition and Market.</w:t>
      </w:r>
    </w:p>
    <w:p>
      <w:r>
        <w:t xml:space="preserve">THE SECRETARY GENERAL THE PRESIDENT f.f.  </w:t>
        <w:br/>
        <w:t>Filippo Arena Gabriella Muscolo</w:t>
      </w:r>
    </w:p>
    <w:p>
      <w:r>
        <w:t>10 BULLETIN NO. 49 OF DECEMBER 31, 2018</w:t>
      </w:r>
    </w:p>
    <w:p>
      <w:r>
        <w:t>I796 - SUPPORT SERVICES AND TECHNICAL ASSISTANCE TO THE PA IN EU CO-FINANCED PROGRAMS</w:t>
      </w:r>
    </w:p>
    <w:p>
      <w:r>
        <w:t>Provision no. 27462</w:t>
      </w:r>
    </w:p>
    <w:p>
      <w:r>
        <w:t>THE AUTHORITY FOR COMPETITION AND MARKET</w:t>
      </w:r>
    </w:p>
    <w:p>
      <w:r>
        <w:t>IN ITS MEETING of December 12, 2018;</w:t>
      </w:r>
    </w:p>
    <w:p>
      <w:r>
        <w:t>HEARD the Rapporteur Dr. Gabriella Muscolo;</w:t>
      </w:r>
    </w:p>
    <w:p>
      <w:r>
        <w:t>HAVING REGARD to the law of October 10, 1990, no. 287;</w:t>
      </w:r>
    </w:p>
    <w:p>
      <w:r>
        <w:t>HAVING REGARD to the decree of the President of the Republic June 30, 1998, no. 217;</w:t>
      </w:r>
    </w:p>
    <w:p>
      <w:r>
        <w:t>HAVING REGARD to its resolution of October 22, 2014, by which the Guidelines on the methods of application of the criteria for quantifying administrative pecuniary sanctions imposed by the Authority in application of Article 15, paragraph 1, of law no. 287/90 (hereinafter, briefly, "Guidelines") were adopted;</w:t>
      </w:r>
    </w:p>
    <w:p>
      <w:r>
        <w:t>HAVING REGARD to its provision no. 26815 of October 18, 2017, adopted at the conclusion of procedure no. I/796 – Support services and technical assistance to the PA in EU co-financed programs, with which the Authority found that the companies Deloitte Consulting S.r.l., Deloitte &amp; Touche S.p.A., Ernst &amp; Young S.p.A., Ernst &amp; Young Financial Business Advisors S.p.A., KPMG S.p.A., KPMG Advisory S.p.A., PricewaterhouseCoopers S.p.A., PricewaterhouseCoopers Advisory S.p.A. engaged in a restrictive agreement contrary to Article 101 TFEU consisting of a coordinated practice aimed at conditioning the outcomes of the Consip AdA tender, through the elimination of mutual competitive confrontation and the division of lots;</w:t>
      </w:r>
    </w:p>
    <w:p>
      <w:r>
        <w:t>HAVING REGARD that for the established violation, due to the seriousness and duration of the infringement, an administrative pecuniary sanction of 7,659,966 euros was imposed on KPMG S.p.A., jointly and severally with KPMG Advisory S.p.A.;</w:t>
      </w:r>
    </w:p>
    <w:p>
      <w:r>
        <w:t>HAVING REGARD to the judgment of the Regional Administrative Court for Lazio (hereinafter "TAR Lazio") of November 14, 2018 no. 11000, with which the appeal filed by KPMG Advisory S.p.A. was accepted and, as a result, provision no. 26815 of October 18, 2017 was annulled in the part concerning the appellant;</w:t>
      </w:r>
    </w:p>
    <w:p>
      <w:r>
        <w:t>HAVING REGARD to the judgment of TAR Lazio of November 14, 2018 no. 10996, with which the appeal filed by KPMG S.p.A. was partially accepted and, as a result, provision no. 26815 of October 18, 2017 was partially annulled in the part concerning the determination of the sanction;</w:t>
      </w:r>
    </w:p>
    <w:p>
      <w:r>
        <w:t>HAVING REGARD, in particular, to the reasoning of the judgment of November 14, 2018 no. 10996, with which TAR Lazio, in partial acceptance of the appeal filed and "pursuant to Article 134, paragraph 1, letter c), c.p.a. which recognizes the administrative judge an extended jurisdiction on the merits," set the parameters for the determination of the sanction to be imposed on KPMG S.p.A., referring the acts to the Authority so that it quantifies, in concrete terms, the amount thereof in accordance with the indications provided in the aforementioned judgment;</w:t>
      </w:r>
    </w:p>
    <w:p>
      <w:r>
        <w:t>HAVING REGARD to the parameters for the redetermination of the amount of the pecuniary sanction imposed, as identified by the administrative judge in the reasoning of the aforementioned ruling considering: "that the infringement can be defined as 'serious' as an operation of 'big rigging' in that it was aimed at the division of the relevant market (Consip AdA tender), but not 'secret', so that, in application of point 11 – but not also 12 – of the referenced Guidelines, a percentage can be added to the 'base value' but to the extent that the panel deems appropriate to set at 10%" and that "the subjective consistency of the sanctioned companies and their leadership position in the sector, combined with the not insignificant economic value of the tender in question, means that AGCM can apply for effective deterrent purposes also the so-called 'entry fee' referred to in point 17 of the aforementioned Guidelines but, for the same reasons highlighted above, at the minimum percentage of 15%."</w:t>
      </w:r>
    </w:p>
    <w:p>
      <w:r>
        <w:t>CONSIDERING that the criteria identified by TAR Lazio in the exercise of its jurisdiction on the merits for the redetermination of the sanction imposed on KPMG S.p.A. are precise, objective, and of automatic application and leave no discretionary margin in the implementation of the conforming constraint deriving from the judgment to be executed;</w:t>
      </w:r>
    </w:p>
    <w:p>
      <w:r>
        <w:t>THEREFORE, IT IS DEEMED NECESSARY to proceed, in compliance with the aforementioned judgment of TAR Lazio and in accordance with the indications and parameters outlined therein, to the concrete redetermination of the sanction imposed by provision no. 26815 of October 18, 2017 against KPMG S.p.A.;</w:t>
      </w:r>
    </w:p>
    <w:p>
      <w:r>
        <w:t>IT IS DEEMED that the re-exercise of the sanctioning power does not constitute acquiescence to the determinations made by TAR Lazio, thus leaving unaffected any determination by the Authority following any appeal against the aforementioned judgment;</w:t>
      </w:r>
    </w:p>
    <w:p>
      <w:r>
        <w:t>HAVING REGARD to all the acts of the procedure;</w:t>
      </w:r>
    </w:p>
    <w:p>
      <w:r>
        <w:t>CONSIDERING the following:</w:t>
      </w:r>
    </w:p>
    <w:p>
      <w:r>
        <w:t>The reduction of the percentage of the value of sales</w:t>
      </w:r>
    </w:p>
    <w:p>
      <w:r>
        <w:t>1. In accordance with the parameter identified by the administrative judge in the judgment in question, the value of 30% of the sales of the goods or services subject to the infringement, as applied by the Authority pursuant to the Guidelines, must be reduced by 10%.</w:t>
      </w:r>
    </w:p>
    <w:p>
      <w:r>
        <w:t>2. In consideration of the above, to the specific turnover, corresponding for KPMG S.p.A. to 13,927,211 euros (para. 363 et seq. of the cited Provision), the percentage of 10% is applied, resulting in a value of 1,392,721 euros.</w:t>
      </w:r>
    </w:p>
    <w:p>
      <w:r>
        <w:t>3. In accordance with the parameter identified by the administrative judge in the judgment in question, the value of 25% of the sales of the goods or services subject to the infringement, as applied by the Authority as an Entry fee, pursuant to the Guidelines, must be reduced by 15%.</w:t>
      </w:r>
    </w:p>
    <w:p>
      <w:r>
        <w:t>4. To the specific turnover as indicated above, the percentage of 15% is therefore applied as an Entry Fee, resulting in a value of 2,089,082 euros.</w:t>
      </w:r>
    </w:p>
    <w:p>
      <w:r>
        <w:t>5. The base amount of the sanction, as determined above, is equal to 3,481,803 euros.</w:t>
      </w:r>
    </w:p>
    <w:p>
      <w:r>
        <w:t>The redetermination of the sanction</w:t>
      </w:r>
    </w:p>
    <w:p>
      <w:r>
        <w:t>6. In application of the aforementioned quantification parameters defined by the judgment of TAR Lazio of November 14, 2018 no. 10996, the final amount of the sanction to be imposed on KPMG S.p.A. for the conduct established by provision no. 26815 of October 18, 2017 is equal to 3,481,803 euros.</w:t>
      </w:r>
    </w:p>
    <w:p>
      <w:r>
        <w:t>All of the above being stated and considered;</w:t>
      </w:r>
    </w:p>
    <w:p>
      <w:r>
        <w:rPr>
          <w:b/>
        </w:rPr>
        <w:t>[Pages 10–12]</w:t>
      </w:r>
    </w:p>
    <w:p>
      <w:r>
        <w:t>12 BULLETIN NO. 49 OF DECEMBER 31, 2018</w:t>
      </w:r>
    </w:p>
    <w:p>
      <w:r>
        <w:t>RESOLVES</w:t>
      </w:r>
    </w:p>
    <w:p>
      <w:r>
        <w:t>that the administrative pecuniary sanction to be applied to KPMG S.p.A. for the behavior attributed to it in the Authority's provision no. 26815 of October 18, 2017, in relation to the AdA tender issued by Consip, is redetermined in the amount of 3,481,803 euros.</w:t>
      </w:r>
    </w:p>
    <w:p>
      <w:r>
        <w:t>Against this provision, an appeal may be filed with the Lazio TAR,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This provision will be notified to the interested party and published in the Bulletin of the Competition and Market Authority.</w:t>
      </w:r>
    </w:p>
    <w:p>
      <w:r>
        <w:t>THE SECRETARY GENERAL THE PRESIDENT pro tempore</w:t>
      </w:r>
    </w:p>
    <w:p>
      <w:r>
        <w:t>Filippo Arena Gabriella Muscolo</w:t>
      </w:r>
    </w:p>
    <w:p>
      <w:r>
        <w:t>BULLETIN NO. 49 OF DECEMBER 31, 2018</w:t>
      </w:r>
    </w:p>
    <w:p>
      <w:r>
        <w:t>I796 - SUPPORT AND TECHNICAL ASSISTANCE SERVICES TO THE PA IN EU CO-FINANCED PROGRAMS</w:t>
      </w:r>
    </w:p>
    <w:p>
      <w:r>
        <w:t>Provision no. 27463</w:t>
      </w:r>
    </w:p>
    <w:p>
      <w:r>
        <w:t>THE COMPETITION AND MARKET AUTHORITY</w:t>
      </w:r>
    </w:p>
    <w:p>
      <w:r>
        <w:t>IN ITS MEETING of December 12, 2018;</w:t>
      </w:r>
    </w:p>
    <w:p>
      <w:r>
        <w:t>HEARD the Rapporteur Dr. Gabriella Muscolo;</w:t>
      </w:r>
    </w:p>
    <w:p>
      <w:r>
        <w:t>SEEN the law of October 10, 1990, no. 287;</w:t>
      </w:r>
    </w:p>
    <w:p>
      <w:r>
        <w:t>SEEN the decree of the President of the Republic June 30, 1998, no. 217;</w:t>
      </w:r>
    </w:p>
    <w:p>
      <w:r>
        <w:t>SEEN its resolution of October 22, 2014, with which the Guidelines on the application methods of the criteria for quantifying administrative pecuniary sanctions imposed by the Authority in application of Article 15, paragraph 1, of law no. 287/90 (hereinafter, briefly, "Guidelines") were adopted;</w:t>
      </w:r>
    </w:p>
    <w:p>
      <w:r>
        <w:t>SEEN its provision no. 26815 of October 18, 2017, adopted at the conclusion of procedure no. I/796 - Support and technical assistance services to the PA in EU co-financed programs, with which the Authority found that the companies Deloitte Consulting S.r.l., Deloitte &amp; Touche S.p.A., Ernst &amp; Young S.p.A., Ernst &amp; Young Financial Business Advisors S.p.A., KPMG S.p.A., KPMG Advisory S.p.A., PricewaterhouseCoopers S.p.A., PricewaterhouseCoopers Advisory S.p.A. had engaged in a restrictive agreement contrary to Article 101 TFEU consisting of a coordinated practice aimed at conditioning the outcomes of the Consip AdA tender, through the elimination of mutual competitive confrontation and the division of lots;</w:t>
      </w:r>
    </w:p>
    <w:p>
      <w:r>
        <w:t>SEEN that for the established violation, due to the seriousness and duration of the infringement, an administrative pecuniary sanction of 5,955,011 euros was imposed on Deloitte &amp; Touche S.p.A., jointly with Deloitte Consulting S.r.l.;</w:t>
      </w:r>
    </w:p>
    <w:p>
      <w:r>
        <w:t>Seen the ruling of the Lazio TAR of November 14, 2018, no. 11002, with which the appeal filed by Deloitte Consulting S.r.l. was accepted and, as a result, provision no. 26815 of October 18, 2017, was annulled in the part concerning the appellant;</w:t>
      </w:r>
    </w:p>
    <w:p>
      <w:r>
        <w:t>SEEN the ruling of the Lazio TAR of November 14, 2018, no. 10999, with which the appeal filed by Deloitte &amp; Touche S.p.A. was partially accepted, and, as a result, provision no. 26815 of October 18, 2017, was partially annulled in the part concerning the determination of the sanction;</w:t>
      </w:r>
    </w:p>
    <w:p>
      <w:r>
        <w:t>SEEN, in particular, the reasoning of the ruling of November 14, 2018, no. 10999, with which the Lazio TAR, in partial acceptance of the appeal filed and "pursuant to Article 134, paragraph 1, letter c), c.p.a. which recognizes the administrative judge an extended jurisdiction on the merits," set the parameters for the determination of the sanction to be imposed on Deloitte &amp; Touche S.p.A., referring the documents to the Authority so that it quantifies, in concrete terms, the amount thereof in accordance with the indications provided in the aforementioned ruling;</w:t>
      </w:r>
    </w:p>
    <w:p>
      <w:r>
        <w:t>SEEN the parameters for the redetermination of the amount of the pecuniary sanction imposed, as identified by the administrative judge in the reasoning part of the aforementioned ruling considering: "that the infringement is definable as 'serious' as an operation of 'big rigging' to the extent that it was aimed at the division of the relevant market (Consip AdA tender), but not 'secret', so that, in application of point 11 - but not also 12 - of the reference Guidelines, a percentage can be added to the 'base value' but to the extent that the panel deems appropriate to set at 10%" and that "the subjective consistency of the sanctioned companies and their leadership position in the sector, combined with the not insignificant economic value of the tender in question, means that AGCM can apply for effective deterrent purposes also the so-called 'entry fee' referred to in point 17 of the aforementioned Guidelines but, for the same reasons highlighted above, at the minimum percentage of 15%."</w:t>
      </w:r>
    </w:p>
    <w:p>
      <w:r>
        <w:t>CONSIDERING that the criteria identified by the Lazio TAR in the exercise of its jurisdiction on the merits for the redetermination of the sanction imposed on Deloitte &amp; Touche S.p.A. are precise, objective, and of automatic application and leave no discretionary margin in the implementation of the conforming constraint deriving from the ruling to be executed;</w:t>
      </w:r>
    </w:p>
    <w:p>
      <w:r>
        <w:t>CONSIDERING, therefore, that it is necessary to proceed, in compliance with the aforementioned ruling of the Lazio TAR and in accordance with the indications and parameters outlined therein, to the concrete redetermination of the sanction imposed by provision no. 26815 of October 18, 2017, against Deloitte &amp; Touche S.p.A.;</w:t>
      </w:r>
    </w:p>
    <w:p>
      <w:r>
        <w:t>CONSIDERING that the re-exercise of the sanctioning power does not constitute acquiescence to the determinations made by the Lazio TAR, thus leaving unaffected any determination by the Authority following any appeal against the aforementioned ruling;</w:t>
      </w:r>
    </w:p>
    <w:p>
      <w:r>
        <w:t>SEEN all the documents of the procedure;</w:t>
      </w:r>
    </w:p>
    <w:p>
      <w:r>
        <w:t>CONSIDERING the following:</w:t>
      </w:r>
    </w:p>
    <w:p>
      <w:r>
        <w:t>The reduction of the percentage of the value of sales</w:t>
      </w:r>
    </w:p>
    <w:p>
      <w:r>
        <w:t>1. In accordance with the parameter identified by the administrative judge in the ruling in question, the value of 30% of the sales of the goods or services subject to the infringement, as applied by the Authority pursuant to the Guidelines, must be reduced by 10%.</w:t>
      </w:r>
    </w:p>
    <w:p>
      <w:r>
        <w:t>2. In consideration of the above, to the specific turnover, corresponding for Deloitte &amp; Touche S.p.A. to 11,397,150 euros (para. 363 et seq. of the cited Provision), the percentage of 10% is applied, resulting in a value of 1,139,715 euros.</w:t>
      </w:r>
    </w:p>
    <w:p>
      <w:r>
        <w:t>3. In accordance with the parameter identified by the administrative judge in the ruling in question, the value of 25% of the sales of the goods or services subject to the infringement, as applied by the Authority as an Entry fee, pursuant to the Guidelines, must be reduced by 15%.</w:t>
      </w:r>
    </w:p>
    <w:p>
      <w:r>
        <w:t>4. To the specific turnover as indicated above, the percentage of 15% is therefore applied as an Entry Fee, resulting in a value of 1,709,573 euros.</w:t>
      </w:r>
    </w:p>
    <w:p>
      <w:r>
        <w:t>5. The base amount of the sanction, as determined above, is equal to 2,849,288 euros.</w:t>
      </w:r>
    </w:p>
    <w:p>
      <w:r>
        <w:t>The redetermination of the sanction</w:t>
      </w:r>
    </w:p>
    <w:p>
      <w:r>
        <w:t>6. In application of the aforementioned quantification parameters defined by the ruling of the Lazio TAR of November 14, 2018, no. 10999, the final amount of the sanction to be imposed on Deloitte &amp; Touche S.p.A., for the behavior established by provision no. 26815 of October 18, 2017, applying a mitigating factor of 5% as recognized in the provision, is equal to 2,706,823 euros.</w:t>
      </w:r>
    </w:p>
    <w:p>
      <w:r>
        <w:t>All of the above being stated and considered;</w:t>
      </w:r>
    </w:p>
    <w:p>
      <w:r>
        <w:rPr>
          <w:b/>
        </w:rPr>
        <w:t>[Pages 13–15]</w:t>
      </w:r>
    </w:p>
    <w:p>
      <w:r>
        <w:t>BULLETIN NO. 49 OF DECEMBER 31, 2018 15</w:t>
      </w:r>
    </w:p>
    <w:p>
      <w:r>
        <w:t>RESOLVES</w:t>
      </w:r>
    </w:p>
    <w:p>
      <w:r>
        <w:t>that the administrative pecuniary sanction to be applied to Deloitte &amp; Touche S.p.A., for the behavior attributed to it in the Authority's provision no. 26815 of October 18, 2017, in relation to the AdA tender called by Consip, is redetermined in the amount of 2,706,823 euros.</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This provision will be notified to the interested party and published in the Bulletin of the Competition and Market Authority.</w:t>
      </w:r>
    </w:p>
    <w:p>
      <w:r>
        <w:t>THE SECRETARY GENERAL THE PRESIDENT pro tempore</w:t>
        <w:br/>
        <w:t>Filippo Arena Gabriella Muscolo</w:t>
      </w:r>
    </w:p>
    <w:p>
      <w:r>
        <w:t>16 BULLETIN NO. 49 OF DECEMBER 31, 2018</w:t>
      </w:r>
    </w:p>
    <w:p>
      <w:r>
        <w:t>I796 - SUPPORT AND TECHNICAL ASSISTANCE SERVICES TO THE PA IN EU CO-FINANCED PROGRAMS</w:t>
      </w:r>
    </w:p>
    <w:p>
      <w:r>
        <w:t>Provision no. 27464</w:t>
      </w:r>
    </w:p>
    <w:p>
      <w:r>
        <w:t>THE COMPETITION AND MARKET AUTHORITY</w:t>
      </w:r>
    </w:p>
    <w:p>
      <w:r>
        <w:t>IN ITS MEETING of December 12, 2018;</w:t>
      </w:r>
    </w:p>
    <w:p>
      <w:r>
        <w:t>HEARD the Rapporteur Dr. Gabriella Muscolo;</w:t>
      </w:r>
    </w:p>
    <w:p>
      <w:r>
        <w:t>HAVING REGARD to the law of October 10, 1990, no. 287;</w:t>
      </w:r>
    </w:p>
    <w:p>
      <w:r>
        <w:t>HAVING REGARD to the decree of the President of the Republic June 30, 1998, no. 217;</w:t>
      </w:r>
    </w:p>
    <w:p>
      <w:r>
        <w:t>HAVING REGARD to its resolution of October 22, 2014, with which the Guidelines on the application methods of the criteria for quantifying administrative pecuniary sanctions imposed by the Authority in application of Article 15, paragraph 1, of law no. 287/90 (hereinafter, briefly, "Guidelines") were adopted;</w:t>
      </w:r>
    </w:p>
    <w:p>
      <w:r>
        <w:t>HAVING REGARD to its provision no. 26815 of October 18, 2017, adopted at the conclusion of procedure no. I/796 – Support and technical assistance services to the PA in EU co-financed programs, with which the Authority found that the companies Deloitte Consulting S.r.l., Deloitte &amp; Touche S.p.A., Ernst &amp; Young S.p.A., Ernst &amp; Young Financial Business Advisors S.p.A., KPMG S.p.A., KPMG Advisory S.p.A., PricewaterhouseCoopers S.p.A., PricewaterhouseCoopers Advisory S.p.A. had engaged in a restrictive agreement contrary to Article 101 TFEU consisting of a coordinated practice aimed at influencing the outcomes of the Consip AdA tender, through the elimination of mutual competitive confrontation and the division of lots;</w:t>
      </w:r>
    </w:p>
    <w:p>
      <w:r>
        <w:t>HAVING REGARD that for the established violation, due to the seriousness and duration of the infringement, an administrative pecuniary sanction of 8,563,021 euros was imposed on Ernst &amp; Young S.p.A., jointly and severally with Ernst &amp; Young Financial Business Advisors S.p.A.;</w:t>
      </w:r>
    </w:p>
    <w:p>
      <w:r>
        <w:t>HAVING REGARD to the ruling of the Regional Administrative Court for Lazio (hereinafter "TAR Lazio") of November 14, 2018 no. 11003, which accepted the appeal filed by Financial Business Advisors S.p.A. and, as a result, annulled provision no. 26815 of October 18, 2017, in the part concerning the appellant;</w:t>
      </w:r>
    </w:p>
    <w:p>
      <w:r>
        <w:t>HAVING REGARD to the ruling of TAR Lazio of November 14, 2018 no. 11004, which partially accepted the appeal filed by Ernst &amp; Young S.p.A. and, as a result, partially annulled provision no. 26815 of October 18, 2017 in the part concerning the determination of the sanction;</w:t>
      </w:r>
    </w:p>
    <w:p>
      <w:r>
        <w:t>HAVING REGARD, in particular, to the reasoning of the ruling of November 14, 2018 no. 11004, with which TAR Lazio, in partial acceptance of the appeal filed and "pursuant to Article 134, paragraph 1, letter c), c.p.a. which recognizes to the administrative judge an extended jurisdiction on the merits," set the parameters for the determination of the sanction to be imposed on Ernst &amp; Young S.p.A., referring the documents to the Authority so that it quantifies, in concrete terms, the amount of the same in accordance with the indications provided in the aforementioned ruling;</w:t>
      </w:r>
    </w:p>
    <w:p>
      <w:r>
        <w:t>HAVING REGARD to the parameters for the redetermination of the amount of the pecuniary sanction imposed, as identified by the administrative judge in the reasoning of the aforementioned ruling considering: "that the infringement is definable as 'serious' as an operation of 'big rigging' in that it was aimed at the division of the relevant market (Consip AdA tender), but not 'secret', so that, in application of point 11 – but not also 12 – of the reference Guidelines, a percentage on the 'base value' can be added but to the extent that the panel</w:t>
      </w:r>
    </w:p>
    <w:p>
      <w:r>
        <w:t>BULLETIN NO. 49 OF DECEMBER 31, 2018 17</w:t>
      </w:r>
    </w:p>
    <w:p>
      <w:r>
        <w:t>deems appropriate to set at 10%" and that "the subjective consistency of the sanctioned companies and their leadership position in the sector, combined with the not insignificant economic value of the tender in question, means that AGCM can apply for effective deterrent purposes also the so-called 'entry fee' referred to in point 17 of the aforementioned Guidelines but, for the same reasons highlighted above, at the minimum percentage of 15%."</w:t>
      </w:r>
    </w:p>
    <w:p>
      <w:r>
        <w:t>CONSIDERING that the criteria identified by TAR Lazio in the exercise of its jurisdiction on the merits for the redetermination of the sanction imposed on Ernst &amp; Young S.p.A. are precise, objective, and of automatic application and leave no discretionary margin in the implementation of the conforming constraint deriving from the ruling to be executed;</w:t>
      </w:r>
    </w:p>
    <w:p>
      <w:r>
        <w:t>CONSIDERING, therefore, that it is necessary to proceed, in compliance with the aforementioned ruling of TAR Lazio and in accordance with the indications and parameters outlined therein, to the concrete redetermination of the sanction imposed by provision no. 26815 of October 18, 2017 against Ernst &amp; Young S.p.A.;</w:t>
      </w:r>
    </w:p>
    <w:p>
      <w:r>
        <w:t>CONSIDERING that the re-exercise of the sanctioning power does not constitute acquiescence to the determinations made by TAR Lazio, thus leaving unaffected any determination by the Authority following any appeal against the aforementioned ruling;</w:t>
      </w:r>
    </w:p>
    <w:p>
      <w:r>
        <w:t>HAVING REGARD to all the documents of the procedure;</w:t>
      </w:r>
    </w:p>
    <w:p>
      <w:r>
        <w:t>CONSIDERING the following:</w:t>
      </w:r>
    </w:p>
    <w:p>
      <w:r>
        <w:t>The reduction of the percentage of the value of sales</w:t>
      </w:r>
    </w:p>
    <w:p>
      <w:r>
        <w:t>1. In accordance with the parameter identified by the administrative judge in the ruling in question, the value of 30% of the sales of the goods or services subject to the infringement, as applied by the Authority pursuant to the Guidelines, must be reduced by 10%.</w:t>
      </w:r>
    </w:p>
    <w:p>
      <w:r>
        <w:t>2. In consideration of the above, the specific turnover, corresponding for Ernst &amp; Young S.p.A. to 16,388,557 euros (para. 363 et seq. of the cited Provision) is applied the percentage of 10%, resulting in a value of 1,638,856 euros.</w:t>
      </w:r>
    </w:p>
    <w:p>
      <w:r>
        <w:t>3. In accordance with the parameter identified by the administrative judge in the ruling in question, the value of 25% of the sales of the goods or services subject to the infringement, as applied by the Authority as an Entry fee, pursuant to the Guidelines, must be reduced by 15%.</w:t>
      </w:r>
    </w:p>
    <w:p>
      <w:r>
        <w:t>4. To the specific turnover as indicated above, the percentage of 15% is therefore applied as an Entry Fee, resulting in a value of 2,458,284 euros.</w:t>
      </w:r>
    </w:p>
    <w:p>
      <w:r>
        <w:t>5. The base amount of the sanction, as determined above, is 4,097,139 euros.</w:t>
      </w:r>
    </w:p>
    <w:p>
      <w:r>
        <w:t>The redetermination of the sanction</w:t>
      </w:r>
    </w:p>
    <w:p>
      <w:r>
        <w:t>6. In application of the aforementioned quantification parameters defined by the ruling of TAR Lazio of November 14, 2018 no. 11004, the final amount of the sanction to be imposed on Ernst &amp; Young S.p.A., for the behavior established by provision no. 26815 of October 18, 2017, applying a mitigating factor of 5% as recognized in the provision, is 3,892,282 euros.</w:t>
      </w:r>
    </w:p>
    <w:p>
      <w:r>
        <w:t>All of the above being stated and considered;</w:t>
      </w:r>
    </w:p>
    <w:p>
      <w:r>
        <w:rPr>
          <w:b/>
        </w:rPr>
        <w:t>[Pages 16–18]</w:t>
      </w:r>
    </w:p>
    <w:p>
      <w:r>
        <w:t>18 BULLETIN NO. 49 OF DECEMBER 31, 2018</w:t>
      </w:r>
    </w:p>
    <w:p>
      <w:r>
        <w:t>RESOLVES</w:t>
      </w:r>
    </w:p>
    <w:p>
      <w:r>
        <w:t>that the administrative pecuniary sanction to be applied to Ernst &amp; Young S.p.A. for the behavior attributed to it in the Authority's provision no. 26815 of October 18, 2017, in relation to the AdA tender announced by Consip, is redetermined in the amount of 3,892,282 euros.</w:t>
      </w:r>
    </w:p>
    <w:p>
      <w:r>
        <w:t>Against this provision, an appeal may be filed with the Lazio TAR, pursuant to Article 135, paragraph 1, letter b), of the Code of Administrative Procedure (Legislative Decree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notification of the provision itself.</w:t>
      </w:r>
    </w:p>
    <w:p>
      <w:r>
        <w:t>This provision will be notified to the interested party and published in the Bulletin of the Authority for Competition and Market.</w:t>
      </w:r>
    </w:p>
    <w:p>
      <w:r>
        <w:t>THE SECRETARY GENERAL THE PRESIDENT pro tempore</w:t>
      </w:r>
    </w:p>
    <w:p>
      <w:r>
        <w:t>Filippo Arena Gabriella Muscolo</w:t>
      </w:r>
    </w:p>
    <w:p>
      <w:r>
        <w:t>BULLETIN NO. 49 OF DECEMBER 31, 2018</w:t>
      </w:r>
    </w:p>
    <w:p>
      <w:r>
        <w:t>I819 - INTERCENT-ER/TENDER FOR PLASMA-DERIVED DRUGS</w:t>
      </w:r>
    </w:p>
    <w:p>
      <w:r>
        <w:t>Provision no. 27465</w:t>
      </w:r>
    </w:p>
    <w:p>
      <w:r>
        <w:t>THE AUTHORITY FOR COMPETITION AND MARKET</w:t>
      </w:r>
    </w:p>
    <w:p>
      <w:r>
        <w:t>IN ITS MEETING of December 12, 2018;</w:t>
      </w:r>
    </w:p>
    <w:p>
      <w:r>
        <w:t>HEARD the Rapporteur Dr. Gabriella Muscolo;</w:t>
      </w:r>
    </w:p>
    <w:p>
      <w:r>
        <w:t>HAVING REGARD to Law October 10, 1990, no. 287;</w:t>
      </w:r>
    </w:p>
    <w:p>
      <w:r>
        <w:t>HAVING REGARD to the Decree of the President of the Republic April 30, 1998, no. 217;</w:t>
      </w:r>
    </w:p>
    <w:p>
      <w:r>
        <w:t>HAVING REGARD to Article 101 of the Treaty on the Functioning of the European Union;</w:t>
      </w:r>
    </w:p>
    <w:p>
      <w:r>
        <w:t>HAVING REGARD to Council Regulation (EC) no. 1/2003 of December 16, 2002;</w:t>
      </w:r>
    </w:p>
    <w:p>
      <w:r>
        <w:t>HAVING REGARD to the notification received on October 26, 2017, from the companies Baxter Manufacturing S.p.A. and Baxalta Italy S.r.l., subsequently supplemented on November 29, 2017, and December 6, 2017;</w:t>
      </w:r>
    </w:p>
    <w:p>
      <w:r>
        <w:t>HAVING REGARD to the notification received on November 29, 2017, from the company CSL Behring S.p.A., subsequently supplemented on December 1, 2017;</w:t>
      </w:r>
    </w:p>
    <w:p>
      <w:r>
        <w:t>HAVING REGARD to its provision no. 26924 of January 10, 2018, with which an investigation was initiated, pursuant to Article 14 of Law no. 287/90, against the companies Kedrion S.p.A. and Grifols Italia S.p.A., to ascertain the existence of violations of Article 101 TFEU and/or Article 2 of Law no. 287/90;</w:t>
      </w:r>
    </w:p>
    <w:p>
      <w:r>
        <w:t>HAVING REGARD to its provision no. 27108 of March 28, 2018, with which it was ordered to extend the procedure subjectively to the company Grifols S.A.;</w:t>
      </w:r>
    </w:p>
    <w:p>
      <w:r>
        <w:t>HAVING REGARD to the request to participate in the procedure submitted on October 12, 2018, by the National Blood Center, accepted on October 25, 2018;</w:t>
      </w:r>
    </w:p>
    <w:p>
      <w:r>
        <w:t>HAVING REGARD to the Communication of the Investigative Findings and the deadline for closing the evidence acquisition phase sent to the Parties on November 9, 2018;</w:t>
      </w:r>
    </w:p>
    <w:p>
      <w:r>
        <w:t>HAVING REGARD to the documentation acquired during the investigation;</w:t>
      </w:r>
    </w:p>
    <w:p>
      <w:r>
        <w:t>CONSIDERING the following:</w:t>
      </w:r>
    </w:p>
    <w:p>
      <w:r>
        <w:t>I. THE PARTIES</w:t>
      </w:r>
    </w:p>
    <w:p>
      <w:r>
        <w:t>1. Kedrion S.p.A. (hereinafter also "Kedrion") is an Italian company at the head of a group active internationally in the collection of human blood plasma, production, marketing, and distribution of plasma-derived products. Kedrion is jointly controlled by Sestant S.p.A. and Fondo Strategico Italiano S.p.A.</w:t>
      </w:r>
    </w:p>
    <w:p>
      <w:r>
        <w:t>2. Grifols Italia S.p.A. (hereinafter also "Grifols") is an Italian company active in the collection of human blood plasma, production, marketing, and distribution of plasma-derived products. Grifols is wholly owned by Grifols S.A.</w:t>
      </w:r>
    </w:p>
    <w:p>
      <w:r>
        <w:t>3. Grifols S.A. (hereinafter also "Grifols S.A.") is a Spanish company at the head of the Grifols group, active internationally in the collection of human blood plasma, production, marketing, and distribution of plasma-derived products.</w:t>
      </w:r>
    </w:p>
    <w:p>
      <w:r>
        <w:t>4. Baxter Manufacturing S.p.A. and Baxalta Italy S.r.l. (hereinafter, jointly, also "Baxter") are two companies active in the production, marketing, and distribution of plasma-derived products. The companies are part of the U.S. group Shire, one of the main operators worldwide in the fields of biotechnology drugs and plasma-derived products.</w:t>
      </w:r>
    </w:p>
    <w:p>
      <w:r>
        <w:t>5. CSL Behring S.p.A. (hereinafter also "CSL") is a company active in the collection of human blood plasma, production, marketing, and distribution of plasma-derived products. CSL is the Italian subsidiary of the Australian group CSL, one of the main operators worldwide in the fields of vaccines and plasma-derived products.</w:t>
      </w:r>
    </w:p>
    <w:p>
      <w:r>
        <w:t>6. The National Blood Center (hereinafter also "CNS") is a national center of the Ministry of Health (hereinafter also "Ministry") established by D.M.S. April 26, 2007, and operating at the Higher Institute of Health, responsible for coordinating and controlling the technical-scientific functions of the national transfusion system. The CNS requested and obtained to become part of the procedure pursuant to Article 7 of D.P.R. no. 217/98.</w:t>
      </w:r>
    </w:p>
    <w:p>
      <w:r>
        <w:t>II. THE INVESTIGATIVE ACTIVITY CARRIED OUT</w:t>
      </w:r>
    </w:p>
    <w:p>
      <w:r>
        <w:t>7. On January 10, 2018, the investigative procedure was initiated to ascertain a possible restrictive agreement of competition established by Kedrion and Grifols in violation of Article 101 TFEU and/or Article 2 of Law no. 287/90, in relation to the establishment of a temporary grouping of companies (hereinafter also "RTI") to participate in a tender for the provision of services related to the production of plasma-derived drugs (see better below, §20) in the broader context of the procedures related to the assignment by various regional groupings of the services and activities of blood/plasma collection, storage, production of plasma-derived products, and their supply to the NHS (hereinafter also "Plasma Services").</w:t>
      </w:r>
    </w:p>
    <w:p>
      <w:r>
        <w:t>8. On January 17, 2018, inspection checks were carried out, with the collaboration of the Guardia di Finanza, at the premises of the companies Kedrion, Grifols, and Octapharma Italy S.p.A. (hereinafter also "Octapharma").</w:t>
      </w:r>
    </w:p>
    <w:p>
      <w:r>
        <w:t>9. During the procedure, Kedrion, Grifols, Baxter, CSL, and CNS were heard in a hearing; the companies Kedrion, Grifols, Baxter, and CSL also produced various submissions. Requests for information were sent to Kedrion, Grifols, Grifols S.A., and the National Agency for Medicines (hereinafter also "AIFA").</w:t>
      </w:r>
    </w:p>
    <w:p>
      <w:r>
        <w:t>10. On November 9, 2018, the Communication of the Investigative Findings (hereinafter also "CRI") was sent to the parties, with which it was communicated that it was not deemed necessary to formulate charges against the Parties regarding the violation of Article 101 TFEU and/or Article 2 of Law no. 287/90 hypothesized in the resolution to initiate the investigation. All parties formally waived the right to submit submissions and be further heard. In order to provide a better understanding of the investigative procedure, some information regarding the regulatory framework and the organizational-industrial structure of the Plasma Services is provided below, necessary for understanding the conduct of the companies involved in the investigative activities and their relevance from the perspective of competitive assessment.</w:t>
      </w:r>
    </w:p>
    <w:p>
      <w:r>
        <w:t>II.1. Sector and regulatory framework of Plasma Services</w:t>
      </w:r>
    </w:p>
    <w:p>
      <w:r>
        <w:t>11. Plasma-derived products are plasma-derived drugs, used in emergency interventions and for the treatment of serious diseases, whose production occurs through the processing of the component</w:t>
      </w:r>
    </w:p>
    <w:p>
      <w:r>
        <w:rPr>
          <w:b/>
        </w:rPr>
        <w:t>[Pages 19–21]</w:t>
      </w:r>
    </w:p>
    <w:p>
      <w:r>
        <w:t>BULLETIN NO. 49 OF DECEMBER 31, 2018 21</w:t>
      </w:r>
    </w:p>
    <w:p>
      <w:r>
        <w:t>of human blood known as plasma. In Italy, plasma-derived products are always included among class A and H drugs, fully covered by the National Health Service (SSN) and mostly administered in hospitals.</w:t>
      </w:r>
    </w:p>
    <w:p>
      <w:r>
        <w:t>12. Depending on the regulations, the raw material necessary for the production of plasma-derived products is obtained either free of charge from voluntary donors or for payment from paid donors. In Italy, where blood/plasma cannot be transferred for a fee, the SSN, regional administrations, and recognized associations for the collection from voluntary donors coordinate based on national programming activities defined by specific annual plans, agreed upon by the Ministry and the Regions with the technical contribution of the CNS, aimed at achieving national self-sufficiency in blood and blood components.</w:t>
      </w:r>
    </w:p>
    <w:p>
      <w:r>
        <w:t>13. A characteristic of the Italian model is the retention of ownership of blood/plasma by the Regions where it is collected from the donor system, with the consequent transfer of the material under a processing agreement to highly specialized companies, so that, for adequate compensation, they provide for the production of plasma-derived products. These drugs, produced through fractionation, refinement, and sterilization activities, are then delivered to the regional SSN structures based on the currently existing organizational distributions (see below, §19).</w:t>
      </w:r>
    </w:p>
    <w:p>
      <w:r>
        <w:t>14. Each year, approximately 800,000 kg of blood is collected in Italy from voluntary donors, a fundamental input for the Plasma Services, whose processing activities currently have an annual value of about 150 million euros. In fact, this value can be attributed to a market of services whose final products, in terms of use, fall within the broader market of plasma-derived drugs: this market also includes products developed synthetically through recombinant technology or from blood not sourced from national collection (so-called commercial plasma-derived products).</w:t>
      </w:r>
    </w:p>
    <w:p>
      <w:r>
        <w:t>15. The overall market for plasma-derived product sales in Italy has an annual value of approximately 600 million euros. According to recent estimates, about 60-70% of the demand for blood products in Italy is covered by products derived from the Plasma Services, while the remaining demand is met by the SSN through the purchase of commercial products. From an international perspective, it is noted that, in the broader pharmaceutical products sector, the plasma-derived segment has significant dimensions, currently estimated at about 20 billion dollars per year, with sustained growth rates (+8% per year) and constant.</w:t>
      </w:r>
    </w:p>
    <w:p>
      <w:r>
        <w:t>16. The national regulations applicable to plasma-derived products and Plasma Services are currently constituted by Law No. 219 of October 21, 2005, which profoundly modified the previous regulations (Law No. 107 of May 4, 1990) by eliminating the previous requirement for the localization of all plasma fractionation plants on Italian territory, a requirement that had resulted in a prolonged monopoly by Kedrion. Following the adoption of specific operational decrees, the companies currently authorized to carry out Plasma Services in Italy are Baxter, CSL, Grifols, Kedrion, and Octapharma.</w:t>
      </w:r>
    </w:p>
    <w:p>
      <w:r>
        <w:t>17. The ministerial authorization has been made conditional, among other things, on the non-negotiable capacity for a company to develop certain products of greater use and therapeutic importance for the SSN.</w:t>
      </w:r>
    </w:p>
    <w:p>
      <w:r>
        <w:t>22 BULLETIN NO. 49 OF DECEMBER 31, 2018</w:t>
      </w:r>
    </w:p>
    <w:p>
      <w:r>
        <w:t>Specifically, these are: (1) albumin; (2) non-specific immunoglobulins for intravenous use; (3) factor VIII concentrates. These plasma-derived products, deemed essential for the needs of the SSN and therefore referred to as "driver products," are distinguished from the remaining portfolio of products, which can be defined as "optional," that a company may develop from blood/plasma collected in Italy.</w:t>
      </w:r>
    </w:p>
    <w:p>
      <w:r>
        <w:t>18. Taking into account the need to balance the different levels of demand and donations recorded in the various regions, based on political-administrative agreements, several groupings of regions have been established, identified respectively as "NAIP," "RIPP," "PLANET," and "ACCORDO," each of which has entrusted a leading region/purchasing center with the task of organizing a tender procedure for the assignment of the Plasma Services of their interest to the companies authorized by the Ministry.</w:t>
      </w:r>
    </w:p>
    <w:p>
      <w:r>
        <w:t>19. As of the current date, the following tenders have been held:</w:t>
      </w:r>
    </w:p>
    <w:p>
      <w:r>
        <w:t>1. A tender organized on behalf of the NAIP grouping by the Veneto Region, through its purchasing center ZERO, for an assignment lasting five years with a possible biennial renewal and an additional six-month extension, for a total maximum amount of 200,250,000 euros (hereinafter also "NAIP Tender"). The NAIP Tender was announced in November 2015 and awarded in March 2016 to CSL: this award has become definitive after the recent conclusion of a complex litigation related to it.</w:t>
      </w:r>
    </w:p>
    <w:p>
      <w:r>
        <w:t>2. A tender organized on behalf of the RIPP grouping by the Emilia-Romagna Region, through its purchasing center Intercent-ER (hereinafter also "Intercent-ER"), for an assignment lasting five years with a possible three-year renewal, for a total maximum amount of 224,000,000 euros (hereinafter also "RIPP Tender"). The RIPP Tender was announced in December 2016 and awarded in September 2017 to the RTI provisionally, with Intercent-ER subordinating the definitive award to the outcome of the pending administrative litigation regarding it.</w:t>
      </w:r>
    </w:p>
    <w:p>
      <w:r>
        <w:t>4. See Annex A of the D.M.S. of April 12, 2012, Standard type of agreement between the Regions and Autonomous Provinces and the companies producing blood-derived medicines for the processing of plasma collected on national territory, 12A07179 (in G.U. No. 147 of June 26, 2012).</w:t>
      </w:r>
    </w:p>
    <w:p>
      <w:r>
        <w:t>5. According to what was expressed by representatives of the CNS during the hearing, "subject to the need to respect a minimum critical mass criterion in blood/plasma collection activities, the choice of forming groupings was essentially political and made autonomously by the Regions [...] Regarding the possibilities of a national tender for processing services, [...] this is exactly what happens in other European countries" (doc. 230, minutes of the CNS hearing, p. 4).</w:t>
      </w:r>
    </w:p>
    <w:p>
      <w:r>
        <w:t>6. More specifically, the groupings are as follows: (1) Abruzzo, Basilicata, Friuli-Venezia Giulia, Liguria, Trentino, Umbria, Valle d'Aosta, Veneto, Provinces of Trento and Bolzano (New Interregional Plasma Agreement - NAIP); (2) Calabria, Emilia-Romagna, Puglia, Sicilia (Interregional Plasma/Plasma-derived Grouping - RIPP); (3) Campania, Lazio, Marche, Toscana (Plasma Network - PLANET); (4) Lombardia, Molise, Piemonte, Sardegna (ACCORDO Grouping).</w:t>
      </w:r>
    </w:p>
    <w:p>
      <w:r>
        <w:t>7. For this procedure, as for the following ones, the amounts are to be understood excluding VAT. The tender documents for the NAIP Tender are available online: http://www.regione.veneto.it/web/sanita/cras-servizio-di-plasma-derivazione;jsessionid=E1FC4C994045C97335A3538F5059B811.liferay01?p_p_id=56_INSTANCE_o4Lt&amp;p_p_lifecycle=1&amp;p_p_state=normal.</w:t>
      </w:r>
    </w:p>
    <w:p>
      <w:r>
        <w:t>8. See Council of State, section III, ruling no. 1257 of January 16, 2018 (https://www.giustizia-amministrativa.it/cdsintra/wcm/idc/groups/public/documents/document/mday/njk5/~edisp/7fgd2ljttzz3ky45zsh2csrhoq.html).</w:t>
      </w:r>
    </w:p>
    <w:p>
      <w:r>
        <w:t>9. Tender documents available online: http://intercenter.regione.emilia-romagna.it/servizi-imprese/bandi-e-avvisi_new/bandi-in-corso/BANDO_GARA_PORTALE@276012.</w:t>
      </w:r>
    </w:p>
    <w:p>
      <w:r>
        <w:t>10. Both Baxter and CSL have challenged, in addition to various tender documents, also the Intercent-ER managerial determination no. 278 of September 21, 2017, regarding the award to the RTI; on June 20, 2018, the TAR Emilia-Romagna issued two rulings and an order, with the overall outcome of postponing the next hearing on the merits to March 2019 (see in particular TAR Emilia-Romagna, order no. 516/2018, doc. 231 of the investigative file).</w:t>
      </w:r>
    </w:p>
    <w:p>
      <w:r>
        <w:t>BULLETIN NO. 49 OF DECEMBER 31, 2018 23</w:t>
      </w:r>
    </w:p>
    <w:p>
      <w:r>
        <w:t>3. A tender organized on behalf of the PLANET grouping by the Tuscany Region, through its purchasing center ESTAR, for an assignment lasting five years with a possible biennial renewal, for a total maximum amount of 278,250,000 euros (hereinafter also "PLANET Tender"). The PLANET Tender was announced in December 2017 and awarded in July 2018 to Baxter: this award is also provisional due to a pending litigation related to it.</w:t>
      </w:r>
    </w:p>
    <w:p>
      <w:r>
        <w:t>II.2. Tender Designs and Their Consequences on Competitive Comparison</w:t>
      </w:r>
    </w:p>
    <w:p>
      <w:r>
        <w:t>20. Despite the substantial correspondence of the activities subject to assignment and the common criterion of the economically most advantageous offer, the three procedures organized so far present very different strategies and tender conditions. In particular, the economic offer expressed by the price (hereinafter also "OE") – that is, the €/kg compensation requested by companies for each kg of plasma withdrawn, stored, processed, and transformed into plasma-derived products to be returned to the SSN – has been counterbalanced, in terms of scoring, in a very different manner each time by the technical offer (hereinafter also "OT"), the latter being decisively conditioned by the different mix of driver and optional products required by the tenders.</w:t>
      </w:r>
    </w:p>
    <w:p>
      <w:r>
        <w:t>21. Below are summarized some fundamental elements of each of the tenders held so far, starting from the different distribution of points assignable for the various components of the offer:</w:t>
      </w:r>
    </w:p>
    <w:p>
      <w:r>
        <w:t>11. Tender documents available online: https://start.e.toscana.it/estar/pleiade/?pagina=trattativa_partecipa&amp;idT=6822; see also doc. 256, ESTAR determination no. 1067 of July 19, 2018.</w:t>
      </w:r>
    </w:p>
    <w:p>
      <w:r>
        <w:rPr>
          <w:b/>
        </w:rPr>
        <w:t>[Pages 22–24]</w:t>
      </w:r>
    </w:p>
    <w:p>
      <w:r>
        <w:t>BULLETIN NO. 49 OF DECEMBER 31, 2018</w:t>
      </w:r>
    </w:p>
    <w:p>
      <w:r>
        <w:t>Table 1</w:t>
        <w:br/>
        <w:t>OE/OT OE (price points awarded</w:t>
        <w:br/>
        <w:t>tender participants award</w:t>
        <w:br/>
        <w:t>(total=100) offered €/kg) for OE/OT and total.</w:t>
        <w:br/>
        <w:t>CSL 94.6 90+6.67=96.67</w:t>
        <w:br/>
        <w:t>KEDRION 136.19 1.22+10=11.22 CSL</w:t>
        <w:br/>
        <w:t>NAIP 90/10</w:t>
        <w:br/>
        <w:t>(final)</w:t>
        <w:br/>
        <w:t>GRIFOLS 118.91 0.10+6.41=6.51</w:t>
        <w:br/>
        <w:t>27.38+19.88=47.2</w:t>
        <w:br/>
        <w:t>CSL 118.92</w:t>
        <w:br/>
        <w:t>6</w:t>
        <w:br/>
        <w:t>RTI</w:t>
        <w:br/>
        <w:t>RIPP BAXTER 95 40+31.28=71.28</w:t>
        <w:br/>
        <w:t>40/60 (KEDRION+GRIFOLS)</w:t>
        <w:br/>
        <w:t>RTI 28.10+47.91=76.0 (provisional)</w:t>
        <w:br/>
        <w:t>117.80</w:t>
        <w:br/>
        <w:t>(KEDRION+GRIFOLS) 1</w:t>
        <w:br/>
        <w:t>BAXTER 99.85 30+70=100</w:t>
        <w:br/>
        <w:t>25.92+69.80=95.7</w:t>
        <w:br/>
        <w:t>KEDRION 115.55</w:t>
        <w:br/>
        <w:t>PLANE 2 BAXTER</w:t>
        <w:br/>
        <w:t>30/70</w:t>
        <w:br/>
        <w:t>T (provisional)</w:t>
        <w:br/>
        <w:t>25.43+58.99=84.4</w:t>
        <w:br/>
        <w:t>GRIFOLS 117.80</w:t>
        <w:br/>
        <w:t>2</w:t>
        <w:br/>
        <w:t>Source: documents from ZERO, Intercent-ER, ESTAR.</w:t>
      </w:r>
    </w:p>
    <w:p>
      <w:r>
        <w:t>22. With reference to the NAIP Tender, it was characterized, on one hand, by a demand focused on only two driver products (albumin and immunoglobulins), and on the other hand, by a significant premium (90 points out of 100) awarded to the OE, with the residual score attributed to the OT (10 points out of 100) based on qualitative assessments unrelated to the availability of optional products. It should be noted that this tender design was adopted in 2015, during the validity of the previous public contracts regulation (Legislative Decree April 12, 2006, no. 163), which – unlike the currently applicable regulation (Legislative Decree April 18, 2016, no. 50), where the criterion of the lowest price is allowed only based on specific and precise justifications – allowed contracting authorities to adopt a special law that significantly rewarded the price component of the offer.</w:t>
      </w:r>
    </w:p>
    <w:p>
      <w:r>
        <w:t>23. In contrast to the NAIP Tender, the two procedures announced after the entry into force of the new procurement code adopted a design focused, on one hand, on a higher score premium for the OT compared to the OE (in the ratio of 60/40 for the RIPP Tender and 70/30 for the PLANET Tender), and on the other hand, on the definition of the OT in terms of the availability of a wide product portfolio, where the mandatory supply of the three driver products was combined (and valued in terms of score) with the possible supply of various optional products.</w:t>
      </w:r>
    </w:p>
    <w:p>
      <w:r>
        <w:t>24. Precisely regarding the provision of optional products, significant divergences were recorded between the two most recent tenders, particularly concerning the points awarded for the same product. An exemplary case in this regard is that of the optional products “antithrombin” and “prothrombin complex with 3 factors,” to which the RIPP Tender specifications awarded as much as 5 points each12, compared to the 3 points and 2 points respectively awarded to them by the PLANET Tender specifications13. Furthermore, the supply of a particular optional product, Plasma SD, was only provided for in the RIPP Tender, again with a high score (3 points), which attracted criticism from the CNS already during the development of the tender, reiterated during the proceedings14.</w:t>
      </w:r>
    </w:p>
    <w:p>
      <w:r>
        <w:t>25. The peculiarities of the RIPP Tender design were highlighted during the proceedings by Baxter and CSL, as well as in their respective appeals currently pending before the administrative justice. According to CSL representatives, specifically, “the competitive limitation found in the RIPP Tender was due to the provisions of the related special law, disproportionately rewarding the availability of certain optional products and a series of operational characteristics that would have favored Kedrion in particular”15.</w:t>
      </w:r>
    </w:p>
    <w:p>
      <w:r>
        <w:t>26. When asked for clarifications in this regard, representatives of Intercent-ER stated the intention to adopt a tender design that did not reward the best offers in terms of the lowest price, instead privileging the technical part of the offer; in addition to the aforementioned provisions of the tender regarding the availability of various optional products, this intention of the contracting authority also emerges from the choice made regarding the method of calculating the score to be attributed to the economic offer16.</w:t>
      </w:r>
    </w:p>
    <w:p>
      <w:r>
        <w:t>27. The effects of the aforementioned score calculation criterion, which strongly rewards the non-economic aspects of the offer, were also noted in internal evaluations within the companies that are part of the RTI17. These effects, moreover, become even more evident when considering that in the subsequent PLANET Tender, in light of an even higher score awarded to the OT (70 points compared to 60 awarded in the RIPP Tender), a linear calculation criterion was chosen, with the consequence that the OE played a broader role in the attribution of overall scores in this latter case.</w:t>
      </w:r>
    </w:p>
    <w:p>
      <w:r>
        <w:t>28. Overall, various detailed elements of the score attribution for the OT part provided in the RIPP Tender, including those mentioned earlier, along with the more general effects produced regarding the OE from the use of the aforementioned non-linear formula, resulted in the fact that, even in the face of a particularly advantageous offer in terms of expected expenditure for the SSN, such as that formulated by Baxter (equal to 95 €/kg), the award by the contracting authority occurred at a much higher offer in terms of price and thus less efficient for the OE component, such as that of the RTI between Kedrion and Grifols (equal to 117.80 €/kg), but which overall obtained a higher score (76.01 compared to 71.28) due to the points awarded to the OT component (47.91 compared to 31.28).</w:t>
      </w:r>
    </w:p>
    <w:p>
      <w:r>
        <w:t>14 “In the case of the RIPP Tender, the CNS provided advisory support with the presence of its representative in a technical group composed of nine other members to support the contracting authority. However, the opinions of this group were not always followed: CNS representatives recall, for example, how it was proposed to the contracting authority to provide a separate lot for the supply of Plasma S/D, but this advice was not then followed. The reason for the proposal lay in the fact that Plasma S/D is a particular product (technically not a plasma-derived product from fractionation, but rather plasma to which substances are added to inactivate certain pathogenic groups): the provision of a separate lot would thus have contributed to making the tender procedures more linear.” (doc. 230, p. 5).</w:t>
      </w:r>
    </w:p>
    <w:p>
      <w:r>
        <w:t>15 Doc. 225, minutes of CSL hearing, p. 5.</w:t>
      </w:r>
    </w:p>
    <w:p>
      <w:r>
        <w:t>16 “[...] for the calculation of the score linked to the price, it was decided to use the formula of the maximum non-linear discount with an exponent of 0.5, which does not excessively favor high discounts: this formula is often used by Intercent-ER in its tenders, as it is considered balanced in the relationship between the technical part and the price part of the offer. In this regard, it is noted that the entire design of the RIPP Tender was conceived with a view to recognizing an appropriate reward for the technical part” (doc. 234, minutes of Intercent-ER hearing, p. 3).</w:t>
      </w:r>
    </w:p>
    <w:p>
      <w:r>
        <w:t>17 In a communication circulated among the management of Grifols shortly after the award of the RIPP Tender, it is noted in this regard: “[...] it is interesting to note that the use of the non-linear coefficient provided by the specifications for calculating the price score of each competitor is decisive: if the specifications had established a linear parameter for calculating the price score (i.e., coefficient 1, ‘traditional’ method, applied to the discount as provided by the specifications), [Baxter] would have won (provided that all other parameters remained unchanged)” (doc. 110, email of September 25, 2017, p. 2).</w:t>
      </w:r>
    </w:p>
    <w:p>
      <w:r>
        <w:t>II.3. Relevant business conduct regarding the subject of the proceedings</w:t>
      </w:r>
    </w:p>
    <w:p>
      <w:r>
        <w:t>29. In the initiation order of the proceedings, it was noted that, given the availability of all the driver products required by the tender from Kedrion and Grifols, the two companies could have already participated individually in the RIPP Tender; therefore, the RTI could be considered superfluous and such as to express an instrumental use of the institute – which is neutral in itself – of the temporary grouping of companies, in order to avoid a direct confrontation between Kedrion and Grifols18. Based on the evidence on record, the investigative proceedings allowed for the verification of the following.</w:t>
      </w:r>
    </w:p>
    <w:p>
      <w:r>
        <w:t>30. The decision by Kedrion and Grifols to present themselves together in the RIPP Tender matured following the award to CSL of the NAIP Tender, to which the two aforementioned companies had individually competed (see above, Table 1). In fact, CSL's victory constituted a significant event compared to the previous monopolistic situation that had long persisted in the Plasma Services sector, and as such was indeed perceived within Kedrion, primarily concerning the new expected price levels for carrying out processing activities in Italy19.</w:t>
      </w:r>
    </w:p>
    <w:p>
      <w:r>
        <w:t>31. Kedrion, considering it necessary to strengthen its position in terms of technical and economic offer in view of the new tenders yet to be announced, developed a series of alternative scenarios, hypothesizing various temporary groupings between companies, including that with Grifols20. Between March and May 2017, the solution of the RTI with Grifols was finally consolidated to participate in the RIPP Tender, in light of the expected benefits for the company, as emerges from internal documents, regarding the improvement of the yields of the offered products, guarantees of production back-up, and (albeit minimal) expansion of the product portfolio; this also taking into account the fact that, from a competitive perspective, the grouping would not have diminished competition regarding the RIPP Tender since at least Baxter and CSL had already shown their interest in participating in it21.</w:t>
      </w:r>
    </w:p>
    <w:p>
      <w:r>
        <w:rPr>
          <w:b/>
        </w:rPr>
        <w:t>[Pages 25–27]</w:t>
      </w:r>
    </w:p>
    <w:p>
      <w:r>
        <w:t>BULLETIN NO. 49 OF DECEMBER 31, 2018 27</w:t>
      </w:r>
    </w:p>
    <w:p>
      <w:r>
        <w:t>32. As for the other participant in the RTI, namely Grifols, the evidence on record shows that the company, after having presented itself alone in the NAIP Tender and lost, clearly perceived its inadequacy with respect to the needs of the Italian Plasma Services market. Internal documents circulated among the management of the Grifols group reveal an awareness, on the one hand, of having a product portfolio (optional) that is too limited compared to that of competitors, and on the other hand, of being unable to compensate for this weakness in terms of price flexibility for the economic part of the offer22: the expressed conclusion is that the establishment of the RTI would likely have been Grifols' last chance to operate in Italy for the provision of Plasma Services23.</w:t>
      </w:r>
    </w:p>
    <w:p>
      <w:r>
        <w:t>33. The initiation order also noted the existence of industrial and commercial relationships between the Kedrion and Grifols groups in the United States, in addition to the withdrawal in 2015 of a complaint previously filed by Kedrion to contest Grifols' qualification to perform Plasma Services, highlighting a potential contextual relevance of these elements for the qualification of the possible agreement24.</w:t>
      </w:r>
    </w:p>
    <w:p>
      <w:r>
        <w:t>34. In this regard, the investigative activities revealed that the supply relationships of certain plasma-derived products from Grifols to Kedrion in the USA are a result of the divestiture of various industrial activities imposed on Grifols by the Federal Trade Commission as a condition for authorizing the acquisition of a company, and have recently obtained a specific new authorization from the same authority25. Regarding the aforementioned complaint, according to statements made by Kedrion representatives, it was focused on merely formal aspects, and its withdrawal, lacking connections with the establishment of the RTI because it occurred two years prior to this, nonetheless resulted in a pro-competitive effect of removing the obstacle to the submission of offers in Italy by a new competitor26.</w:t>
      </w:r>
    </w:p>
    <w:p>
      <w:r>
        <w:t>III. ARGUMENTS OF THE PARTIES</w:t>
      </w:r>
    </w:p>
    <w:p>
      <w:r>
        <w:t>35. With reference to the reporting parties, Kedrion has always acknowledged its ability to compete individually in the RIPP Tender, but at the same time noted that the establishment of the RTI allowed it to compensate for its objective weaknesses in terms of yields and products offered, in addition to having the opportunity for appropriate production backup from Grifols in view of the development of possible contract manufacturing activities abroad, for which it appears that the company has indeed participated in tenders, without, however, having been awarded so far27.</w:t>
      </w:r>
    </w:p>
    <w:p>
      <w:r>
        <w:t>36. As for Grifols, the company pointed out that in Italy the Plasma Services market requires organizational structures and capabilities that are completely different from those necessary to operate in the commercial plasma-derived market (supra, §15), given the complexity and systematic nature of the contract manufacturing activities of plasma provided by the Regions. Consequently, while the company has often presented itself alone in tenders for the supply of commercial products, for the RIPP Tender, especially after the outcome of the NAIP Tender, Grifols believed that the only possibility to submit a bid with any chance of winning was to form an RTI, such as the one with Kedrion28.</w:t>
      </w:r>
    </w:p>
    <w:p>
      <w:r>
        <w:t>37. Grifols also produced an economic memorandum in which it simulated its individual participation in the RIPP Tender, estimating the price it would have to offer to win the Plasma Services on its own. According to this study, to somewhat counterbalance its weakness on the technical part of the offer, Grifols would have had to present a price offer of €33.40/kg: such an offer, according to the company, would have been well below its minimum profitability margins, in addition to likely being classified as anomalous by the contracting authority29.</w:t>
      </w:r>
    </w:p>
    <w:p>
      <w:r>
        <w:t>38. Regarding the reporting parties, during the proceedings CSL contested Grifols' legitimacy to propose an optional product, Alpha1-antitrypsin, within the technical offer of the RTI, in addition to noting a series of discrepancies in the evaluation of the various offers by the contracting authority Intercent-ER30. Baxter also contested the effectiveness of the technical improvements put forward by Kedrion to justify the RTI with Grifols, including the actual availability of Alpha1-antitrypsin by the latter31.</w:t>
      </w:r>
    </w:p>
    <w:p>
      <w:r>
        <w:t>39. On the other hand, the reporting parties did not contest Grifols' economic simulation, and CSL expressly considered that “not only Grifols, but also CSL itself had no concrete chance of winning the RIPP Tender. As for the other participants, only Kedrion and Baxter had concrete chances of winning”32. Baxter, for its part, confirmed that it shared with Kedrion the greater chances of winning the Plasma Services individually33, which indeed occurred in the PLANET Tender, awarded in July 2018 (see supra, Table 1).</w:t>
      </w:r>
    </w:p>
    <w:p>
      <w:r>
        <w:t>IV. EVALUATIONS</w:t>
      </w:r>
    </w:p>
    <w:p>
      <w:r>
        <w:t>40. The investigation was initiated to verify the potential anti-competitive nature of the establishment of the RTI by Kedrion and Grifols to participate in the RIPP Tender, to be understood as a specific relevant market, in the context of the procedures so far announced for the awarding of Plasma Services. In this regard, the investigative findings did not lead to the identification of sufficient evidentiary elements to support the hypothesis of significant anti-competitiveness of the RTI established by Kedrion and Grifols under the relevant legislation: in particular, a level of proof was not reached that demonstrated that the temporary grouping formed by the two companies, although redundant from a formal perspective, constituted an agreement contrary to Article 101 TFEU and/or Article 2 of Law No. 287/90.</w:t>
      </w:r>
    </w:p>
    <w:p>
      <w:r>
        <w:t>41. With reference to the aforementioned redundancy of the grouping, or the possibility for each of the participating companies to submit an individual offer, as previously noted in the initiation order, it cannot in itself constitute an antitrust violation, but must be evaluated from case to case, in light of the circumstances and conditions of the case, and specifically the tender conditions. With specific reference to the RTI, the investigative findings lead to the conclusion that, although both Kedrion and Grifols were authorized by the ministry to provide Plasma Services, the peculiar conditions of the RIPP Tender (see supra, §§24 et seq.) certainly precluded at least one of the two companies – Grifols – from being able to compete effectively for the award, and induced the other – Kedrion – to pursue a strengthening of its offer.</w:t>
      </w:r>
    </w:p>
    <w:p>
      <w:r>
        <w:t>42. In fact, during the proceedings, elements emerged that led to believe that the establishment of the RTI may have effectively responded to the objective need of the two companies to formulate a competitively viable offer in relation to the tender design adopted by Intercent-ER, taking into account the expected competitive comparison with the remaining companies formally entitled to participate in the tenders. In this regard, it is recalled that one of these companies, namely CSL, had just won the previous NAIP Tender, and the other, Baxter, would later win the subsequent PLANET Tender.</w:t>
      </w:r>
    </w:p>
    <w:p>
      <w:r>
        <w:t>43. Relevant in this regard is primarily the analysis of the contents of the individual offer potentially expressible by Grifols. In light of the tender design adopted by Intercent-ER, and specifically the scores attributed to the various components of the technical part of the offer, the mere autonomous availability of Grifols of the driver products and a single optional product (Alpha1-Antitrypsin) did not place the company in a position to genuinely compete individually for the award of the tender. In fact, Grifols would not have been able to compensate for the so-called lost score on the technical part with an aggressive price offer, unless it resorted to unsustainable values34.</w:t>
      </w:r>
    </w:p>
    <w:p>
      <w:r>
        <w:t>44. The investigations carried out in this regard during the investigation, including an economic analysis aimed at verifying that of the parties, confirmed the substantial impossibility for Grifols to independently constitute an effective competitor in the RIPP Tender. Although the outcomes in terms of hypothetical price to be offered for the award did not coincide following some different assumptions of the exercise (€66.63/kg according to the Authority's Offices vs. €33.40/kg according to Grifols), in both cases these are economic offers that are far below all the lowest prices offered by the various companies in the tenders held so far (see supra, Table 1), to the extent that, on the one hand, it prevented the company from obtaining even a minimal margin, and, on the other hand, it likely risked constituting an anomalous offer, representing a reduction well above 50% based on the auction base of €140/kg.</w:t>
      </w:r>
    </w:p>
    <w:p>
      <w:r>
        <w:t>45. The concrete impossibility for Grifols to win the RIPP Tender individually, of which internal documents from top executives express full awareness (supra, §33), was also confirmed by the same companies from whose reports the investigation was initiated.</w:t>
      </w:r>
    </w:p>
    <w:p>
      <w:r>
        <w:rPr>
          <w:b/>
        </w:rPr>
        <w:t>[Pages 28–30]</w:t>
      </w:r>
    </w:p>
    <w:p>
      <w:r>
        <w:t>30 BULLETIN NO. 49 OF DECEMBER 31, 2018</w:t>
      </w:r>
    </w:p>
    <w:p>
      <w:r>
        <w:t>investigative procedure (supra, §40). The proposal received from Kedrion to establish the RTI would therefore have represented the last opportunity left for Grifols to enter the Italian Plasma Services market, which, from a competitive perspective and considering the constraints determined by the tender conditions, effectively resulted in an expansion of competitive confrontation, given that Grifols alone would never have effectively represented a competitive constraint for other operators, primarily for Kedrion itself.</w:t>
      </w:r>
    </w:p>
    <w:p>
      <w:r>
        <w:t>46. Also with regard to Kedrion, the evidence on record suggests that the association with Grifols responded to a situation of weakness in the individually expressible offer by the company, particularly in terms of product yields, allowing it greater pricing flexibility for the formulation of the economic part of the tender offer; this is even more so after having just lost the NAIP Tender.</w:t>
      </w:r>
    </w:p>
    <w:p>
      <w:r>
        <w:t>47. As for the expansion of the product portfolio – and the related increase in the score in terms of technical offer – resulting from the association with Grifols, again from internal documents of Kedrion, it emerges that the company had specifically evaluated the issue concerning the design of the RIPP Tender, noting that, although it already had the best offer expressible in terms of variety of plasma-derived products, it did not include all the products required by the contracting authority (supra, §32). The RTI with Grifols, which holds exclusive rights to the optional product Alpha1-Antitrypsin, would therefore have earned at least one additional point for the joint offer.</w:t>
      </w:r>
    </w:p>
    <w:p>
      <w:r>
        <w:t>48. In this regard, concerning what has been claimed by the reporting parties about the actual unavailability of Alpha1-Antitrypsin from Grifols (see supra, §39), it is noted that any discrepancies found in the offer formally submitted by the RTI between what is stated therein and what is required by the tender specifications do not matter for an antitrust assessment regarding the relevance of business conduct, at least as to the legitimacy of forming a temporary grouping to submit a tender offer.</w:t>
      </w:r>
    </w:p>
    <w:p>
      <w:r>
        <w:t>49. Finally, regarding the actual possibilities for Kedrion to win the RIPP Tender on its own, internal documents obtained during the inspection revealed the objective difficulties for the company to submit an individual offer below certain price levels. It is recalled that, on the one hand, during the NAIP Tender, Kedrion submitted a very high price offer compared to that of CSL, which was subsequently awarded (136.19 vs. 94.6 €/kg: see supra table 1), while on the other hand, internal documents indicate that the company considered it uneconomical to go below a price threshold of 118.1 €/kg (supra, note 19). The fact that, during the RIPP Tender, the RTI then submitted a price offer of 117.80 €/kg, or lower than the aforementioned price limit, could indeed indicate that the temporary grouping served Kedrion to improve the offer to be presented to the contracting authority, also from an economic perspective.</w:t>
      </w:r>
    </w:p>
    <w:p>
      <w:r>
        <w:t>V. CONCLUSIONS</w:t>
      </w:r>
    </w:p>
    <w:p>
      <w:r>
        <w:t>50. Based on the investigative findings and analyses conducted during the procedure, it is believed that there is insufficient evidence to confirm the existence of an agreement between the Kedrion and Grifols groups, aimed at and/or resulting in distorting competition in the participation in the tender issued by Intercent-ER on behalf of the regional grouping RIPP, in the broader context of the procedures initiated for the assignment by various regional groupings of activities related to the collection of blood/plasma, storage, production of plasma-derived products, and their supply to the NHS. In particular, the investigative results obtained are not sufficient to frame</w:t>
      </w:r>
    </w:p>
    <w:p>
      <w:r>
        <w:t>BULLETIN NO. 49 OF DECEMBER 31, 2018</w:t>
      </w:r>
    </w:p>
    <w:p>
      <w:r>
        <w:t>the establishment of the RTI by Kedrion and Grifols, as well as the subsequent participation of the RTI in the RIPP Tender, within the context of an antitrust violation.</w:t>
      </w:r>
    </w:p>
    <w:p>
      <w:r>
        <w:t>CONSIDERED, therefore, that in light of the facts and legal elements illustrated, there are no grounds to charge Kedrion S.p.A., Grifols Italia S.p.A., and Grifols S.A. with an anti-competitive agreement attributable to the formation of a temporary grouping of companies to participate in the tender for the provision of services related to the production of plasma-derived drugs issued by Intercent-ER on behalf of the regional group RIPP;</w:t>
      </w:r>
    </w:p>
    <w:p>
      <w:r>
        <w:t>all of the above being stated and considered:</w:t>
      </w:r>
    </w:p>
    <w:p>
      <w:r>
        <w:t>RESOLVES</w:t>
      </w:r>
    </w:p>
    <w:p>
      <w:r>
        <w:t>that based on the available information, the reasons for intervention against Kedrion S.p.A., Grifols Italia S.p.A., and Grifols S.A. regarding the violation of Article 101 TFEU and/or Article 2 of Law No. 287/90 have ceased to exist.</w:t>
      </w:r>
    </w:p>
    <w:p>
      <w:r>
        <w:t>This provision will be notified to all parties involved in the procedure and published in the Bulletin of the Antitrust Authority.</w:t>
      </w:r>
    </w:p>
    <w:p>
      <w:r>
        <w:t>Against this provision, an appeal may be filed with the Lazio TAR, pursuant to Article 135, paragraph 1, letter b), of the Code of Administrative Procedure (Legislative Decree No. 104 of July 2, 2010), within sixty days from the date of notification of the provision itself, or an extraordinary appeal may be proposed to the President of the Republic, pursuant to Article 8, paragraph 2, of the Decree of the President of the Republic No. 1199 of November 24, 1971, within one hundred and twenty days from the date of notification of the provision itself.</w:t>
      </w:r>
    </w:p>
    <w:p>
      <w:r>
        <w:t>THE SECRETARY GENERAL THE PRESIDENT pro tempore</w:t>
      </w:r>
    </w:p>
    <w:p>
      <w:r>
        <w:t>Filippo Arena Gabriella Muscolo</w:t>
      </w:r>
    </w:p>
    <w:p>
      <w:r>
        <w:t>32 BULLETIN NO. 49 OF DECEMBER 31, 2018</w:t>
      </w:r>
    </w:p>
    <w:p>
      <w:r>
        <w:t>CONCENTRATION OPERATIONS</w:t>
      </w:r>
    </w:p>
    <w:p>
      <w:r>
        <w:t>C12200 - ALPERIA/SERVIZI UNINDUSTRIA MULTIUTILITIES</w:t>
      </w:r>
    </w:p>
    <w:p>
      <w:r>
        <w:t>Provision No. 27457</w:t>
      </w:r>
    </w:p>
    <w:p>
      <w:r>
        <w:t>THE ANTITRUST AUTHORITY</w:t>
      </w:r>
    </w:p>
    <w:p>
      <w:r>
        <w:t>IN ITS MEETING of December 12, 2018;</w:t>
      </w:r>
    </w:p>
    <w:p>
      <w:r>
        <w:t>HEARD the Rapporteur Professor Michele Ainis;</w:t>
      </w:r>
    </w:p>
    <w:p>
      <w:r>
        <w:t>VIEWED Law No. 287 of October 10, 1990;</w:t>
      </w:r>
    </w:p>
    <w:p>
      <w:r>
        <w:t>VIEWED the D.P.R. No. 217 of April 30, 1998;</w:t>
      </w:r>
    </w:p>
    <w:p>
      <w:r>
        <w:t>VIEWED the communication from Alperia S.p.A., received on November 12, 2018;</w:t>
      </w:r>
    </w:p>
    <w:p>
      <w:r>
        <w:t>CONSIDERED the following:</w:t>
      </w:r>
    </w:p>
    <w:p>
      <w:r>
        <w:t>I. THE PARTIES</w:t>
      </w:r>
    </w:p>
    <w:p>
      <w:r>
        <w:t>1. Alperia S.p.A. (hereinafter, Alperia) is the holding company at the head of the homonymous group, operating - almost exclusively in the Autonomous Province of Bolzano and, to a lesser extent, in South Tyrol and other Regions of Italy - in the sectors of electricity production from hydroelectric, photovoltaic, and biomass resources; in electricity transmission; in electricity and natural gas distribution and sales; in heat supply through the management of district heating plants; in the management of public lighting systems; in the marketing of green certificates and in the provision of services and consultancy in the field of energy efficiency; in the installation of charging stations for electric cars and in the realization of fiber optic infrastructures and provision of related services.</w:t>
      </w:r>
    </w:p>
    <w:p>
      <w:r>
        <w:t>Alperia is jointly controlled by the Autonomous Province of Bolzano, the Municipality of Bolzano, and the Municipality of Merano.</w:t>
      </w:r>
    </w:p>
    <w:p>
      <w:r>
        <w:t>In 2017, the consolidated revenue of the Alperia group was approximately 1,100 million euros, entirely generated in Italy.</w:t>
      </w:r>
    </w:p>
    <w:p>
      <w:r>
        <w:t>2. Servizi Unindustria Multiutilities S.p.A. (hereinafter, SUM or the Target) is a company operating - mainly in Veneto, and specifically in the province of Treviso - primarily in the sectors of electricity and natural gas sales, as well as to a marginal extent in the telecommunications sectors and energy saving services.</w:t>
      </w:r>
    </w:p>
    <w:p>
      <w:r>
        <w:t>SUM is participated by the company Iniziative Unindustria S.r.l. and the company SI S.r.l. (hereinafter Unindustria and SI), each for 37.5%, as well as by the Consortium Unindustria Multiutilities, for 25% (hereinafter CUM).</w:t>
      </w:r>
    </w:p>
    <w:p>
      <w:r>
        <w:t>In 2017, SUM's revenue was approximately 130.7 million euros, entirely generated in Italy.</w:t>
      </w:r>
    </w:p>
    <w:p>
      <w:r>
        <w:t>II. DESCRIPTION OF THE TRANSACTION</w:t>
      </w:r>
    </w:p>
    <w:p>
      <w:r>
        <w:t>3. The communication under examination concerns the acquisition by Alperia of exclusive control of SUM, through the purchase of a 70% stake in the share capital of the Target company.</w:t>
      </w:r>
    </w:p>
    <w:p>
      <w:r>
        <w:rPr>
          <w:b/>
        </w:rPr>
        <w:t>[Pages 31–33]</w:t>
      </w:r>
    </w:p>
    <w:p>
      <w:r>
        <w:t>BULLETIN NO. 49 OF DECEMBER 31, 2018 33</w:t>
      </w:r>
    </w:p>
    <w:p>
      <w:r>
        <w:t>In particular, the sales contract signed between Alperia and the shareholders of SUM provides that as a result of the transaction, the share capital of the Target will be distributed as follows: Alperia (70%); Unindustria (15%) and SI (15%).</w:t>
      </w:r>
    </w:p>
    <w:p>
      <w:r>
        <w:t>4. The same contract governs the corporate governance of SUM, providing, in particular, that:</w:t>
        <w:br/>
        <w:t>a) Alperia will have the right to appoint the majority of the members of the Board of Directors of SUM (which will consist of 3 members);</w:t>
        <w:br/>
        <w:t>b) the minority shareholders will have the right to jointly appoint one member of the Board of Directors of SUM;</w:t>
        <w:br/>
        <w:t>c) only decisions related to extraordinary transactions or capital increases will be made with the favorable vote of shareholders representing 85% of the company's capital.</w:t>
      </w:r>
    </w:p>
    <w:p>
      <w:r>
        <w:t>Overall, therefore, as a result of the provisions contained in the sales contract, Alperia will be able to independently determine all strategic business decisions of the Target.</w:t>
      </w:r>
    </w:p>
    <w:p>
      <w:r>
        <w:t>5. Finally, pursuant to Article 4 of the contract, the transaction is subject to the fulfillment of certain suspensive conditions, including the authorization of the Antitrust Authority.</w:t>
      </w:r>
    </w:p>
    <w:p>
      <w:r>
        <w:t>III. QUALIFICATION OF THE TRANSACTION</w:t>
      </w:r>
    </w:p>
    <w:p>
      <w:r>
        <w:t>6. The transaction under examination, as it involves the acquisition of exclusive control of SUM by Alperia, constitutes a concentration pursuant to Article 5, paragraph 1, letter b), of Law No. 287/90.</w:t>
      </w:r>
    </w:p>
    <w:p>
      <w:r>
        <w:t>7. The transaction falls within the scope of application of Law No. 287/90 as the conditions set out in Article 1 of Regulation (EC) No. 139/04 are not met, and is subject to the obligation of prior notification provided for by Article 16, paragraph 1, of the same law as the total turnover achieved, in the last financial year at the national level, by the group of companies involved exceeds 495 million euros and the turnover achieved, in the last financial year at the national level, by two of the companies involved exceeds 30 million euros.</w:t>
      </w:r>
    </w:p>
    <w:p>
      <w:r>
        <w:t>IV. ASSESSMENT OF THE CONCENTRATION</w:t>
      </w:r>
    </w:p>
    <w:p>
      <w:r>
        <w:t>The relevant markets</w:t>
      </w:r>
    </w:p>
    <w:p>
      <w:r>
        <w:t>8. The markets affected by the transaction, due to the operations of the acquirer and the acquired, must be identified in the retail sale of electricity and gas. For these activities, the Authority's decision-making practice provides for a division into different markets based on the recipients of the sales activity. For electricity, in particular, a distinction is made between domestic and non-domestic customers and, among the latter, between customers connected at medium/high voltage and customers connected at low voltage. For natural gas, a distinction is made between small customers (up to 200,000 cubic meters per year of consumption) and large customers (over 200,000 cubic meters per year), given that sales to thermoelectric customers represent a separate market.</w:t>
      </w:r>
    </w:p>
    <w:p>
      <w:r>
        <w:t>Based on the activities carried out by the Target, the relevant markets are as follows:</w:t>
        <w:br/>
        <w:t>a) market for the retail sale of electricity to non-domestic customers connected at low voltage;</w:t>
        <w:br/>
        <w:t>b) market for the retail sale of electricity to domestic customers connected at low voltage;</w:t>
        <w:br/>
        <w:t>c) market for the retail sale of natural gas to medium-large final customers;</w:t>
        <w:br/>
        <w:t>d) market for the retail sale of natural gas to small final customers.</w:t>
      </w:r>
    </w:p>
    <w:p>
      <w:r>
        <w:t>The markets for the retail sale of electricity to customers connected at low voltage (both domestic and non-domestic) and the effects of the transaction</w:t>
      </w:r>
    </w:p>
    <w:p>
      <w:r>
        <w:t>9. The retail sale of electricity in the free market consists of the marketing, supply, and delivery of electricity to final customers connected to the distribution network. The differentiation into different markets based on the different categories of final customers supplied depends on factors such as volumes and consumption profiles, marketing costs, the more or less pronounced standardization of sales contracts, the different degree of mobility, and the different risk of default.</w:t>
      </w:r>
    </w:p>
    <w:p>
      <w:r>
        <w:t>10. The markets for the retail sale of electricity to customers connected at low voltage (both domestic and non-domestic) are considered by the Authority's decision-making practice to have a local geographical dimension, due to the still strong incidence of sellers connected to the distribution company, which, after having exercised monopoly sales to bound customers, have nonetheless inherited the position of suppliers under a regime of greater protection. This incidence is, evidently, greater in local contexts that coincide with the coverage area of the distribution concession, which is usually municipal in size. In any case, given the position of the Parties, regardless of the definition of the relevant market, the outcome of the assessment would not change. In fact, since both companies would not have a significant weight at the national level, according to the information provided by the parties, the group of the acquiring company is active in the distribution of electricity (which entitles it to exercise sales under greater protection) only through the subsidiary Edyna S.r.l. This latter is reported to operate only in the province of Bolzano, where it is present in 114 municipalities out of a total of 118. This gives, as will be seen, the acquiring group a significant position at the local level in sales to domestic and non-domestic customers connected at low voltage only in the territories overall included within the province of Bolzano. The acquired company, on the other hand, which does not carry out distribution activities, has no significant positions in any local context, although it tends to concentrate its sales in the municipalities of the province of Treviso, where it is based. In particular, the acquired company has only a marginal position in all local areas within the borders of the province of Bolzano, where the acquiring company predominantly operates.</w:t>
      </w:r>
    </w:p>
    <w:p>
      <w:r>
        <w:t>11. The above is reflected in the observation of the shares at the provincial level (the narrowest local scope for which the parties provide information) held by the parties in the retail sale of electricity to customers connected at low voltage, so that for this transaction it does not appear necessary, in either of the two markets, to further analyze the effects of the same through an analysis of data at a higher level of territorial disaggregation.</w:t>
      </w:r>
    </w:p>
    <w:p>
      <w:r>
        <w:t>12. Regarding the market for the retail sale to non-domestic customers connected at low voltage, although the parties are simultaneously present in the municipalities of as many as 73 Italian provinces, in none of these did the acquired company reach, in 2017, [1-5%]* of the total sales (in volume), with the exception of Venice ([1-5%]) and Treviso ([1-5%]), in which however it was the acquirer that did not reach 1% of the total provincial sales. With particular regard to the local contexts of the province of Bolzano, where the acquirer has significant strength, with sales in volume that overall lead it to reach [80-85%] of the total provincial sales, it should be noted that the sales of SUM in the same contexts do not reach, still at the provincial level, [less than 1%] of the total. It therefore seems reasonable to conclude that the contribution of SUM to the market position of the acquirer in sales to non-domestic customers connected at low voltage is marginal in all local contexts, and particularly so in those where the Alperia group holds a very high share of sales.</w:t>
      </w:r>
    </w:p>
    <w:p>
      <w:r>
        <w:t>13. Given that the acquired company mainly concentrates its activity in the sale of electricity to non-domestic customers, the local markets for the retail sale of electricity to domestic customers are even less affected by the transaction compared to those for sales to non-domestic customers connected at low voltage. In the case of the sale of electricity to domestic customers, in fact, the acquired company is present in local markets belonging to only eight provincial areas, in none of which to such an extent as to allow it to reach [1-5%] of the total sales (in volume) at the provincial level. In particular, the acquired company does not make any sales to domestic customers located in the province of Bolzano, and therefore cannot provide any contribution to the local contexts where, due to the exercise of sales under greater protection, the acquiring group holds the strongest market positions. Moreover, Alperia itself appears to have, in its local contexts of greatest strength, a much smaller weight for sales to domestic customers than that held in sales to non-domestic customers, managing to achieve, even in the province of Bolzano, sales to domestic customers that allow it to reach only [25-30%], in volume, of the total provincial sales.</w:t>
      </w:r>
    </w:p>
    <w:p>
      <w:r>
        <w:t>The markets for the retail sale of gas to medium/large final customers and small customers and the effects of the transaction</w:t>
      </w:r>
    </w:p>
    <w:p>
      <w:r>
        <w:t>14. The retail sale of gas consists of the supply and delivery of gas to final customers connected to the distribution networks or to the gas transport network. Again, the differentiation based on the categories of customers served depends on considerations related to the specific characteristics of demand and supply. The market for the retail sale of gas includes the activity of supplying and delivering to final customers connected to the distribution networks or to the gas transport network, and is distinguished as follows:</w:t>
        <w:br/>
        <w:t>a) market for medium or large final customers with consumption exceeding 200,000 cubic meters/year, which has a national dimension;</w:t>
        <w:br/>
        <w:t>b) market for small final customers with consumption below 200,000 cubic meters/year, which tends to have dimensions smaller than the national one.</w:t>
      </w:r>
    </w:p>
    <w:p>
      <w:r>
        <w:t>15. With reference to market sub a), based on the data provided by the Parties, it is observed that the market shares held individually by the acquiring group and the acquired company are insignificant and largely below one percentage point. It follows that the transaction, with reference to the national market for the sale of natural gas to medium-large customers, is neutral from a competitive perspective, as it is not likely to produce any impact on the competitive dynamics of the market.</w:t>
      </w:r>
    </w:p>
    <w:p>
      <w:r>
        <w:t>16. The geographical dimensions of market sub b) have instead been considered by the Authority to still be local, or in any case subnational, in light of the persistence of dominant positions at the local level, although in the case of the retail sale of natural gas the path towards an opening...</w:t>
      </w:r>
    </w:p>
    <w:p>
      <w:r>
        <w:rPr>
          <w:b/>
        </w:rPr>
        <w:t>[Pages 34–36]</w:t>
      </w:r>
    </w:p>
    <w:p>
      <w:r>
        <w:t>BULLETIN NO. 49 OF DECEMBER 31, 2018</w:t>
      </w:r>
    </w:p>
    <w:p>
      <w:r>
        <w:t>the national market is more advanced than that of electricity, both due to the lesser spread of vertical integration between distribution and sales, and due to the different characteristics, in natural gas, assumed by the service of greater protection, which is not exclusively reserved for a company referring to the holder of the distribution concession. In this specific case, however, it is not necessary to adopt a precise geographical definition of the retail market for natural gas to small customers, as the outcome of the assessment would not change.</w:t>
      </w:r>
    </w:p>
    <w:p>
      <w:r>
        <w:t>17. In the case of the retail sale of natural gas to small customers, in fact, given that at the national level the aggregated share of sales of the two companies reaches just [less than 1%], the acquired company is active only in 17 provincial areas. Among these, only in twelve is the acquiring company also present, but the joint sales of the two companies exceed one million cubic meters only in three cases, and the best available estimate of the share of total provincial sales never exceeds, in any of the twelve provinces where there is an overlap of sales, [1-5%].</w:t>
      </w:r>
    </w:p>
    <w:p>
      <w:r>
        <w:t>18. In light of the considerations above, the concentration under examination does not appear capable of establishing a dominant position or significantly altering the competitive conditions in any of the relevant markets considered.</w:t>
      </w:r>
    </w:p>
    <w:p>
      <w:r>
        <w:t>CONSIDERED,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 pro tempore</w:t>
        <w:br/>
        <w:t>Filippo Arena Gabriella Muscolo</w:t>
      </w:r>
    </w:p>
    <w:p>
      <w:r>
        <w:t>As a reference for the provincial totals, the total quantities transported by the distribution networks in each province reported on www.mise.it have been used in the first approximation, which may underestimate (in this case not significantly) the share of provincial sales attributable to the parties.</w:t>
      </w:r>
    </w:p>
    <w:p>
      <w:r>
        <w:t>BULLETIN NO. 49 OF DECEMBER 31, 2018</w:t>
      </w:r>
    </w:p>
    <w:p>
      <w:r>
        <w:t>C12203 - EUROCAR/DORIGONI</w:t>
      </w:r>
    </w:p>
    <w:p>
      <w:r>
        <w:t>Provision No. 27458</w:t>
      </w:r>
    </w:p>
    <w:p>
      <w:r>
        <w:t>THE ANTITRUST AUTHORITY</w:t>
      </w:r>
    </w:p>
    <w:p>
      <w:r>
        <w:t>IN ITS MEETING of December 12, 2018;</w:t>
      </w:r>
    </w:p>
    <w:p>
      <w:r>
        <w:t>HEARD the Rapporteur Dr. Gabriella Muscolo;</w:t>
      </w:r>
    </w:p>
    <w:p>
      <w:r>
        <w:t>HAVING REGARD to Law No. 287 of October 10, 1990;</w:t>
      </w:r>
    </w:p>
    <w:p>
      <w:r>
        <w:t>HAVING REGARD to the Presidential Decree No. 217 of April 30, 1998;</w:t>
      </w:r>
    </w:p>
    <w:p>
      <w:r>
        <w:t>HAVING REGARD to the act of the company Eurocar S.r.l., received on November 19, 2018;</w:t>
      </w:r>
    </w:p>
    <w:p>
      <w:r>
        <w:t>CONSIDERED the following:</w:t>
      </w:r>
    </w:p>
    <w:p>
      <w:r>
        <w:t>I. THE PARTIES</w:t>
      </w:r>
    </w:p>
    <w:p>
      <w:r>
        <w:t>1. Eurocar Italia S.r.l. (hereinafter, Eurocar) is a company active in the retail distribution of cars (new and used) and light commercial vehicles (new and used) of the VW Group brands, as well as original spare parts of the VW Group brands in Italy, and in the related repair and maintenance activities. Eurocar is active in Italy in some provinces of Friuli Venezia Giulia (Gorizia, Udine, and Trieste) and in Tuscany (in the province of Florence). Following the acquisitions recently authorized by the European Commission (hereinafter, the Commission) of Bonaldi Motori S.p.A. and Bonaldi Tech S.p.A. (hereinafter, together, Bonaldi) and of Vicentini S.p.A. (hereinafter, Vicentini), it is now also active, through Bonaldi, in some provinces of Lombardy (Milan, Sondrio, Bergamo, Lecco) and, through Vicentini, in the province of Verona (Veneto). Eurocar is indirectly controlled by Porsche Holding Gesellschaft m.b.H., which is in turn indirectly controlled by Volkswagen AG, a company at the top of the Volkswagen group. Volkswagen AG is a company incorporated under German law whose shares are listed on the Frankfurt Stock Exchange. In 2017, the Volkswagen group achieved a consolidated revenue of approximately 231.3 billion euros worldwide, of which approximately [100-495] billion euros from sales in the European Union and approximately [8-9] billion euros from sales in Italy.</w:t>
      </w:r>
    </w:p>
    <w:p>
      <w:r>
        <w:t>2. Dorigoni S.p.A. (hereinafter, Dorigoni) is a company active in the retail distribution of cars (new and used) and light commercial vehicles (new and used) of the Volkswagen group brands, as well as original spare parts of the Volkswagen group brands in Italy, and in the related repair and maintenance activities. Dorigoni's activity is limited to the Italian territory and specifically to the province of Trento, where it operates through three branches. The share capital of Dorigoni is held by individuals (hereinafter, the Sellers) and by Dorigoni itself as treasury shares. In 2017, Dorigoni achieved a worldwide revenue of approximately 120.1 million euros, of which approximately [100-495] million euros from sales in the European Union and approximately [100-495] million euros from sales in Italy.</w:t>
      </w:r>
    </w:p>
    <w:p>
      <w:r>
        <w:t>1 See Commission Decision of August 1, 2018, COMP/M.8963 – Eurocar/Bonaldi.</w:t>
        <w:br/>
        <w:t>2 See Commission Decision of September 10, 2018, COMP/M.9070 – Eurocar/Vicentini.</w:t>
        <w:br/>
        <w:t>3 In this version, some data are omitted, as it was deemed that there were elements of confidentiality or secrecy of the information.</w:t>
      </w:r>
    </w:p>
    <w:p>
      <w:r>
        <w:t>II. DESCRIPTION OF THE OPERATION</w:t>
      </w:r>
    </w:p>
    <w:p>
      <w:r>
        <w:t>3. The Parties have signed a sales contract (hereinafter, the Contract) under which Eurocar undertakes to purchase all the shares currently held by the Sellers, corresponding to 100% of the share capital (net of treasury shares). The Contract provides that each of the Sellers undertakes, for a period of 2 years, not to engage, directly or indirectly, in any activity in competition with that carried out by Dorigoni (in the last 5 years) in Trentino Alto Adige, Lombardy, Veneto, Aosta Valley, Emilia Romagna, and Friuli Venezia Giulia. Pursuant to the same Contract, the Sellers undertake, during the same period, not to solicit the hiring of any of the employees of the Target.</w:t>
      </w:r>
    </w:p>
    <w:p>
      <w:r>
        <w:t>III. QUALIFICATION OF THE OPERATION</w:t>
      </w:r>
    </w:p>
    <w:p>
      <w:r>
        <w:t>4. The notified operation, as it involves the acquisition of exclusive control of a company, constitutes a concentration pursuant to Article 5, paragraph 1, letter b), of Law No. 287/90.</w:t>
      </w:r>
    </w:p>
    <w:p>
      <w:r>
        <w:t>5. It falls within the scope of application of Law No. 287/90, as the conditions of Article 1 of EC Regulation No. 139/04 do not apply, and is subject to the obligation of prior notification provided for by Article 16, paragraph 1, of the same law, as amended by Article 1, paragraph 177, of Law No. 124 of August 4, 2017, since the total revenue achieved in the last financial year at the national level by the group of companies involved was over 495 million euros and the revenue achieved individually at the national level by at least two of the companies involved was over 30 million euros.</w:t>
      </w:r>
    </w:p>
    <w:p>
      <w:r>
        <w:t>6. The non-compete agreement signed by the parties and described in the previous paragraph can be considered directly connected and necessary for the realization of the concentration operation under examination, as it is functional to safeguarding the value of the acquired company, provided that it is geographically limited to the area of activity of the acquired company, and does not prevent the sellers from acquiring or holding shares solely for financial investment purposes.</w:t>
      </w:r>
    </w:p>
    <w:p>
      <w:r>
        <w:t>7. The non-solicitation agreement signed by the parties and described in the previous paragraph can be considered directly connected and necessary for the realization of the concentration operation under examination, as it is functional to safeguarding the value of the acquired company.</w:t>
      </w:r>
    </w:p>
    <w:p>
      <w:r>
        <w:t>IV. ASSESSMENT OF THE CONCENTRATION</w:t>
      </w:r>
    </w:p>
    <w:p>
      <w:r>
        <w:t>The product market</w:t>
      </w:r>
    </w:p>
    <w:p>
      <w:r>
        <w:t>8. From a product perspective, the sectors affected by the operation under examination are those in which the acquired company operates, namely: i) the retail distribution of passenger cars and new and used commercial vehicles, ii) the retail distribution of spare parts for passenger cars and commercial vehicles, and iii) after-sales services for assistance, maintenance, and repair of vehicles.</w:t>
      </w:r>
    </w:p>
    <w:p>
      <w:r>
        <w:rPr>
          <w:b/>
        </w:rPr>
        <w:t>[Pages 37–39]</w:t>
      </w:r>
    </w:p>
    <w:p>
      <w:r>
        <w:t>BULLETIN NO. 49 OF DECEMBER 31, 2018 39</w:t>
      </w:r>
    </w:p>
    <w:p>
      <w:r>
        <w:t>9. i) The market in question concerns the distribution of new and used motor vehicles and commercial vehicles by dealers to end consumers. Manufacturers market their vehicles through distribution companies (controlled companies or third-party operators) which, in turn, utilize a network of dealers that carry out sales activities to customers.</w:t>
      </w:r>
    </w:p>
    <w:p>
      <w:r>
        <w:t>10. Within this market, different segments can be identified, distinguishing between motor vehicles and commercial vehicles, new and used vehicles, based on performance, size, and price of the marketed cars. However, dealers frequently distribute various types of products (city cars, mid-range, upper-range, etc.), and the differences have been decreasing over the years due to the tendency of car manufacturers to offer more accessories even for medium and small displacement cars. For the purposes of this operation, however, it does not seem necessary to arrive at an exact product market delineation.</w:t>
      </w:r>
    </w:p>
    <w:p>
      <w:r>
        <w:t>11. ii) Within the sector of marketing parts and accessories, which includes spare parts for passenger vehicles and commercial vehicles, two types of products can be identified: original parts and equivalent parts (of corresponding quality). Original spare parts are marketed under the manufacturer's brand; equivalent spare parts, on the other hand, are supplied by independent operators in the component sector, who may also supply the same manufacturers.</w:t>
      </w:r>
    </w:p>
    <w:p>
      <w:r>
        <w:t>12. The prices of equivalent spare parts are significantly lower, varying depending on the type of spare part considered. Furthermore, the different types of spare parts for motor vehicles (gaskets, pads, shock absorbers, belts, spark plugs, filters, lighting, etc.) are not substitutable from the final demand side, which evidently depends on the maintenance or repair intervention to be carried out. However, there is a significant substitutability from the demand side between original and equivalent spare parts (provided they are of corresponding quality), varying based on the age and economic class of the vehicle, as well as the type of spare part. From the supply side, moreover, the assistance centers of car manufacturers (generally dealerships and authorized workshops) can retail both original and equivalent spare parts. Finally, from the supply side, operators generally distribute a wide range of spare parts.</w:t>
      </w:r>
    </w:p>
    <w:p>
      <w:r>
        <w:t>13. iii) The market for after-sales assistance services for motor vehicles is characterized by an extreme fragmentation of supply. The repair and maintenance activities are carried out by a wide range of operators such as: authorized dealer workshops; independent workshops; service stations; specialized auto centers; quick assistance services (the warranty assistance activity is instead carried out by the same dealers of the car manufacturers or by other subjects authorized by them).</w:t>
      </w:r>
    </w:p>
    <w:p>
      <w:r>
        <w:t>The geographical market</w:t>
      </w:r>
    </w:p>
    <w:p>
      <w:r>
        <w:t>14. Regarding the geographical relevance, the size of the markets under i), ii), and iii) can be considered local. This hypothesis is based on consumer purchasing behaviors and, in particular, on the importance they attribute to the proximity of sales and assistance points. In various precedents related to the markets in question, the Authority has defined local markets based on administrative boundaries, identifying markets with a tendency towards provincial size. In this case, following this approach, considering the operational scope of the acquired company, the relevant geographical market could be deemed confined to the province of Trento.</w:t>
      </w:r>
    </w:p>
    <w:p>
      <w:r>
        <w:t>15. Alternatively, it is possible to define local areas taking into account the size of the catchment areas of the individual sales points of the companies involved and the propensity for mobility from the demand side. In this regard, the notifying party, based on the sales data of the dealers subject to acquisition and its own experience, believes that it is possible to hypothesize the existence of a catchment area identified by the areas located around the Dorigoni dealerships subject to acquisition, reachable within 40 or 60 minutes by car for market sub i) and within 20 minutes by car for markets sub ii) and sub iii) (hereinafter, the isochrones).</w:t>
      </w:r>
    </w:p>
    <w:p>
      <w:r>
        <w:t>Effects of the operation</w:t>
      </w:r>
    </w:p>
    <w:p>
      <w:r>
        <w:t>16. The Dorigoni company subject to acquisition operates through three dealerships located in the province of Trento (two located in Trento and one in Rovereto), while the acquirer Eurocar holds various dealerships located in some provinces of Friuli Venezia Giulia (Gorizia, Udine, and Trieste), Tuscany (Florence), and, following the acquisitions recently authorized by the Commission of Bonaldi and Vicentini, also, through Bonaldi, in some provinces of Lombardy (Milan, Sondrio, Bergamo, and Lecco) and, through Vicentini, in a province of Veneto (Verona), to which two Porsche dealerships controlled by Volkswagen AG located in a province of Lombardy (Milan) and in a province of Veneto (Padua) should also be added. At the provincial level, therefore, there are no overlaps between the activities of the Parties.</w:t>
      </w:r>
    </w:p>
    <w:p>
      <w:r>
        <w:t>17. In the markets for the retail distribution of new and used passenger vehicles and commercial vehicles, in the province of Trento, where there are no overlaps between the activities of the Parties, Dorigoni's shares are below 2%, while, regarding the isochrones, for each of the three Dorigoni dealerships subject to acquisition, both in the 40-minute isochrone and in the 60-minute isochrone, the joint shares of the Parties are less than 5%.</w:t>
      </w:r>
    </w:p>
    <w:p>
      <w:r>
        <w:t>18. In the markets for the retail distribution of original VW spare parts for passenger vehicles and commercial vehicles, for the retail distribution of non-original spare parts for passenger vehicles and commercial vehicles, as well as for after-sales assistance, maintenance, and repair services for motor vehicles, in the province of Trento, where there are no overlaps between the activities of the Parties, Dorigoni's share is, respectively, equal to [40-45%], below 5%, and below 5%, while, regarding the isochrones, for each of the three Dorigoni dealerships subject to acquisition, in the 20-minute isochrones there are no overlaps between the activities of the Parties and Dorigoni's shares are respectively:</w:t>
      </w:r>
    </w:p>
    <w:p>
      <w:r>
        <w:t>- in the market for the retail distribution of original VW spare parts for passenger vehicles and commercial vehicles, approximately [50-55%] in the isochrone relating to Trento and approximately [45-50%] in the isochrone relating to Rovereto;</w:t>
        <w:br/>
        <w:t>- in the market for the retail distribution of non-original spare parts for passenger vehicles and commercial vehicles, below 5% both in the isochrone relating to Trento and in the isochrone relating to Rovereto;</w:t>
      </w:r>
    </w:p>
    <w:p>
      <w:r>
        <w:t>19. From a vertical perspective, it is noted that:</w:t>
        <w:br/>
        <w:t>a) the Volkswagen group is also active in the upstream markets of wholesale distribution of new and used passenger vehicles and commercial vehicles, where it holds national shares below 13%; as seen, in the downstream markets of retail distribution of new and used passenger vehicles and commercial vehicles, both considering the province of Trento and the isochrones, the joint shares of the Parties will be less than 5%;</w:t>
        <w:br/>
        <w:t>b) the Volkswagen group is also active in the upstream market of wholesale distribution of original VW spare parts for passenger vehicles and commercial vehicles, where it holds a monopolistic position at the national level; as seen, in the downstream market of retail distribution of original VW spare parts for passenger vehicles and commercial vehicles, Dorigoni's shares are [40-45%] in the province of Trento, [50-55%] in the isochrone relating to Trento, and [45-50%] in the isochrone relating to Rovereto.</w:t>
      </w:r>
    </w:p>
    <w:p>
      <w:r>
        <w:t>20. It is observed, in this regard, that the operation does not raise concerns regarding an input foreclosure hypothesis due to the same distribution strategy of the Volkswagen group, which makes original spare parts accessible to independent repairers both through Volkswagen Group Italia S.p.A., active throughout Italy, and through a network of service partners (authorized retailers of vehicles and original Volkswagen spare parts, such as Dorigoni) present throughout the national territory.</w:t>
      </w:r>
    </w:p>
    <w:p>
      <w:r>
        <w:t>In light of the above considerations, it is believed that in the relevant markets the operation will not have detrimental effects on competition, not resulting in substantial changes in the competitive structure of the same.</w:t>
      </w:r>
    </w:p>
    <w:p>
      <w:r>
        <w:t>CONSIDERED, therefore, that the operation in question does not result, pursuant to Article 6, paragraph 1, of Law No. 287/90, in the establishment or strengthening of a dominant position in the relevant markets, such as to eliminate or substantially and durably reduce competition;</w:t>
      </w:r>
    </w:p>
    <w:p>
      <w:r>
        <w:t>CONSIDERED, also, that the non-competition obligations between the parties are accessory to this operation only to the limits described above and that the Authority reserves the right to evaluate, where the conditions exist, the aforementioned agreements that exceed the limits indicated therein;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rPr>
          <w:b/>
        </w:rPr>
        <w:t>[Pages 40–42]</w:t>
      </w:r>
    </w:p>
    <w:p>
      <w:r>
        <w:t>BULLETIN NO. 49 OF DECEMBER 31, 2018</w:t>
      </w:r>
    </w:p>
    <w:p>
      <w:r>
        <w:t>This provision will be published in the Bulletin of the Competition and Market Authority.</w:t>
      </w:r>
    </w:p>
    <w:p>
      <w:r>
        <w:t>THE SECRETARY GENERAL THE PRESIDENT pro tempore</w:t>
        <w:br/>
        <w:t>Filippo Arena Gabriella Muscolo</w:t>
      </w:r>
    </w:p>
    <w:p>
      <w:r>
        <w:t>BULLETIN NO. 49 OF DECEMBER 31, 2018</w:t>
      </w:r>
    </w:p>
    <w:p>
      <w:r>
        <w:t>C12204 - VEGA CARBURANTI/CARBURANTI 3.0</w:t>
        <w:br/>
        <w:t>Provision No. 27459</w:t>
        <w:br/>
        <w:t>THE COMPETITION AND MARKET AUTHORITY</w:t>
        <w:br/>
        <w:t>IN ITS MEETING of December 12, 2018;</w:t>
        <w:br/>
        <w:t>HEARD the Rapporteur Professor Michele Ainis;</w:t>
        <w:br/>
        <w:t>HAVING REGARD to Law No. 287 of October 10, 1990;</w:t>
        <w:br/>
        <w:t>HAVING REGARD to the Presidential Decree No. 217 of April 30, 1998;</w:t>
        <w:br/>
        <w:t>HAVING REGARD to the communication from Vega Carburanti S.p.A., received on November 19, 2018;</w:t>
        <w:br/>
        <w:t>HAVING REGARD to the documentation on file;</w:t>
        <w:br/>
        <w:t>CONSIDERED the following:</w:t>
        <w:br/>
        <w:t>I. THE PARTIES</w:t>
        <w:br/>
        <w:t>1. Vega Carburanti S.p.A. is a company active in the distribution and marketing of petroleum products for automotive use, as well as in some related activities such as the provision of food and beverages, the resale of monopoly goods (lotteries and tobacco), and car wash services. In 2017, Vega Carburanti S.p.A. generated a turnover of approximately [100-495]* million euros, entirely generated in Italy.</w:t>
        <w:br/>
        <w:t>2. Carburanti 3.0 S.r.l. is a company active in the distribution and marketing of petroleum products for automotive use and, to a marginal extent, in the sector of food and beverage provision and car wash services. Carburanti 3.0 S.r.l. also holds a 40% stake in Energya S.p.A., which is active in wholesale procurement, primarily for its members, of petroleum products intended for marketing at road distribution facilities. Carburanti 3.0 S.r.l. is currently wholly owned by Coop Alleanza 3.0 Soc. Coop. In 2017, Carburanti 3.0 S.r.l. generated a turnover of approximately [100-495] million euros, entirely realized in Italy.</w:t>
        <w:br/>
        <w:t>II. DESCRIPTION OF THE TRANSACTION</w:t>
        <w:br/>
        <w:t>3. The transaction consists of the acquisition, by Vega Carburanti S.p.A., of 100% of the share capital of Carburanti 3.0 S.r.l., a company currently exclusively controlled by Coop Alleanza 3.0 Soc. Coop. Following the transaction, Vega Carburanti S.p.A. will hold 100% of the share capital of Carburanti 3.0 S.r.l. and, consequently, exclusive control of the company.</w:t>
        <w:br/>
        <w:t>III. QUALIFICATION OF THE TRANSACTION</w:t>
        <w:br/>
        <w:t>4. The notified transaction involves the acquisition of exclusive control of a company, and thus constitutes a concentration pursuant to Article 5, paragraph 1, letter b), of Law No. 287/90. It falls within the scope of application of Law No. 287/90 as the conditions set out in Article 1 of Regulation No. 139/2004 do not apply, and it is subject to the obligation of prior notification provided for by Article 16, paragraph 1, of the same law as the total turnover achieved in the last financial year at the national level by the group of companies involved was over 495 million euros and the total turnover achieved individually at the national level by at least two of the companies involved was over 30 million euros.</w:t>
        <w:br/>
        <w:t>IV. ASSESSMENT OF THE CONCENTRATION</w:t>
        <w:br/>
        <w:t>5. The relevant market, due to the operations of the acquiring company and the acquired company, is that of the distribution of fuels for automotive use on ordinary road networks.</w:t>
        <w:br/>
        <w:t>The relevant market</w:t>
        <w:br/>
        <w:t>6. The market for the distribution of fuels for automotive use on road networks is characterized, from the supply side, by the presence of a high number of distribution companies affiliated with or directly controlled by the main oil companies active in the national territory. From the demand side, the market is marked by the presence of a very high number of consumers who make frequent purchases of products in small quantities and who do not find it advantageous to refuel at distribution facilities located far from where they reside or carry out their work activities.</w:t>
        <w:br/>
        <w:t>7. Based on the characteristics of demand and supply, the geographical extent of the distribution market on road networks has traditionally been considered local, primarily coinciding with the territory of the province where the facilities subject to acquisition are located. However, in the case of API/TotalErg, also considering the more recent practices followed in other relevant markets, the Authority has conducted further checks on the competitive conditions at the sub-provincial level, hypothesizing that the market may be defined based on the actual substitutability of each sales point for end consumers. In this case, the exact geographical definition of the market can nonetheless be left open, as it does not change the competitive assessment of the notified transaction.</w:t>
        <w:br/>
        <w:t>Effects of the transaction</w:t>
        <w:br/>
        <w:t xml:space="preserve">8. At the national level, the joint market share of the parties in the market for the retail distribution of fuels on ordinary road networks is approximately [1-5%] in terms of volumes of fuels dispensed. At the local level, the activities of the parties are substantially complementary and overlap only in the province of Treviso, where the post-merger entity will still have a market share below 15%. For the province of Trento, the notifying party has also conducted an analysis of the competitive conditions present post-merger based on substitutability. </w:t>
        <w:br/>
        <w:t>3 Both parties are active in the public provision of beverages and food and car wash services, but in a completely marginal manner (in particular, Vega Carburanti S.p.A. has, at the national level, 24 bars – all managed by third parties – and 7 car washes, while Carburanti 3.0 S.r.l. has 16 bars, of which only one is managed directly, and 2 car washes) and there is no overlap between the activities of the parties at the provincial level; these markets are therefore not relevant for the assessment of this transaction. Carburanti 3.0 S.r.l. is also active, through Energya S.p.A., in the wholesale distribution of off-network petroleum products, with a share of approximately [1-5%] at the national level, but Vega Carburanti S.p.A. is not active in this sector except through occasional sales to white pumps, in negligible quantities (with a national market share of approximately [less than 1%]; also considering the position of the post-merger entity in the downstream market, this market does not appear relevant for the analysis of the effects of the notified transaction.</w:t>
        <w:br/>
        <w:t>4 See, among others, the Authority's provision of June 21, 2016, No. 26082, case C12053; Retitalia/Branch of Esso Italiana, and, further in the past, the Authority's provision of June 25, 2009, No. 20015, case C10041, Erg Petroli/Restiani, par. 8.</w:t>
        <w:br/>
        <w:t>5 Provision of December 20, 2017, case C12131, API/TotalErg.</w:t>
      </w:r>
    </w:p>
    <w:p>
      <w:r>
        <w:rPr>
          <w:b/>
        </w:rPr>
        <w:t>[Pages 43–45]</w:t>
      </w:r>
    </w:p>
    <w:p>
      <w:r>
        <w:t>BULLETIN NO. 49 OF DECEMBER 31, 2018 45</w:t>
      </w:r>
    </w:p>
    <w:p>
      <w:r>
        <w:t>each point of sale for end consumers; this analysis acknowledges the absence of effects on competitive conditions even at the sub-provincial level.</w:t>
      </w:r>
    </w:p>
    <w:p>
      <w:r>
        <w:t>9. Considering the market position of the parties and the fact that there are numerous competitors in the relevant market, including some of the main oil companies operating at the national level, the concentration operation under examination does not appear to be capable of negatively affecting the competitive conditions of the relevant market.</w:t>
      </w:r>
    </w:p>
    <w:p>
      <w:r>
        <w:t>CONSIDERED, therefore, that the operation under examination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Competition and Market Authority.</w:t>
      </w:r>
    </w:p>
    <w:p>
      <w:r>
        <w:t>THE SECRETARY GENERAL THE PRESIDENT f.f. Filippo Arena Gabriella Muscolo</w:t>
      </w:r>
    </w:p>
    <w:p>
      <w:r>
        <w:t>46 BULLETIN NO. 49 OF DECEMBER 31, 2018</w:t>
      </w:r>
    </w:p>
    <w:p>
      <w:r>
        <w:t>C12205 - TRENITALIA-TRANSPORTATION PASSENGERS EMILIA ROMAGNA/PROVISIONAL RAILWAY COMPANY EMILIA ROMAGNA</w:t>
      </w:r>
    </w:p>
    <w:p>
      <w:r>
        <w:t>Provision No. 27460</w:t>
      </w:r>
    </w:p>
    <w:p>
      <w:r>
        <w:t>THE COMPETITION AND MARKET AUTHORITY</w:t>
      </w:r>
    </w:p>
    <w:p>
      <w:r>
        <w:t>IN ITS MEETING of December 12, 2018;</w:t>
      </w:r>
    </w:p>
    <w:p>
      <w:r>
        <w:t>HEARD the Rapporteur Professor Michele Ainis;</w:t>
      </w:r>
    </w:p>
    <w:p>
      <w:r>
        <w:t>HAVING REGARD to Law No. 287 of October 10, 1990;</w:t>
      </w:r>
    </w:p>
    <w:p>
      <w:r>
        <w:t>HAVING REGARD to the Presidential Decree No. 217 of April 30, 1998;</w:t>
      </w:r>
    </w:p>
    <w:p>
      <w:r>
        <w:t>HAVING REGARD to the communication from the companies Trenitalia S.p.A. and Trasporto Passeggeri Emilia-Romagna S.p.A., received on November 21, 2018;</w:t>
      </w:r>
    </w:p>
    <w:p>
      <w:r>
        <w:t>CONSIDERED the following:</w:t>
      </w:r>
    </w:p>
    <w:p>
      <w:r>
        <w:t>I. THE PARTIES</w:t>
      </w:r>
    </w:p>
    <w:p>
      <w:r>
        <w:t>1. Trenitalia S.p.A. (hereinafter, Trenitalia), wholly owned by Ferrovie dello Stato Italiane S.p.A. (hereinafter, FS) - the holding company of the eponymous Group, whose share capital is entirely held by the Ministry of Economy and Finance - is a railway company active in the medium and long-distance passenger rail transport sector, as well as in regional and metropolitan transport. In 2017, the consolidated revenue of the FS Group, net of intra-group revenues, amounted to approximately [9-10]* billion euros, of which approximately [7-8] billion euros were generated from sales in Italy.</w:t>
      </w:r>
    </w:p>
    <w:p>
      <w:r>
        <w:t>2. Trasporto Passeggeri Emilia-Romagna S.p.A. (hereinafter, TPER), partially owned by various local public entities2, is a company active in the railway and bus passenger transport sector in Emilia Romagna3. In 2017, TPER generated revenue of approximately [100-495] million euros, entirely achieved in Italy.</w:t>
      </w:r>
    </w:p>
    <w:p>
      <w:r>
        <w:t>3. Società Ferroviaria Provvisoria Emilia-Romagna S.c.a.r.l. (hereinafter, SFP or “consortium company”) is the consortium company established on June 18, 2016, by Trenitalia and TPER following the award of the tender issued by Ferrovie Emilia Romagna S.r.l. (hereinafter, FER), at the request of the Emilia-Romagna Region, for the management of public railway passenger transport services, as well as the substitute bus services, under the jurisdiction of the Emilia-Romagna Region4. At the start of the services covered by the Contract, signed by FER and SFP on June 29, 2016, the latter will assume the role of sole manager of regional public railway transport in Emilia-Romagna.</w:t>
      </w:r>
    </w:p>
    <w:p>
      <w:r>
        <w:t>II. DESCRIPTION OF THE OPERATION</w:t>
      </w:r>
    </w:p>
    <w:p>
      <w:r>
        <w:t>4. The communicated operation consists of the transition of SFP from a cooperative joint venture to a “full-fledged” joint venture5, following the fulfillment of various conditions - indicated in the tender notice for the award of the railway service in the Emilia Romagna Region - that will determine its operational capacity in the market. These conditions consist, in particular, of: i. obtaining the railway license issued by the Ministry of Infrastructure and Transport, pursuant to Article 7 of Legislative Decree No. 112/2015; ii. obtaining the safety certificate issued by the National Agency for Railway Safety (“ANSF”) pursuant to Article 14 of Legislative Decree No. 162/2007; iii. obtaining certifications for the quality management system UNI EN ISO 9001:2008, the occupational health and safety management system OHSAS 18001:2007, and the environmental management system compliant with the UNI EN ISO 14001:2004 standard; iv. acquiring the assets necessary for the management of the service, according to the quantities, methods, and terms indicated in the tender documentation. SFP has proceeded to request the issuance of all the aforementioned authorizations6, the obtaining of which will mark, simultaneously with the start of transport services from January 1, 20197, the transition of the consortium company to a “full-fledged” joint venture, over which the parent companies will exercise joint control. Although the absolute majority of the shares of the consortium company is held by Trenitalia, in fact, the shareholders' agreements, signed on December 11, 2017, by the parent companies, provide that strategic decisions regarding the management of the company be made by mutual agreement between the Parties.</w:t>
      </w:r>
    </w:p>
    <w:p>
      <w:r>
        <w:t>III. QUALIFICATION OF THE OPERATION</w:t>
      </w:r>
    </w:p>
    <w:p>
      <w:r>
        <w:t>5. The communicated operation, as it involves the establishment of a “full-fledged” joint venture, jointly controlled by the parent companies, constitutes a concentration pursuant to Article 5, paragraph 1, letter c), of Law No. 287/908. Furthermore, the communicated operation falls within the scope of application of Law No. 287/90, as the conditions set out in Article 1 of EC Regulation No. 139/04 do not apply, since, although exceeding the thresholds set by the same, the interested companies generate more than two-thirds of their total revenue within the Community in a single Member State. 5. The operation is also subject to the obligation of prior notification provided for by Article 16, paragraph 1, of the same Law, as the total revenue generated in the last financial year at the national level by the group of interested companies exceeded 495 million euros and that generated at the national level by both interested companies exceeded 30 million euros.</w:t>
      </w:r>
    </w:p>
    <w:p>
      <w:r>
        <w:t>TPER, the mandating company; the award became fully effective and was communicated on the subsequent August 24, 2015.</w:t>
      </w:r>
    </w:p>
    <w:p>
      <w:r>
        <w:t>5 See Consolidated Communication from the Commission on the criteria for jurisdictional competence pursuant to EC Regulation No. 139/2004 of the Council concerning the control of concentrations between enterprises (2008/C 95/01).</w:t>
      </w:r>
    </w:p>
    <w:p>
      <w:r>
        <w:t>6 At present, the first condition is satisfied, as on February 2, 2018, the competent office of the MIT issued license No. 25/N, while the fulfillment of the other three conditions is expected by the end of December 2018.</w:t>
      </w:r>
    </w:p>
    <w:p>
      <w:r>
        <w:t>7 It should be noted that the expiration of the current public service contract awarded to CTI - Integrated Transport Consortium is set for December 31, 2018.</w:t>
      </w:r>
    </w:p>
    <w:p>
      <w:r>
        <w:t>8 See Consolidated Communication from the Commission on the criteria for jurisdictional competence pursuant to EC Regulation No. 139/2004 of the Council concerning the control of concentrations between enterprises (2008/C 95/01).</w:t>
      </w:r>
    </w:p>
    <w:p>
      <w:r>
        <w:rPr>
          <w:b/>
        </w:rPr>
        <w:t>[Pages 46–48]</w:t>
      </w:r>
    </w:p>
    <w:p>
      <w:r>
        <w:t>BULLETIN NO. 49 OF DECEMBER 31, 2018</w:t>
      </w:r>
    </w:p>
    <w:p>
      <w:r>
        <w:t>IV. ASSESSMENT OF THE CONCENTRATION</w:t>
      </w:r>
    </w:p>
    <w:p>
      <w:r>
        <w:t>The relevant market</w:t>
      </w:r>
    </w:p>
    <w:p>
      <w:r>
        <w:t>6. The transaction under examination concerns the provision of regional public railway passenger transport services in Emilia Romagna.</w:t>
      </w:r>
    </w:p>
    <w:p>
      <w:r>
        <w:t>7. Based on the established orientation of the Authority9, from a product perspective, regional public railway passenger transport has characteristics that identify it as a distinct product market compared to other modes of local public transport. The demand for this type of transport is represented by users who express continuous mobility needs - on specific routes located in a more or less circumscribed geographical area, during certain time slots on weekdays (commuter transport of students and workers) - as well as occasional mobility needs on secondary routes.</w:t>
      </w:r>
    </w:p>
    <w:p>
      <w:r>
        <w:t>8. From a geographical perspective, based on the Authority's precedents10, within the TPL, the relevant markets are identified with the traffic basins in relation to which the competent Authorities award the services.</w:t>
      </w:r>
    </w:p>
    <w:p>
      <w:r>
        <w:t>9. For the purposes of this operation, the relevant geographical market is represented by the user basin identified by the public service contract signed by FER and SFP on June 29, 2016, following the tender. This contract governs the provision of public passenger transport services by rail under the jurisdiction of the Emilia-Romagna Region (including traffic routes located in the territory of other neighboring regions but under the jurisdiction of the Emilia-Romagna Region) and the substitute bus services, according to the objectives and conditions indicated in the tender documentation and the offer submitted by the successful bidder.</w:t>
      </w:r>
    </w:p>
    <w:p>
      <w:r>
        <w:t>10. In particular, the basin of passenger railway transport services entrusted to SFP coincides with the entire regional basin of railway services, whether provided on the national network (under the jurisdiction of Rete ferroviaria Italiana S.p.A.) or on the regionally owned network (managed by FER).</w:t>
      </w:r>
    </w:p>
    <w:p>
      <w:r>
        <w:t>V. EFFECTS OF THE CONCENTRATION OPERATION</w:t>
      </w:r>
    </w:p>
    <w:p>
      <w:r>
        <w:t>11. The local public transport service for passengers by rail under the jurisdiction of the Emilia-Romagna Region is currently managed by CTI – a consortium established by Trenitalia and TPER – under the public service contract signed on March 31, 2008, following a tender procedure issued by the same Region (tender published in the Official Journal of the European Union on April 8, 2005)11. The current market structure thus provides for the presence of CTI as the manager of the services in question until the expiration of the related service contract on December 31, 2018, or until the start of the services entrusted to SFP.</w:t>
      </w:r>
    </w:p>
    <w:p>
      <w:r>
        <w:t>12. As of January 1, 2019, SFP will assume the role of sole manager of public railway passenger transport services as well as the substitute bus services under the jurisdiction of the Emilia-Romagna Region, as identified within the public service contract signed on June 29, 2016, following the award of the public tender procedure issued by FER (tender published in the Official Journal of the European Union on October 5, 2013). The public service contract has a duration of fifteen years from the date of commencement of the service, unless an extension for a maximum of 7 years and six months occurs, upon the occurrence of a series of conditions, which are listed in the "Specifications" in the Invitation Letter.</w:t>
      </w:r>
    </w:p>
    <w:p>
      <w:r>
        <w:t>13. In relation to the case at hand, it should be noted that, in line with national and community regulations in this area, the Emilia Romagna Region, in exercising its prerogatives and competences, resorted, both in 2005 and in 2013, to competitive procedures for the selection of the exclusive manager of local public passenger services by rail and those substitute services, thereby ensuring the contestability of market access - i.e., competition for the market - as the only instrument of competition among potentially interested operators.</w:t>
      </w:r>
    </w:p>
    <w:p>
      <w:r>
        <w:t>14. In light of the above considerations, the notified operation does not appear to produce any adverse effects on competition.</w:t>
      </w:r>
    </w:p>
    <w:p>
      <w:r>
        <w:t>CONSIDERED, therefore, that the operation under examination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provision will be published in the Bulletin of the Antitrust Authority.</w:t>
      </w:r>
    </w:p>
    <w:p>
      <w:r>
        <w:t>THE SECRETARY GENERAL THE PRESIDENT pro tempore</w:t>
        <w:br/>
        <w:t>Filippo Arena Gabriella Muscolo</w:t>
      </w:r>
    </w:p>
    <w:p>
      <w:r>
        <w:rPr>
          <w:b/>
        </w:rPr>
        <w:t>[Pages 49–51]</w:t>
      </w:r>
    </w:p>
    <w:p>
      <w:r>
        <w:t>BULLETIN NO. 49 OF DECEMBER 31, 2018 51</w:t>
      </w:r>
    </w:p>
    <w:p>
      <w:r>
        <w:t>ACTIVITY OF REPORTING AND CONSULTATION</w:t>
      </w:r>
    </w:p>
    <w:p>
      <w:r>
        <w:t>AS1551 - OBSTACLES IN THE INSTALLATION OF MOBILE TELECOMMUNICATIONS AND BROADBAND WIRELESS ACCESS SYSTEMS AND THE DEVELOPMENT OF TELECOMMUNICATION NETWORKS IN 5G TECHNOLOGIES</w:t>
      </w:r>
    </w:p>
    <w:p>
      <w:r>
        <w:t>Rome, December 21, 2018</w:t>
      </w:r>
    </w:p>
    <w:p>
      <w:r>
        <w:t>Senate of the Republic</w:t>
      </w:r>
    </w:p>
    <w:p>
      <w:r>
        <w:t>Chamber of Deputies</w:t>
      </w:r>
    </w:p>
    <w:p>
      <w:r>
        <w:t>Presidency of the Council of Ministers</w:t>
      </w:r>
    </w:p>
    <w:p>
      <w:r>
        <w:t>Ministry of Economic Development</w:t>
      </w:r>
    </w:p>
    <w:p>
      <w:r>
        <w:t>Unified Conference State-Regions, Cities and Local Autonomies</w:t>
      </w:r>
    </w:p>
    <w:p>
      <w:r>
        <w:t>President of the Abruzzo Region</w:t>
      </w:r>
    </w:p>
    <w:p>
      <w:r>
        <w:t>President of the Autonomous Region Friuli Venezia Giulia</w:t>
      </w:r>
    </w:p>
    <w:p>
      <w:r>
        <w:t>President of the Lombardy Region</w:t>
      </w:r>
    </w:p>
    <w:p>
      <w:r>
        <w:t>President of the Marche Region</w:t>
      </w:r>
    </w:p>
    <w:p>
      <w:r>
        <w:t>President of the Autonomous Valley of Aosta</w:t>
      </w:r>
    </w:p>
    <w:p>
      <w:r>
        <w:t>President of the Autonomous Province of Bolzano</w:t>
      </w:r>
    </w:p>
    <w:p>
      <w:r>
        <w:t>President of the Autonomous Province of Trento</w:t>
      </w:r>
    </w:p>
    <w:p>
      <w:r>
        <w:t>National Association of Italian Municipalities</w:t>
      </w:r>
    </w:p>
    <w:p>
      <w:r>
        <w:t>The Authority, in its meeting on December 12, 2018, decided to send, pursuant to Article 21 of Law October 10, 1990, No. 287, a report regarding the obstacles to the installation of mobile telecommunications and broadband wireless access systems present in local (municipal and provincial), regional, and national regulations. This particularly concerns local or regional regulatory provisions that impose limits and prohibitions on the installation of telecommunications systems or establish administrative authorization procedures for installations that deviate from what is provided for by the state regulatory framework.</w:t>
      </w:r>
    </w:p>
    <w:p>
      <w:r>
        <w:t>Such obstacles unjustifiably restrict competition in telecommunications markets and risk causing significant negative repercussions on the levels of service provided to consumers and businesses, as well as on Italy's competitiveness compared to other countries. The competitive issues arising from these restrictions are set to intensify during the current transition phase to 5G technologies, which risks experiencing a slowdown, undermining the commitment that Italy has made regarding 5G technologies, moving ahead of other European countries in the allocation of frequencies.</w:t>
      </w:r>
    </w:p>
    <w:p>
      <w:r>
        <w:t>52 BULLETIN NO. 49 OF DECEMBER 31, 2018</w:t>
      </w:r>
    </w:p>
    <w:p>
      <w:r>
        <w:t>In particular, the mobile telecommunications market in Italy has seen the entry of several operators, both infrastructure-based and virtual, which have increased the services provided in recent years, thus meeting the mobile connectivity needs of the country. Similarly, broadband wireless access (BWA) services have enabled the connection of disadvantaged areas of the territory, previously not reached by high-speed fixed connections. It therefore appears essential to maintain and expand competition in mobile and fixed telecommunications markets by removing unnecessary obstacles and reducing the costs and timelines of administrative procedures, thereby lowering barriers to entry and discrimination between historical operators and new operators, as well as between pre-existing technologies and new technologies.</w:t>
      </w:r>
    </w:p>
    <w:p>
      <w:r>
        <w:t>The 5G technology represents an opportunity for growth in the country's competitiveness and a factor for raising levels of competition. In fact, this technology will enable the provision of new services that, in addition to interpersonal communications, will affect various industrial sectors, such as energy and utilities, manufacturing, transport, healthcare, agriculture, automation, and financial services. Recent studies estimate that this technology could have an impact on global output of 4-5%1. It follows that it is essential to promote its development by eliminating unjustified and unnecessary restrictions, as well as through the definition of best practices for local administrations aimed at directing their administrative action towards the principles of efficiency and effectiveness.</w:t>
      </w:r>
    </w:p>
    <w:p>
      <w:r>
        <w:t>Directive 2014/61/EU of the European Parliament and of the Council of May 15, 2014, concerning "measures to reduce the costs of installing high-speed electronic communication networks," has highlighted the need to implement policies that allow for the reduction of installation costs for broadband across the entire territory of the Union, also through proper planning, correct coordination, and the reduction of administrative burdens2. In fact, a significant portion of these costs is attributable to inefficiencies in the process of laying infrastructure (for example, installations of antennas, towers, and other support structures), to delays related to the coordination of civil works, and to cumbersome administrative procedures for issuing authorizations, which pose significant financial obstacles, particularly in rural areas.</w:t>
      </w:r>
    </w:p>
    <w:p>
      <w:r>
        <w:t>Article 7 of the aforementioned Directive, in particular, provides that the competent authorities shall grant or refuse authorizations within four months from the date of receipt of a complete authorization request. Furthermore, the Directive identifies other tools to be implemented in the authorization process, such as the establishment of a "single window" and the provision of minimum information that must be made available to telecommunications operators.</w:t>
      </w:r>
    </w:p>
    <w:p>
      <w:r>
        <w:t>The regulatory framework</w:t>
      </w:r>
    </w:p>
    <w:p>
      <w:r>
        <w:t>In order to analyze the critical issues encountered in the installation activities of mobile telecommunications systems, it is necessary to first examine the national regulatory framework, derived from European legislation, as well as the established jurisprudential principles in the matter.</w:t>
      </w:r>
    </w:p>
    <w:p>
      <w:r>
        <w:t>Legislative Decree No. 259 of August 1, 2003, containing the "Code of Electronic Communications," in Articles 87 et seq., aimed to promote a uniform and consistent application of the authorization regime for mobile telecommunications systems throughout the national territory, defining the methods and timelines of the authorization procedure, as well as the administrations responsible for issuing the authorizations.</w:t>
      </w:r>
    </w:p>
    <w:p>
      <w:r>
        <w:t>1 See IHS, 2017, The 5G economy: How 5G technology will contribute to the global economy.</w:t>
        <w:br/>
        <w:t>2 See Directive 2014/61/EU of the European Parliament and of the Council, of May 15, 2014, concerning measures to reduce the costs of installing high-speed electronic communication networks, OJ [2014] L155/1, recital No. 4.</w:t>
      </w:r>
    </w:p>
    <w:p>
      <w:r>
        <w:t>BULLETIN NO. 49 OF DECEMBER 31, 2018 53</w:t>
      </w:r>
    </w:p>
    <w:p>
      <w:r>
        <w:t>The Code of Electronic Communications qualifies telephone systems as "primary urbanization works" (Article 86, paragraph 3) and recognizes their nature of public utility (Article 90). In this sense, the jurisprudence has also expressed itself, recognizing that the installation on the territory does not constitute a private interest of the companies, but a precise primary interest of the community: "primary urbanization works, as such, are generally compatible with any urban planning destination and, therefore, with every area of the municipal territory, emphasizing that the provision of Article 86, paragraph 3, of Legislative Decree No. 259/1993 has thus highlighted the principle of the necessary capillarity of the localization of the systems related to public communication networks infrastructure"3.</w:t>
      </w:r>
    </w:p>
    <w:p>
      <w:r>
        <w:t>Secondly, regarding the characteristics of the authorization process, the Code of Electronic Communications: i) introduces the institution of "tacit consent," with the aim of defining certain response times from the Public Administrations; ii) establishes forms of simplification for the installation of low-power telecommunications systems; and iii) provides for a simplified procedure for non-substantial modifications of the transmission characteristics of the systems for mere maintenance or simple modernization of the same4. Furthermore, Article 35, paragraphs 4 and 4-bis, of Decree-Law No. 98 of July 6, 2011, converted with amendments by Law No. 111 of July 15, 2011, establishes further simplification provisions for certain categories of emitting systems5.</w:t>
      </w:r>
    </w:p>
    <w:p>
      <w:r>
        <w:t>The measures regarding compliance with electromagnetic emissions are instead governed by Law No. 36 of February 22, 2001, containing the "Framework Law on the protection from exposure to electric, magnetic, and electromagnetic fields" (hereinafter also "Framework Law") and by the D.P.C.M. of July 8, 2003, containing "Setting the exposure limits, attention values, and quality objectives for the protection of the population from exposure to electric, magnetic, and electromagnetic fields."</w:t>
      </w:r>
    </w:p>
    <w:p>
      <w:r>
        <w:t>3 See Council of State, ruling of August 1, 2017, No. 3853.</w:t>
        <w:br/>
        <w:t>4 In detail, Articles 87 et seq. of the Code of Electronic Communications establish that the installation of transmission infrastructures for electronic communications and the modification of their emission characteristics are subject to the issuance of authorization by the competent local authorities, following verification by the Regional Environmental Protection Agencies (ARPA/ARTA) regarding the compatibility of the system with the limits on electromagnetic emissions.</w:t>
      </w:r>
    </w:p>
    <w:p>
      <w:r>
        <w:t>Article 87 of the Code of Electronic Communications provides, in summary, that the municipal authorization is granted following a procedure initiated by the submission, to the territorially competent offices of the Municipality and the ARPA, of a request accompanied by a series of documents and information aimed at certifying the compliance of the system with the various applicable obligations. Such request is deemed accepted if no denial has been communicated by the Municipality or a negative opinion by the ARPA within the subsequent 90 days. Simplified procedures for certain cases (for example, installation or modification of systems with certain characteristics) are established by Article 87-bis of the Code of Electronic Communications, which, in the case of installation or modification of devices for the transmission of UMTS/3G technologies or their evolutions (for example, LTE/4G), has provided for the possibility of submitting a certified notification of the start of activity ("SCIA"), which will have no effect only if, within the subsequent thirty days from its submission, a denial has been communicated by the Municipality or a negative opinion by the ARPA. Finally, Article 87-ter provides that, in the case of modifications to the characteristics of systems already provided with an enabling title, which involve increases in heights not exceeding one meter and increases in the surface area not exceeding 1.5 square meters, a self-certification describing the dimensional variation and compliance with the limits, values, and objectives referred to in Article 87 is sufficient, to be sent simultaneously with the implementation of the intervention to the same bodies that issued the titles.</w:t>
      </w:r>
    </w:p>
    <w:p>
      <w:r>
        <w:t>5 In particular, pursuant to these provisions "In order to facilitate the spread of ultra-broadband in any technology and to reduce the related administrative burdens, installations and modifications, including modifications of the transmission characteristics of the systems referred to in Article 87-bis of the code referred to in Legislative Decree No. 259 of August 1, 2003, of radioelectric systems for point-to-point and point-to-multipoint transmission and of radioelectric systems for access to public communication networks with a maximum power in a single antenna of less than or equal to 10 watts and with a radiating surface area not exceeding 0.5 square meters [...] For the same purposes indicated in paragraph 4, the installation and activation of network devices characterized by a maximum transmitted power in uplink of less than or equal to 100 mW, and by a maximum power at the antenna connector, in downlink, of less than or equal to 5 W, and having a physical footprint not exceeding 20 liters, may be carried out without any communication to the local authority and to the bodies competent to carry out the controls referred to in Article 14 of Law No. 36 of February 22, 2001."</w:t>
      </w:r>
    </w:p>
    <w:p>
      <w:r>
        <w:rPr>
          <w:b/>
        </w:rPr>
        <w:t>[Pages 52–54]</w:t>
      </w:r>
    </w:p>
    <w:p>
      <w:r>
        <w:t>BULLETIN NO. 49 OF DECEMBER 31, 2018</w:t>
      </w:r>
    </w:p>
    <w:p>
      <w:r>
        <w:t>electromagnetic fields generated at frequencies between 100 kHz and 300 GHz.” The Framework Law, in particular, establishes the competencies of the different levels of government6 and regulates, in Article 7, the establishment of the national register of fixed and mobile sources of electric, magnetic, and electromagnetic fields, which operates in coordination with the regional registers referred to in Article 8, paragraph 1, letter d), of the same law.</w:t>
      </w:r>
    </w:p>
    <w:p>
      <w:r>
        <w:t>Finally, the D.P.C.M. of July 8, 2003, in execution of the aforementioned Framework Law, establishes: the scope of application (Article 1) – which concerns electromagnetic fields generated by fixed sources with frequencies between 100 kHz and 300 GHz, with the exception of sources not attributable to fixed telecommunications and broadcasting systems (to which the restrictions of the Recommendation of the Council of July 12, 19997 apply) and radar systems and pulsed exposures (to which a different D.P.C.M. applies) – the units of measurement (Article 2), the exposure limits and attention values (Article 3), the quality objectives (Article 4), the rules regarding multiple exposures (Article 5), the definition of measurement and detection techniques for exposure levels (Article 6).</w:t>
      </w:r>
    </w:p>
    <w:p>
      <w:r>
        <w:t>The main critical issues identified at the municipal, provincial, and regional levels</w:t>
      </w:r>
    </w:p>
    <w:p>
      <w:r>
        <w:t>The analysis of the procedures regulating the installation of telecommunications systems has revealed several competitive criticalities, arising from local (municipal and provincial) or regional regulations, which have the effect of slowing down or hindering the realization of mobile telecommunications networks and fixed wireless access, resulting in incomplete coverage, increasing administrative costs, and causing discrimination between historical operators and new operators, as well as between pre-existing technologies and new technologies. In this regard, it is also noted that the Authority has, on multiple occasions, recognized the importance of proper administrative action in order to promote the technological infrastructure of the country8.</w:t>
      </w:r>
    </w:p>
    <w:p>
      <w:r>
        <w:t>6 The State exercises (Article 1) the functions related to: “a) the determination of exposure limits, attention values, and quality objectives [...]; c) the establishment of the national register of fixed and mobile sources of electric, magnetic, and electromagnetic fields and the affected territorial areas, in order to detect the levels of fields present in the environment; [...] e) the identification of measurement and detection techniques for electromagnetic pollution; [...] h) the determination of parameters for the prediction of buffer zones for power lines; within such buffer zones, no buildings for residential, school, health, or other uses that involve a stay of no less than four hours are permitted.”</w:t>
      </w:r>
    </w:p>
    <w:p>
      <w:r>
        <w:t>The Regions are responsible (Article 8, paragraphs 1-5), “in compliance with exposure limits, attention values, and quality objectives as well as the criteria and methods established by the State, without prejudice to the competencies of the State and independent authorities: a) the exercise of functions related to the identification of transmission sites and facilities for mobile telephony, radioelectric systems, and broadcasting systems, pursuant to Law No. 249 of July 31, 1997, and in compliance with the decree referred to in Article 4, paragraph 2, letter a), and the principles established by the regulation referred to in Article 5; [...] c) the methods for issuing authorizations for the installation of the systems referred to in this article, in accordance with criteria of administrative simplification, taking into account pre-existing electric, magnetic, and electromagnetic fields; d) the realization and management, in coordination with the national register referred to in Article 4, paragraph 1, letter c), of a register of fixed sources of electric, magnetic, and electromagnetic fields, in order to detect the levels of such fields in the regional territory, with reference to the exposure conditions of the population; [...] 2. In exercising the functions referred to in paragraph 1, letters a) and c), the regions adhere to the principles related to the protection of public health, environmental compatibility, and the needs for environmental and landscape protection. [...] 4. The regions, in the matters referred to in paragraph 1, define the competencies that belong to the provinces and municipalities, in compliance with the provisions of Law No. 249 of July 31, 1997.”</w:t>
      </w:r>
    </w:p>
    <w:p>
      <w:r>
        <w:t>Municipalities (Article 8, paragraph 6) “may adopt a regulation to ensure the correct urban and territorial settlement of the systems and minimize the exposure of the population to electromagnetic fields.”</w:t>
      </w:r>
    </w:p>
    <w:p>
      <w:r>
        <w:t>7 See Recommendation of the Council of July 12, 1999, regarding the limitation of the exposure of the population to electromagnetic fields from 0 Hz to 300 GHz (1999/519/EC) in GUCE July 30, 1999, No. L 199.</w:t>
      </w:r>
    </w:p>
    <w:p>
      <w:r>
        <w:t>8 See, among others, Report of January 31, 2013, pursuant to Article 21 of Law No. 287 of October 10, 1990, case AS1028 – Municipality of San Filippo del Mela (ME) – Regulation for the installation and operation of mobile telephony systems and for transmissions in DVB-H standard, in bulletin No. 11/2013; Reasoned Opinion of October 31, 2017, pursuant to Article 21-bis of Law No. 287 of October 10, 1990, case AS1464 – Exploratory notice for expression of interest from the S. Camillo Forlanini hospital company, in bulletin No. 1/2018.</w:t>
      </w:r>
    </w:p>
    <w:p>
      <w:r>
        <w:t>BULLETIN NO. 49 OF DECEMBER 31, 2018</w:t>
      </w:r>
    </w:p>
    <w:p>
      <w:r>
        <w:t>The first type of criticality arises from the fact that numerous municipal regulations adopted pursuant to Article 8, paragraph 6, of the Framework Law present localization criteria that preclude and/or strongly limit the installation of telecommunications systems in large portions of the municipal territory.</w:t>
      </w:r>
    </w:p>
    <w:p>
      <w:r>
        <w:t>Most municipal regulations, in fact, prescribe localization criteria for the systems that do not take into account the technical needs related to the architecture of the network and the coverage objectives of the service offered by the operators, resulting in disproportionate measures as they do not allow, in many cases, the installation of the systems and, therefore, prevent network coverage. It is not uncommon to find installation bans in large areas of the territory, especially in residential areas, which severely restrict the areas where operators can actually place their systems, thus inhibiting development, if not even the realization of the network itself.</w:t>
      </w:r>
    </w:p>
    <w:p>
      <w:r>
        <w:t>It should be noted that installation bans can lead to an increase in electromagnetic emissions, contradicting the objectives of minimizing exposure. This is because the introduction of additional requirements beyond those provided by national legislation could result in inefficiency of the operators' networks, which translates into the necessity for them to install a greater number of systems to compensate for the impossibility of installing them in certain areas of the Municipality9.</w:t>
      </w:r>
    </w:p>
    <w:p>
      <w:r>
        <w:t>Such restrictions have been deemed illegitimate by both constitutional and administrative jurisprudence, as they translate into an outright ban on installation in large areas of the territory, without any precise and concrete balancing of the different public interests to be protected, in violation of the provisions of Article 86, paragraph 3, of Legislative Decree No. 259/2003, which has assimilated electronic communications systems to primary urbanization works and public utility10.</w:t>
      </w:r>
    </w:p>
    <w:p>
      <w:r>
        <w:t>Moreover, some municipal regulations and some ARPA unjustifiably set limits on electromagnetic emissions and power, in deviation from the limits established by national legislation, thus unjustifiably hindering the installation of telecommunications systems in the territory in question. In this regard, it is noted that the emission values to be respected are set by the D.P.C.M. of July 8, 2003, inspired by principles of minimizing exposures and precaution. Furthermore, in the matter of electromagnetic pollution, the Framework Law exclusively entrusts the determination of “quality objectives” to the State, in order to standardize the levels of protection of human health throughout the national territory and ensure efficient management of telecommunications systems11.</w:t>
      </w:r>
    </w:p>
    <w:p>
      <w:r>
        <w:t>Another critical issue concerns the violation or erroneous application of the authorization procedures provided for by the Code of Communications. In this regard, it should first be noted that – contrary to the objective set by the Code of Communications and the Framework Law to define a specific, unified, simplified authorization process with certain timelines – many municipalities continue to impose on operators the submission of a building permit even though, as provided for by Articles 86 et seq. of the Electronic Communications Code and confirmed by jurisprudence12, the installation of telecommunications systems is not subject to the procedures provided for the issuance of building permits under the Consolidated Text on Building (D.P.R. of June 6, 2001, No. 380).</w:t>
      </w:r>
    </w:p>
    <w:p>
      <w:r>
        <w:t>Moreover, some local regulations prescribe documentation to be attached to applications for the installation of telecommunications systems that is additional and more detailed than that prescribed by the Electronic Communications Code (e.g., sworn appraisal), in contrast not only with the principles, derived from European law, of simplification and non-aggravation of the administrative procedure13, but also with what has been stated by established administrative jurisprudence, according to which the Administration cannot require documents other than those referred to in Annex 13, model A or B of the Electronic Communications Code14.</w:t>
      </w:r>
    </w:p>
    <w:p>
      <w:r>
        <w:t>Finally, administrations often impose the payment of secretarial and/or processing fees, the non-payment of which is a suspensive and/or obstructive reason for the issuance of the necessary authorizations. Such payment requests have been deemed illegitimate by jurisprudence, which has affirmed, both with reference to local regulations and regional laws, the inapplicability of any additional burden compared to those provided by state law for the aforementioned authorization procedures15. This reconstruction is confirmed by the authentic interpretation of paragraph 2 of Article 93 of the Electronic Communications Code, carried out by Article 12, paragraph 3, of Legislative Decree No. 33 of February 15, 2016, which specifies that the provision in question must be interpreted to mean that operators providing electronic communication networks may only be subject to the performances and taxes or fees expressly provided for in paragraph 2 of Article 93 of Legislative Decree No. 259/200316.</w:t>
      </w:r>
    </w:p>
    <w:p>
      <w:r>
        <w:t>Furthermore, additional criticalities arise from the fact that the administrative procedures for authorizing the installation of telecommunications systems are heterogeneous and cumbersome. In particular, with reference to the methods of submitting the authorization application, the forms used are often inconsistent with those provided for by the Electronic Communications Code, the methods of submitting applications are heterogeneous (via PEC, in paper form, through a single desk), and, in some cases, the offices responsible for processing the applications are not identified.</w:t>
      </w:r>
    </w:p>
    <w:p>
      <w:r>
        <w:t>12 See, among others, TAR Naples, February 10, 2014, No. 922, Council of State, April 21, 2008, No. 1767.</w:t>
      </w:r>
    </w:p>
    <w:p>
      <w:r>
        <w:t>13 See, Constitutional Court, ruling No. 450/2006.</w:t>
      </w:r>
    </w:p>
    <w:p>
      <w:r>
        <w:t>14 See, Council of State, ruling of July 9, 2018, No. 4189; TAR Campania Naples, ruling of March 28, 2008, No. 1630.</w:t>
      </w:r>
    </w:p>
    <w:p>
      <w:r>
        <w:t>15 With reference to secretarial fees and processing fees, “the related imposition conflicts with Article 93, paragraph 2, of Legislative Decree No. 259 of 2003, which prohibits conditioning the issuance of authorizations in the field of telecommunications on economic burdens other than those identified by the state legislator and not falling within the scope of the listing permitted by the Telecommunications Code” (see TAR Pescara No. 511/2013; TAR Cagliari No. 119/2010). The Constitutional Court, with ruling of February 10, 2015, No. 47, declared the constitutional illegitimacy of Article 14 of L.R. Piemonte of August 3, 2004, No. 19, as “the article in question, imposing the payment of expenses for investigative activities for the issuance of authorizations for the installation and modification of telecommunications systems not provided for by state law, conflicts with Article 93 of Legislative Decree No. 259/2003, an expression of a fundamental principle of the matter ‘communication regulation’ and which provides that ‘Public Administrations, Regions, Provinces, and Municipalities cannot impose for the installation of networks for the exercise of electronic communication services, burdens or fees that are not established by law.’”</w:t>
      </w:r>
    </w:p>
    <w:p>
      <w:r>
        <w:t>16 Implementing Directive 2014/61/EU of the European Parliament and of the Council of May 15, 2014, and containing “measures aimed at reducing the costs of installing high-speed electronic communication networks.” Paragraph 3 of Article 12 states: “Article 93, paragraph 2, of Legislative Decree No. 1 of August 2003, No. 259, and subsequent amendments, is interpreted to mean that operators providing electronic communication networks may only be subject to the performances and taxes or fees expressly provided for in paragraph 2 of the same provision.”</w:t>
      </w:r>
    </w:p>
    <w:p>
      <w:r>
        <w:rPr>
          <w:b/>
        </w:rPr>
        <w:t>[Pages 55–57]</w:t>
      </w:r>
    </w:p>
    <w:p>
      <w:r>
        <w:t>BULLETIN NO. 49 OF DECEMBER 31, 2018 57</w:t>
      </w:r>
    </w:p>
    <w:p>
      <w:r>
        <w:t>manage the authorization process. This results in an extension of the administrative procedure times, in violation of the principles of economy and good performance, as well as the objectives set by the Code of Communications. In this regard, the model implemented by the Sardinia Region is appreciated, which provides that authorization requests be transmitted to the SUAP (Single Desk for Productive Activities) which brings together all the interested administrations that adopt a single provision, ensuring certainty of timing. This model, therefore, appears to be in line with the tools identified by Directive 2014/61/EU. Other virtuous examples are represented by the protocols between operators and local administrations established for the experimentation of 5G, aimed at identifying offices and coordination procedures with other administrations, promoting the use of the real estate assets of local authorities, and creating communication channels that facilitate dialogue with telecommunications operators.</w:t>
      </w:r>
    </w:p>
    <w:p>
      <w:r>
        <w:t>Regarding the activities carried out by the regional ARPAs for verifying compliance with electromagnetic limits, it has been observed that – in some cases – the same ARPAs have authorized existing operators for nominal power values higher than those actually delivered in service; in this way, often, electromagnetic limits are considered saturated even though – when considering the real and not nominal/theoretical value – there would be room for the installation of a system at the same site. Furthermore, in the submission of authorization requests, some ARPAs do not provide information regarding the electromagnetic characteristics and/or technical data sheets of existing systems. For this reason, operators must estimate the electromagnetic field, increasing the probability of error and, therefore, of denial, when the ARPAs already have the complete mapping of existing systems and, therefore, a certain measurement without the need for estimates. In this regard, a virtuous example is that of ARPA Friuli Venezia Giulia, which has created a web platform containing data on the systems of all operators.</w:t>
      </w:r>
    </w:p>
    <w:p>
      <w:r>
        <w:t>The specific critical issues found in the regional regulations and the Autonomous Provinces of Trento and Bolzano</w:t>
      </w:r>
    </w:p>
    <w:p>
      <w:r>
        <w:t>During the examination of the issues related to the installation of telecommunications systems, some critical issues present in the regulatory provisions of certain Regions and the Autonomous Provinces of Trento and Bolzano have also been identified. In particular, regarding the critical issues arising from the discrepancies in the authorization procedures compared to those provided for by national legislation, the following should be noted:</w:t>
      </w:r>
    </w:p>
    <w:p>
      <w:r>
        <w:t>Abruzzo. The Regional Law of December 13, 2004, n. 45, entitled “Rules for the protection of health and the safeguarding of the environment from electromagnetic pollution” in various articles related to the installation and remediation of telecommunications and radiotelevision systems (articles 9-11, 13, 15, 21) provides for the acquisition of an end-procedural opinion from the ASL17, in contrast with the Framework Law that assigns the control of electromagnetic emissions to ARTA Abruzzo. The additional burden results in an extension of the authorization process, in contrast with the aforementioned national and European legislation.</w:t>
      </w:r>
    </w:p>
    <w:p>
      <w:r>
        <w:t>Autonomous Province of Bolzano. The Decree of the President of the Province of November 13, 2013, n. 36, entitled “Regulation on communication infrastructures with retransmission systems”, in articles 10 and 11 provides for authorization procedures that differ from those provided for in articles 87, 87-bis, and 87-ter of the Electronic Communications Code and are more burdensome for operators18.</w:t>
      </w:r>
    </w:p>
    <w:p>
      <w:r>
        <w:t>Autonomous Province of Trento. The Decree of the President of the Province of December 20, 2012, n. 25-100/Leg., entitled “Regulatory provisions concerning protection from exposure to electric, magnetic, and electromagnetic fields generated at frequencies between 100 kHz and 300 GHz (article 61 of provincial law of September 11, 1998, n. 10 and article 5-ter of provincial law of April 28, 1997, n. 9)”, in article 6, presents authorization procedures that differ from those provided for in articles 87, 87-bis, and 87-ter of the Electronic Communications Code and are more burdensome for operators.</w:t>
      </w:r>
    </w:p>
    <w:p>
      <w:r>
        <w:t>Friuli Venezia Giulia. The Regional Law of March 18, 2011, n. 3, entitled “Rules on telecommunications”, in particular article 16, paragraph 6, provides that the municipal council transmits to the Ministry for Cultural Heritage and Activities and its peripheral offices the development plan of the operators' network, if the latter involves cultural assets. However, this should only occur at the time of submitting the authorization request for the individual site, as provided for by Legislative Decree of January 22, 2004, n. 42 (Landscape Code). Therefore, the norm results in the duplication of the clearance by the entities responsible for the protection of cultural assets, which is requested both at the preliminary stage and at the specific intervention stage. In this way, the authorization times are extended, in contrast with the provisions of the Electronic Communications Code and with the objectives defined by article 7 of Directive 2014/61/EU of the European Parliament and of the Council.</w:t>
      </w:r>
    </w:p>
    <w:p>
      <w:r>
        <w:t>Aosta Valley. The Regional Law of November 4, 2005, n. 25, entitled “Regulations for the installation, localization, and operation of radioelectric stations and radiotelecommunication structures. Amendments to regional law of April 6, 1998, n. 11 (Urban planning and territorial planning regulations of Aosta Valley), and repeal of regional law of August 21, 2000, n. 31” provides (article 11, paragraph 3, letter b) for the authorization and opinion of ARPA for all mobile telecommunications systems, including those with power up to 10 Watts, in contrast with article 35, paragraph 4, of Decree Law of July 6, 2011, n. 98, converted with amendments by Law of July 15, 2011, n. 111 (previously cited). This also entails the payment of fees for obtaining the opinion provided for in article 64 of Regional Law n. 221/2015. Furthermore, article 13, paragraph 1, of L.R. of November 4, 2005, n. 25 provides for the use of SCIA only for systems up to 20 Watts, in contrast with article 87-bis of the Electronic Communications Code.</w:t>
      </w:r>
    </w:p>
    <w:p>
      <w:r>
        <w:t>Moreover, other regional regulations provide for restrictions on the installation of telecommunications systems that are stricter than those defined by national legislation, in particular:</w:t>
      </w:r>
    </w:p>
    <w:p>
      <w:r>
        <w:t>Marche. The Regional Law of March 30, 2017, n. 12, entitled “Regional regulations on radioelectric systems for the protection of the environment and health of the population”, in article 10 prohibits “d) the localization of systems for radio and television broadcasting on buildings intended for the presence of people for more than four hours [...]; e) the localization of the systems regulated by this law on properties bound by specific provision pursuant to Part Two of Legislative Decree of January 22, 2004, n. 42 (Code of cultural heritage and landscape, pursuant to article 10 of law of July 6, 2002, n. 137) [...]”. These provisions translate into an absolute prohibition of installation in large territorial areas and, in particular, on all buildings where the presence of people exceeds four hours. This is in contrast with national legislation, which does not prescribe absolute installation prohibitions, but only strict limits on electromagnetic emissions (quality objectives). Consequently, network coverage is not guaranteed, especially with reference to entire urban areas, where almost all buildings are intended for human presence exceeding four hours. Furthermore, these provisions introduce a prohibition on localization on properties subject to the protection of the Landscape Code, in contrast with articles 21 and following of the same code, which provide for specific authorization procedures. Moreover, the law in question does not provide for corrective mechanisms, such as exemptions from the aforementioned prohibitions or the availability of alternative sites for installing the systems. As a result, the norm in question does not guarantee the localization of the systems and network coverage.</w:t>
      </w:r>
    </w:p>
    <w:p>
      <w:r>
        <w:t>Similarly, the Regional Law of May 11, 2001, n. 11 of the Lombardy region, entitled “Rules on environmental protection from exposure to electromagnetic fields induced by fixed telecommunications and radiotelevision systems” in article 4 introduced a prohibition, without any exemptions, on the installation of systems with power exceeding 7W in high-density residential areas; this could prove incompatible with the needs for proper development and planning of the network, not ensuring the provision of telecommunications service and, in some cases, resulting in the installation of a number of systems greater than those that would have been necessary in the absence of such restrictions.</w:t>
      </w:r>
    </w:p>
    <w:p>
      <w:r>
        <w:t>The critical issues related to the national regulatory framework</w:t>
      </w:r>
    </w:p>
    <w:p>
      <w:r>
        <w:t>Regarding the critical issues found in relation to the national regulatory framework, it should be noted that – firstly – it would be desirable to adopt a national guideline in order to standardize the authorization process to be followed in the case of the realization of telecommunications systems, clearly defining the procedures and forms to be used and specifying the provisions that may give rise to interpretative and applicative doubts that determine the aforementioned issues.</w:t>
      </w:r>
    </w:p>
    <w:p>
      <w:r>
        <w:t>Secondly, it is observed that the problems of installing mobile telecommunications systems will be exacerbated with the advent of 5G in relation to the presence of electromagnetic limits that are extremely reduced compared to the average of other European countries, as well as what is established by the Council Recommendation of July 12, 199919 and by the opinion of the International Commission on Non-Ionizing Radiation Protection (ICNIRP20). These limits, in fact, could be incompatible with the installation of 5G telecommunications systems, especially with reference to the quality objective of 6V/m, provided for by D.P.C.M. of July 8, 2003, which is far lower than the limits established by the ICNIRP Commission (ranging from 39V/m to 61V/m) and used by other European countries (for example, France, Germany, the United Kingdom, Spain). Moreover, the D.P.C.M. of July 8, 2003 (article 1) provides that these limits apply exclusively to electromagnetic fields generated by fixed sources, with frequencies between 100 kHz and 300 GHz, excluding sources not attributable to fixed telecommunications and radiotelevision systems.</w:t>
      </w:r>
    </w:p>
    <w:p>
      <w:r>
        <w:t>19 See Council Recommendation of July 12, 1999 on limiting the exposure of the population to electromagnetic fields from 0 Hz to 300 GHz (1999/519/EC) in OJCE July 30, 1999, n. L 199.</w:t>
        <w:br/>
        <w:t>20 International Commission on Non-Ionizing Radiation Protection.</w:t>
      </w:r>
    </w:p>
    <w:p>
      <w:r>
        <w:rPr>
          <w:b/>
        </w:rPr>
        <w:t>[Pages 58–60]</w:t>
      </w:r>
    </w:p>
    <w:p>
      <w:r>
        <w:t>BULLETIN NO. 49 OF DECEMBER 31, 2018</w:t>
      </w:r>
    </w:p>
    <w:p>
      <w:r>
        <w:t>Finally, it is noted that, with reference to the criteria for measuring electromagnetic fields as per the D.P.C.M. of July 8, 2003, the new methodologies for estimating electromagnetic emissions, according to the criteria referred to as IEC 62232:201721, have not yet been adopted. These technical specifications are indeed necessary to take into account the electromagnetic characteristics of certain new types of emitting plants.</w:t>
      </w:r>
    </w:p>
    <w:p>
      <w:r>
        <w:t>Conclusions</w:t>
      </w:r>
    </w:p>
    <w:p>
      <w:r>
        <w:t>In light of the considerations outlined above, the Authority notes that the unjustified obstacles to the installation of mobile telecommunications and broadband wireless access systems previously identified restrict competition in the telecommunications markets with significant repercussions on the levels of service provided to consumers and businesses, as well as on Italy's competitiveness compared to other countries.</w:t>
      </w:r>
    </w:p>
    <w:p>
      <w:r>
        <w:t>These restrictions also have further consequences on the processes of installing new systems, in particular: i) discriminating against new entrants and new technologies; ii) compromising the fulfillment of coverage obligations; and iii) depleting the quality and type of services that can be provided to end consumers and businesses.</w:t>
      </w:r>
    </w:p>
    <w:p>
      <w:r>
        <w:t>It is therefore essential that the existing regulatory framework, at all levels of government, aims to remove unnecessary obstacles and reduce administrative costs and times, in order to maintain and expand levels of competition in mobile and fixed telecommunications markets, as well as to define best practices for local administrations aimed at informing and directing their administrative actions towards the principles of efficiency and effectiveness.</w:t>
      </w:r>
    </w:p>
    <w:p>
      <w:r>
        <w:t>The Authority therefore hopes that all administrations involved in the processes described above will take concrete actions to make the authorization procedure for the installation of telecommunications systems more efficient and effective.</w:t>
      </w:r>
    </w:p>
    <w:p>
      <w:r>
        <w:t>Regarding local (municipal, provincial) and regional regulations, the Authority hopes that the relevant administrations will define their administrative procedures according to the following general guidelines:</w:t>
      </w:r>
    </w:p>
    <w:p>
      <w:r>
        <w:t>- eliminate unjustified restrictions on the installation of telecommunications systems that have also been deemed illegitimate by the constant constitutional and administrative jurisprudence22, such as, by way of example:</w:t>
        <w:br/>
        <w:t>i. generalized installation bans over wide areas, both for all systems and for specific types of systems;</w:t>
        <w:br/>
        <w:t>ii. emission limits that are more restrictive than those provided for by national legislation;</w:t>
        <w:br/>
        <w:t>iii. the establishment of procedures not provided for by national legislation and, specifically, by Articles 87-bis and 87-ter of the Electronic Communications Code and by Article 35, paragraphs 4 and 4-bis, of Decree-Law No. 98 of July 6, 2011, converted with amendments by Law No. 111 of July 15, 2011;</w:t>
        <w:br/>
        <w:t>iv. requests for opinions and certifications not provided for by national legislation;</w:t>
        <w:br/>
        <w:t>v. imposition of economic burdens excluded from national legislation;</w:t>
      </w:r>
    </w:p>
    <w:p>
      <w:r>
        <w:t>21 International Electrotechnical Commission, Determination of RF field strength, power density and SAR in the vicinity of radiocommunication base stations for the purpose of evaluating human exposure.</w:t>
      </w:r>
    </w:p>
    <w:p>
      <w:r>
        <w:t>22 See: Constitutional Court, judgments No. 307/2003 and 331/2003, as well as ex multis Council of State judgments No. 3891/2017, 3853/2017, 2073/2017, 1361/2014, 3282/2010, 1767/2008, 3156/2007, 3452/2006, 3098/2002; Constitutional Court, judgment No. 47/2015; TAR Pescara No. 511/2013; TAR Cagliari No. 119/2010.</w:t>
      </w:r>
    </w:p>
    <w:p>
      <w:r>
        <w:t>BULLETIN NO. 49 OF DECEMBER 31, 2018</w:t>
      </w:r>
    </w:p>
    <w:p>
      <w:r>
        <w:t>vi. imposition of asymmetric and discriminatory obligations that apply only to new installations, with prejudicial effects on new operators and new technologies;</w:t>
      </w:r>
    </w:p>
    <w:p>
      <w:r>
        <w:t>- make available to telecommunications operators all information regarding installed systems and their characteristics/technical data sheets, indicating actual and not nominal technical data, as well as information regarding areas where the location of systems is possible;</w:t>
      </w:r>
    </w:p>
    <w:p>
      <w:r>
        <w:t>- provide mechanisms that allow for the location of telecommunications systems, which have the quality of primary urbanization works, also through mechanisms for derogation from the criteria for the location of systems and mechanisms for proposing alternative sites. Furthermore, it is considered desirable that local regulations identify exclusively preferential criteria for location and not, contrary to what has been found in practice, obligations and limits on location;</w:t>
      </w:r>
    </w:p>
    <w:p>
      <w:r>
        <w:t>- provide mechanisms for simplifying the authorization procedures for the installation of systems, with the provision of a single desk through which all applications can be processed, identifying coordination roles among the offices of the same administration and among different administrations, also using for this purpose the institution of the conference of services referred to in Articles 14 et seq. of Law No. 241 of August 7, 1990, and tools such as memoranda of understanding between administrations and telecommunications operators.</w:t>
      </w:r>
    </w:p>
    <w:p>
      <w:r>
        <w:t>Moreover, in relation to individual cases, the Authority reserves the right to use the powers referred to in Article 21-bis of Law No. 287 of October 10, 1990, in order to request the removal of any unjustified restrictions that may negatively impact competitive dynamics.</w:t>
      </w:r>
    </w:p>
    <w:p>
      <w:r>
        <w:t>It is also hoped that the Regions of Abruzzo, Friuli Venezia Giulia, Marche, Lombardy, and Aosta Valley, as well as the Autonomous Provinces of Trento and Bolzano, will remove the specific restrictions identified, following the aforementioned general guidelines.</w:t>
      </w:r>
    </w:p>
    <w:p>
      <w:r>
        <w:t>Regarding national legislation, the Authority hopes that Parliament will adopt measures to simplify the authorization process for the installation of small cells, also considering the outcomes of the process for adopting implementation measures, initiated by the European Commission on November 6, 2018, concerning “Light deployment regime for small-area wireless access points”23 and that the Government and the Ministry of Economic Development will enhance and fully operationalize the SINFI tool (infrastructure registry), in order to provide the necessary information for the installation of systems, the availability of information regarding the location of systems, and their technical characteristics24. Finally, it is hoped that a review, with the assistance of the competent scientific commissions, such as the Higher Institute of Health, the World Health Organization, and the International Commission on Non-Ionizing Radiation Protection, will be conducted regarding the validity of the current electromagnetic limits and measurement standards, as provided for by the D.P.C.M. of July 8, 2003, in light of new technologies and new tools being adopted.</w:t>
      </w:r>
    </w:p>
    <w:p>
      <w:r>
        <w:t>23 https://ec.europa.eu/info/law/better-regulation/initiatives/ares-2018-5660684.</w:t>
      </w:r>
    </w:p>
    <w:p>
      <w:r>
        <w:t>24 In this regard, it is believed that a best practice could be the web platform of ARPA Friuli Venezia Giulia.</w:t>
      </w:r>
    </w:p>
    <w:p>
      <w:r>
        <w:t>This report will be published in the Bulletin referred to in Article 26 of Law No. 287/90.</w:t>
      </w:r>
    </w:p>
    <w:p>
      <w:r>
        <w:t>THE PRESIDENT f.f.</w:t>
        <w:br/>
        <w:t>Gabriella Muscolo</w:t>
      </w:r>
    </w:p>
    <w:p>
      <w:r>
        <w:rPr>
          <w:b/>
        </w:rPr>
        <w:t>[Pages 61–63]</w:t>
      </w:r>
    </w:p>
    <w:p>
      <w:r>
        <w:t>BULLETIN NO. 49 OF DECEMBER 31, 2018 63</w:t>
      </w:r>
    </w:p>
    <w:p>
      <w:r>
        <w:t>AS1553 - 2019 BUDGET LAW - OBSERVATIONS REGARDING ARTICLES 41-BIS AND 51 OF BILL AC 1334</w:t>
      </w:r>
    </w:p>
    <w:p>
      <w:r>
        <w:t>Rome, December 13, 2018</w:t>
      </w:r>
    </w:p>
    <w:p>
      <w:r>
        <w:t>Senate of the Italian Republic</w:t>
      </w:r>
    </w:p>
    <w:p>
      <w:r>
        <w:t>Chamber of Deputies</w:t>
      </w:r>
    </w:p>
    <w:p>
      <w:r>
        <w:t>The Antitrust Authority, in its meeting of December 12, 2018, intended to make some considerations, pursuant to Article 22 of Law No. 287 of October 10, 1990, regarding the competitive and consumer protection issues arising from the provisions contained in Article 41-bis, concerning "Health Advertising," and in Article 51, titled "Amendment to the Consolidated Text on Publicly Held Companies, pursuant to Legislative Decree No. 175 of August 19, 2016," of Bill AC 1334 of October 31, 2018 (2019 Budget Law).</w:t>
      </w:r>
    </w:p>
    <w:p>
      <w:r>
        <w:t>On Article 41-bis concerning health advertising</w:t>
      </w:r>
    </w:p>
    <w:p>
      <w:r>
        <w:t>According to Article 41-bis of Bill AC 1334, "Informative communications by private healthcare facilities and by members of the registers of the Orders of health professions referred to in Chapter II of Law No. 3 of January 11, 2018, regardless of the legal form in which they carry out their activities, including the companies referred to in Article 1, paragraph 153, Law No. 124 of August 4, 2017, may contain only the information referred to in Article 2, paragraph 1, of Decree-Law No. 223 of July 4, 2006 (...), functional to ensuring the safety of healthcare treatments, excluding any promotional or suggestive elements, in respect of the free and informed decision of the patient, for the protection of public health, the dignity of the person, and their right to correct health information" (paragraph 1).</w:t>
      </w:r>
    </w:p>
    <w:p>
      <w:r>
        <w:t>"In the event of violation of the provisions on health informative communications referred to in paragraph 1, the territorial health professional orders, also upon notification from their respective Federations, shall proceed disciplinarily against the professionals or companies registered and report such violations to the Authority for Guarantees in Communications for the possible adoption of sanctioning measures within its competence. All private healthcare facilities are required to appoint a health director registered with the competent territorial order for the location of their operational headquarters within one hundred and twenty days from the date of entry into force of this law" (paragraph 2).</w:t>
      </w:r>
    </w:p>
    <w:p>
      <w:r>
        <w:t>The article in question, which therefore applies to all health professions, whether exercised individually or in corporate form, raises critical issues regarding the limits placed on the content of health advertising, the allocation of supervisory responsibilities regarding advertising, as well as the introduction of restrictions on the exercise of the role of health director.</w:t>
      </w:r>
    </w:p>
    <w:p>
      <w:r>
        <w:t>In this regard, the Authority recalls that the possibility for professionals engaged in regulated activities, including in the health sector, to advertise their professional services was introduced by Decree-Law No. 223/062 (the so-called "Bersani reform"), whose Article 2, letter b), although referenced in the provision under examination, repealed the prohibition on informative advertising by intellectual professionals that was previously in force. According to the aforementioned Article 2, letter b), in fact, "in accordance with the community principle of free competition and that of the freedom of movement of persons and services, as well as in order to ensure users an effective ability to choose in exercising their rights and to compare the services offered on the market, from the date of entry into force of this decree, the legislative and regulatory provisions that provide with reference to freelance and intellectual activities: [...] b) the prohibition, even partial, of advertising professional titles and specializations, the characteristics of the service offered, and the price of the services; [...]" (emphasis added). To guarantee the effective liberalization thus introduced, the subsequent paragraph 3 imposed on Orders and Professional Colleges the obligation to adapt their respective codes of ethics to the new principles regarding professional advertising.</w:t>
      </w:r>
    </w:p>
    <w:p>
      <w:r>
        <w:t>The liberalization process continued with the entry into force of Decree-Law No. 138 of August 13, 2011 (converted into Law No. 148 of September 14, 2011), Law No. 183 of November 12, 2011 (2012 Stability Law), Decree-Law No. 201 of December 6, 2011 (the so-called "Save Italy" decree, converted into Law No. 214 of December 22, 2011), Decree-Law No. 1 of January 24, 2012 (liberalization decree or Growth-Italy, converted into Law No. 27 of March 24, 2012), and Presidential Decree No. 137 of August 7, 2012, which reformed the professional orders pursuant to Article 3, paragraph 5, of Decree-Law No. 138/11.</w:t>
      </w:r>
    </w:p>
    <w:p>
      <w:r>
        <w:t>In particular, Article 3, paragraph 5, of the aforementioned Decree-Law No. 138/11 provides a series of guiding principles for the reform of professional orders, stating in letter g) that "informative advertising, by any means, concerning the professional activity, specializations, and professional titles held, the structure of the studio, and the fees for services, is free. The information must be transparent, truthful, correct, and must not be ambiguous, misleading, or denigrating."</w:t>
      </w:r>
    </w:p>
    <w:p>
      <w:r>
        <w:t>Article 4 of Presidential Decree No. 137 of August 7, 2012, implementing the deregulation provided by Law No. 183/11, prescribes in Article 4: "Informative advertising concerning the activities of regulated professions, the specializations, the professional titles related to the profession, the structure of the professional studio, and the fees requested for services is permitted by any means. (paragraph 1). The informative advertising referred to in paragraph 1 must be functional to the object, truthful and correct, must not violate the obligation of professional secrecy, and must not be ambiguous, misleading, or denigrating (paragraph 2). The violation of the provision of paragraph 2 constitutes a disciplinary offense, in addition to constituting a violation of the provisions of Legislative Decrees No. 206 of September 6, 2005, and No. 145 of August 2, 2007. (paragraph 3)"4.</w:t>
      </w:r>
    </w:p>
    <w:p>
      <w:r>
        <w:t>The above regulatory framework, therefore, clearly defines the limits of advertising even in the peculiar and delicate health sector, already balancing the general interest of protecting competition with the unavoidable needs of health and consumer protection.</w:t>
      </w:r>
    </w:p>
    <w:p>
      <w:r>
        <w:t>The Authority has welcomed this liberalizing push, which it has supported with multiple advocacy interventions, always highlighting the importance of advertising in competitive dynamics, as a crucial competitive lever, especially for young professionals, interested in accessing and establishing themselves in the provision of professional services. In the specific sector of professions, moreover, advertising plays the indispensable role of bridging part of those informational asymmetries that allow consumers to consciously choose the service they need5.</w:t>
      </w:r>
    </w:p>
    <w:p>
      <w:r>
        <w:t>The Authority believes that the regulation referred to in Article 41-bis of Bill AC 1334 reintroduces unjustified limitations on the use of advertising in the health professions sector, which had been removed by the aforementioned liberalization interventions.</w:t>
      </w:r>
    </w:p>
    <w:p>
      <w:r>
        <w:t>In particular, paragraph 1 of Article 41-bis refers to Article 2 of the Bersani Decree to "exclude any promotional or suggestive element," which instead the liberalization provision had intended to legitimize, to the point of requiring that the Codes of Ethics be modified accordingly.</w:t>
      </w:r>
    </w:p>
    <w:p>
      <w:r>
        <w:t>Furthermore, restricting the legitimate content of an "informative communication" solely for the purpose of "ensuring the safety of healthcare treatments," as provided by paragraph 1 of Article 41-bis, renders the advertising tool ineffective and useless. It is noted, first of all, that it is not advertising that guarantees the safety of healthcare treatments, but rather the measures concretely adopted by professionals in the exercise of their activities, measures that are imposed by the sector regulation and by the due professional diligence. Moreover, the aforementioned reference ("to ensure the safety of healthcare treatments"), as a binding parameter for evaluating informative communications, is so vague in its actual application that it generates uncertainty among professionals regarding the legitimacy of using the promotional tool. The formulation of the amendment in question, therefore, undermines the effectiveness of this tool and disincentivizes its use by professionals, potentially exposing them to any disciplinary intervention by the Orders. Therefore, the provision under examination is likely to limit</w:t>
      </w:r>
    </w:p>
    <w:p>
      <w:r>
        <w:t>5 Reference is made to the advocacy interventions Inquiry IC34, The Sector of Professional Orders, in bulletin 9/2009; AS988 of September 28, 2012, and AS 1137 of July 4, 2014, Proposals for competitive reform for the annual law for the market and competition for the years 2013 and 2014, as well as Inquiry IC15, Sector of Orders and Professional Colleges of October 9, 1997; AS316, in bulletin 45/2005, with which the Authority's report on the Liberalization of Professional Services of November 18, 2005, was sent to the Presidents of the Chamber, Senate, and Council of Ministers. In this regard, it is recalled that already in communication No. 2004/83 "Report on competition in professional services," the "European Commission formally requested national governments, competition authorities, professional orders, and national courts to intervene to eliminate those restrictions that prevent the economic system and users in particular from benefiting from the advantages of competition." It has, therefore, described numerous cases of restrictions deemed not "justified by the pursuit of a general interest, which constitute a potential disincentive to seek the best quality-price ratio by professionals and to free choice by consumers. The identified limitations refer to the establishment of minimum prices for professional services, the prohibition of advertising the services offered, numerical parameters for access to the profession, the prohibition of multidisciplinary practices, such as establishing a partnership among professionals or exercising the profession in corporate form. (...). The second prohibition, which is removed, in letter b), is that of advertising professional titles and specializations, the characteristics of the service offered, and the price of the services. The specific aim of this intervention is to promote market transparency and the awareness of different alternatives by users." In this sense, previous interventions by the Authority are also recalled, precisely regarding the application of the previous regulation (Law No. 175/1992) to the health activity of pharmacies, where the Authority noted that "In a market where regulation already imposes many constraints on the exercise of free competition, the possibility of using the advertising tool would represent for operators a means of particular importance to differentiate themselves in the eyes of the consumer" (See the report AS144 of June 11, 1998, Regulation of Pharmaceutical Establishments, in Bulletin No. 23/1998).</w:t>
      </w:r>
    </w:p>
    <w:p>
      <w:r>
        <w:rPr>
          <w:b/>
        </w:rPr>
        <w:t>[Pages 64–66]</w:t>
      </w:r>
    </w:p>
    <w:p>
      <w:r>
        <w:t>BULLETIN NO. 49 OF DECEMBER 31, 2018</w:t>
      </w:r>
    </w:p>
    <w:p>
      <w:r>
        <w:t>66</w:t>
      </w:r>
    </w:p>
    <w:p>
      <w:r>
        <w:t>unjustifiably the recourse to advertising, which, as mentioned, represents one of the most important competitive levers available to professionals.</w:t>
      </w:r>
    </w:p>
    <w:p>
      <w:r>
        <w:t>More generally, considering "informative communications" that present "any promotional or suggestive element" as illegitimate implies, in fact, prohibiting any form of advertising for health professions, going well beyond the parameters of Article 4 of the D.P.R. 137 of August 7, 2012.</w:t>
      </w:r>
    </w:p>
    <w:p>
      <w:r>
        <w:t>According to the Authority, therefore, Article 41-bis, paragraph 1, if approved in the proposed terms, results in an unjustified reversal of trend regarding the important and demanding process of liberalization of the professions described above, and is not justified, nor proportionate to the general interest of protecting consumer safety.</w:t>
      </w:r>
    </w:p>
    <w:p>
      <w:r>
        <w:t>In this regard, Article 41-bis, paragraph 2, in attributing to the Authority for Communications Guarantees a competence to oversee compliance with health information introduces a different set of attributions regarding health informative communications that could lead to a conflicting overlap of competencies between the two Institutions, in violation of the general competence of the Authority to oversee compliance with the provisions introduced in the Consumer Code, in the context of the transposition of Directive 2005/29/EC concerning unfair commercial practices between businesses and consumers.</w:t>
      </w:r>
    </w:p>
    <w:p>
      <w:r>
        <w:t>In this regard, it is recalled that the Italian legislator, with Article 1, paragraph 6, letter a), of Legislative Decree No. 21 of February 21, 2014 (implementation of Directive 2011/83/EU on consumer rights), introduced paragraph 1-bis to Article 27 of the Consumer Code, according to which: “[e]ven in regulated sectors, pursuant to Article 19, paragraph 3, the competence to intervene against the conduct of professionals that constitutes an unfair commercial practice, while respecting the existing regulation, belongs exclusively to the Authority for Competition and the Market, which exercises it based on the powers provided for in this article, having obtained the opinion of the competent Regulatory Authority. The competence of the Regulatory Authorities to exercise their powers in cases of violation of regulations that do not constitute the elements of an unfair commercial practice remains unaffected (..).”</w:t>
      </w:r>
    </w:p>
    <w:p>
      <w:r>
        <w:t>The provision, therefore, reaffirmed that the exclusive competence of the Authority to assess cases of unfair commercial practices exists in all sectors, including regulated ones; a competence recently confirmed by the Court of Justice with the judgment of September 13, 2018 (joined cases C-54/17 and C-55/17)6. Moreover, the founding law of the Authority for Communications Guarantees, based on which Article 41-bis, paragraph 2, attributes to it the competence to address the violations referred to in paragraph 1 of the same article, preserves the competence, in the matter of advertising, attributed by law to different Authorities, such as, primarily, the Authority for Competition and the Market (Article 1, paragraph 6, letter b, no. 3, Law No. 249/1997).</w:t>
      </w:r>
    </w:p>
    <w:p>
      <w:r>
        <w:t>As represented above, the D.P.R. No. 137 of 2012 had correctly attributed to the Authority the competence to oversee compliance with the criteria of transparency and correctness of informative advertising in the health sector, establishing that violations of paragraph 2 of Article 4 of the same D.P.R. constituted “a violation of the provisions of Legislative Decrees of September 6, 2005, No. 206, and August 2, 2007, No. 145. (paragraph 3).”</w:t>
      </w:r>
    </w:p>
    <w:p>
      <w:r>
        <w:t>Finally, paragraph 2 of Article 41-bis requires that the health director of private healthcare facilities be registered with the territorial Order in which the facility operates.</w:t>
      </w:r>
    </w:p>
    <w:p>
      <w:r>
        <w:t>The Authority notes that this provision also constitutes an unjustified restriction of competition in the offering of professional services in the health sector not supported by objective needs of general interest. The provision, in fact, does not appear aimed at ensuring, for example, safer health services to protect consumers. In this regard, it is sufficient to note that access to the health profession (for example, as a dentist or surgeon) occurs following a path and with the acquisition of a degree, as well as a qualification recognized at the national level, also open to citizens of other Member States under the regime of free provision of services. The professional, in fact, once registered with the Register can practice health activities (for example, as a dentist or surgeon) throughout the national territory, in compliance with the regulations in force throughout the territory. Therefore, the rationale underlying the rule that limits the identification of the health director by a private healthcare facility to those registered with the territorial Order in which the facility is located is not clear.</w:t>
      </w:r>
    </w:p>
    <w:p>
      <w:r>
        <w:t>Nor could this provision be justified by the possible need to exercise a more effective supervisory and disciplinary power by the territorial Order of belonging. It is significant in this regard that Article 1, paragraph 153, of Law No. 124/2017, containing the “Annual Law on Competition and the Market,” referred to in the aforementioned Article 41-bis, requires that the health director of facilities that carry out dental activities be “registered with the register of dentists,” without imposing any territorial limitation. Moreover, compared to other protected professions, primarily that of lawyers, registration with the professional order does not depend on the place of actual exercise of the activity.</w:t>
      </w:r>
    </w:p>
    <w:p>
      <w:r>
        <w:t>Therefore, the Authority believes that the new provision, aligning the geographical scope of registration with the Register with that of the exercise of the activity of health director, ends up segmenting the market and results in an unjustified barrier to access and the exercise of the same.</w:t>
      </w:r>
    </w:p>
    <w:p>
      <w:r>
        <w:t>In conclusion, Article 41-bis of the DDL AC 1334 of October 31, 2018 has the effect of removing an entire sector (that of health professions) from the possibility of resorting to advertising leverage, thus limiting competition among health professionals, in the absence of justified imperative reasons of public interest. Furthermore, the rule is not justified from the perspective of consumer protection and violates the provisions of community and national rank that attribute to the Authority the exclusive competence to oversee the correctness and transparency of informative and promotional communications even in the health sector. Finally, the rule introduces unjustified constraints on the exercise of the role of health director.</w:t>
      </w:r>
    </w:p>
    <w:p>
      <w:r>
        <w:t>On Article 51 amending the Consolidated Law on public participation companies</w:t>
      </w:r>
    </w:p>
    <w:p>
      <w:r>
        <w:t>Article 51 of the DDL AC 1334 provides for some amendments to the scope of application of the Consolidated Law on public participation companies (so-called TUSPP7), which appear to severely limit the effectiveness of the reform on public companies, already partly compromised by the numerous exclusions provided for by the same TUSPP and those established through ad hoc derogations.</w:t>
      </w:r>
    </w:p>
    <w:p>
      <w:r>
        <w:t>First of all, the rule authorizes public administrations, required to liquidate shareholdings, not to proceed with it until December 31, 2021, in the case of shareholdings in companies that have produced an average profit in the previous three years8.</w:t>
      </w:r>
    </w:p>
    <w:p>
      <w:r>
        <w:t>7 Legislative Decree of August 19, 2016, No. 175, containing the “Consolidated Law on public participation companies.”</w:t>
      </w:r>
    </w:p>
    <w:p>
      <w:r>
        <w:t>8 In particular, Article 51 provides that, in Article 24 of the TUSPP, paragraph 5-bis is inserted, according to which: “to protect public assets and the value of public shareholdings, until December 31, 2021, the provisions of paragraphs 4 and 5 do not apply in the case where the participating companies have produced an average profit in the three years preceding the review. The public administration that holds the shareholdings is consequently authorized not to proceed with the sale.”</w:t>
      </w:r>
    </w:p>
    <w:p>
      <w:r>
        <w:t>68</w:t>
      </w:r>
    </w:p>
    <w:p>
      <w:r>
        <w:t>This provision thus disapplies, until December 31, 2021, paragraphs 4 (obligation to sell within one year from the extraordinary review) and 5 (prohibition for the public shareholder to exercise social rights and forced liquidation in cash of the shareholdings) of Article 24 of the TUSPP, in the case of participating companies that have achieved a profit in the three years preceding the review. In the presence of such circumstances, the public administration is allowed to maintain the shareholdings even in companies that do not meet the constraints and requirements established by Articles 4, 5, paragraphs 1 and 2, and 20, paragraph 2, of the TUSPP.</w:t>
      </w:r>
    </w:p>
    <w:p>
      <w:r>
        <w:t>The risk of introducing such a rule is that it allows the unjustified maintenance of numerous public shareholdings solely because the companies concerned are not in loss, contrary to the need to rationalize public shareholdings and public spending underlying the reform. By removing the obligation, even if temporarily, to sell shareholdings in companies that record a profit, it is indeed assumed that the only sufficient justification for maintaining the shareholding is the circumstance that the company produces positive results, regardless of its carrying out strictly necessary activities for the pursuit of the institutional purposes of the administration.</w:t>
      </w:r>
    </w:p>
    <w:p>
      <w:r>
        <w:t>It is noted in this regard that maintaining shareholdings in companies that offer services in a free market regime and that are not characterized by achieving a predominant public interest appears, at least in principle, likely to create an undue competitive advantage for operators offering such services and capable of altering the competitive dynamics of the affected sectors9. Commercial activities should therefore be subject to divestiture, as they generally do not fall within the services necessary for the pursuit of the institutional purposes of the public entity.</w:t>
      </w:r>
    </w:p>
    <w:p>
      <w:r>
        <w:t>The provision of Article 51 also clashes with the rationale of the public tender, aimed at allowing the administration to identify the "best" company, that is, the one that most responds to the needs of public interest for the performance of a certain service. In this way, the function of the tender is also unjustifiably reduced, along with the role of competition for the market.</w:t>
      </w:r>
    </w:p>
    <w:p>
      <w:r>
        <w:t>Similar considerations apply to the further provision set forth in Article 51 of the DDL AC 1334, as amended on December 3, 2018, according to which the provisions of the TUSPP do not apply, unless expressly provided otherwise, to listed companies and the companies controlled by them10. The same provisions would therefore apply, differently from what is currently provided, also to companies participated by listed companies that are in turn directly or indirectly participated/controlled by the public administration.</w:t>
      </w:r>
    </w:p>
    <w:p>
      <w:r>
        <w:t>The current version of Article 1, paragraph 5, of the TUSPP, in fact, provides that companies participated by listed companies - which are also controlled or participated by public administrations, not through listed companies - are subject to the scope of application of the TUSPP.</w:t>
      </w:r>
    </w:p>
    <w:p>
      <w:r>
        <w:t>The proposal under examination, therefore, while extending the regulatory discipline of the TUSPP to all companies participated (and not controlled) by listed companies, excludes its scope of application to all</w:t>
      </w:r>
    </w:p>
    <w:p>
      <w:r>
        <w:t>9 As noted by the administrative judge, one of the fundamental postulates for the correct functioning of competition rules is the principle of equal treatment between public and private enterprises; a corollary of this principle is that of the separation between business activities and activities “protected” by public privileges, in order to avoid that the enterprise can utilize the advantages that derive from being considered, for certain purposes, a public administration or from enjoying particular benefits in a different market in which it competes with other economic operators. See Council of State, Advisory Section, opinion No. 968 of March 16, 2016, on the draft legislative decree containing the Consolidated Law on public participation companies.</w:t>
      </w:r>
    </w:p>
    <w:p>
      <w:r>
        <w:t>10 It is indeed provided that “In Article 1, paragraph 5, of Legislative Decree of August 19, 2016, No. 175, the words ‘participated, unless these are, not through listed companies, controlled or participated by public administrations’ are replaced by the following: ‘controlled’.”</w:t>
      </w:r>
    </w:p>
    <w:p>
      <w:r>
        <w:rPr>
          <w:b/>
        </w:rPr>
        <w:t>[Pages 67–69]</w:t>
      </w:r>
    </w:p>
    <w:p>
      <w:r>
        <w:t>BULLETIN NO. 49 OF DECEMBER 31, 2018 69</w:t>
      </w:r>
    </w:p>
    <w:p>
      <w:r>
        <w:t>controlled companies by the listed ones, even if they are participated by the public administration. This exclusion does not seem to find any justification consistent with the principles mentioned above, but appears aimed at creating an additional group of companies not subject to the application of the TUSPP, regardless of the pursuit of the institutional purposes of the entity that participates in them.</w:t>
      </w:r>
    </w:p>
    <w:p>
      <w:r>
        <w:t>In conclusion, both provisions of Article 51 appear to significantly reduce the scope of the TUSPP, conflicting with the process of rationalization of public participations that inspires the entire framework of the Consolidated Text.</w:t>
      </w:r>
    </w:p>
    <w:p>
      <w:r>
        <w:t>In light of the above, the Authority hopes that the considerations expressed above will be adequately taken into account in the continuation of the legislative process for the approval of the bill AC 1334 of October 31, 2018, concerning the “State budget forecast for the financial year 2019 and multi-year budget for the three-year period 2019-2021” (Budget Law 2019).</w:t>
      </w:r>
    </w:p>
    <w:p>
      <w:r>
        <w:t>This opinion will be published in the Bulletin referred to in Article 26 of Law No. 287/90.</w:t>
      </w:r>
    </w:p>
    <w:p>
      <w:r>
        <w:t xml:space="preserve">THE PRESIDENT f.f.  </w:t>
        <w:br/>
        <w:t>Gabriella Muscolo</w:t>
      </w:r>
    </w:p>
    <w:p>
      <w:r>
        <w:t>70 BULLETIN NO. 49 OF DECEMBER 31, 2018</w:t>
      </w:r>
    </w:p>
    <w:p>
      <w:r>
        <w:t xml:space="preserve">UNFAIR TRADE PRACTICES  </w:t>
        <w:br/>
        <w:t xml:space="preserve">PS11264 - MEVOSTORE CLICCATISSIMO - ONLINE SALES  </w:t>
        <w:br/>
        <w:t>Provision No. 27483</w:t>
      </w:r>
    </w:p>
    <w:p>
      <w:r>
        <w:t>THE ANTITRUST AUTHORITY</w:t>
      </w:r>
    </w:p>
    <w:p>
      <w:r>
        <w:t>IN ITS MEETING of December 12, 2018;</w:t>
      </w:r>
    </w:p>
    <w:p>
      <w:r>
        <w:t>HEARD the Rapporteur Professor Michele Ainis;</w:t>
      </w:r>
    </w:p>
    <w:p>
      <w:r>
        <w:t>VIEWED Part II, Title III, and Part III, Title III, Chapter 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procedure;</w:t>
      </w:r>
    </w:p>
    <w:p>
      <w:r>
        <w:t>VIEWED the communication initiating procedure PS11264 of November 29, 2018, aimed at verifying the existence of unfair commercial practices in violation of Articles 20, paragraph 2, 21, paragraph 1, letter b), 24 and 25, letter d), and 49, paragraph 1, letters h), n) and v), 54 and 56 of the Consumer Code;</w:t>
      </w:r>
    </w:p>
    <w:p>
      <w:r>
        <w:t>CONSIDERED the following:</w:t>
      </w:r>
    </w:p>
    <w:p>
      <w:r>
        <w:t>I. FACT</w:t>
      </w:r>
    </w:p>
    <w:p>
      <w:r>
        <w:t>1. According to numerous reports received by the Authority during the period May - November 2018 - both from consumers and their representative associations (Federconsumatori) - and the documentation acquired ex officio for the application of the Consumer Code, the company Cliccatissimo S.r.l.s. (hereinafter, the professional and/or Cliccatissimo and/or the Party) would have engaged in alleged unfair commercial practices consisting of the online offering of products through the website www.mevostore.it/ through the failure to deliver the purchased products and the omission of the refund of the amount paid by the consumer following the cancellation of the order or the exercise of the right of withdrawal.</w:t>
      </w:r>
    </w:p>
    <w:p>
      <w:r>
        <w:t>2. In particular, the professional would have disseminated false information regarding the availability and delivery times of the products offered on its site, posed various difficulties to consumers regarding the exercise of certain contractual rights, as well as violated some of the informational obligations related to the right of withdrawal, the legal guarantee of conformity, and the platform for the extrajudicial resolution of disputes.</w:t>
      </w:r>
    </w:p>
    <w:p>
      <w:r>
        <w:t>3. Based on the information acquired in the documents, on November 29, 2018, the investigative procedure PS11264 was initiated, pursuant to Article 27, paragraph 3, of the Consumer Code, as well as pursuant to Article 6 of the Regulation, in order to verify the existence of unfair commercial practices in violation of Articles 20, paragraph 2, 21, paragraph 1, letter b), 24 and 25, letter d), and 49, paragraph 1, letters h), n) and v), 54 and 56 of the Consumer Code.</w:t>
      </w:r>
    </w:p>
    <w:p>
      <w:r>
        <w:t>4. The parties to the procedure are Cliccatissimo S.r.l.s., in the capacity of professional, and Federconsumatori, in the capacity of notifier.</w:t>
      </w:r>
    </w:p>
    <w:p>
      <w:r>
        <w:t>BULLETIN NO. 49 OF DECEMBER 31, 2018 71</w:t>
      </w:r>
    </w:p>
    <w:p>
      <w:r>
        <w:t>5. Concurrently with the communication initiating the procedure, the professional was invited, pursuant to Article 8, paragraph 2, of the Regulation, to submit written statements and documents within 10 days of receipt, for the evaluation of the prerequisites for the provisional suspension of the practices, pursuant to Article 27, paragraph 3, of the Consumer Code.</w:t>
      </w:r>
    </w:p>
    <w:p>
      <w:r>
        <w:t>6. In summary, the behaviors subject to contestation as “commercial practices” consist of proposing for sale, through its website, certain products indicating them as available, or committing to send them within a certain timeframe, only to subsequently omit their delivery. In several cases, the professional attributes the delay in delivery to generic difficulties and problems arising with logistics and/or due to delays in fulfilling orders, nonetheless offering guarantees regarding the quality of the delivery of the ordered and duly paid products or showing willingness to refund the price paid, only to then fail to comply with what was promised.</w:t>
      </w:r>
    </w:p>
    <w:p>
      <w:r>
        <w:t>7. The notifiers also report that they have not obtained the refund of the price paid due to the non-delivery of the ordered products - even months after the receipt of the order by the professional - despite specific requests for cancellation and/or refund and/or exercise of the right of withdrawal, highlighting the adoption of dilatory techniques consisting of providing their customers with standardized responses that are entirely generic, evasive, and unsatisfactory. Moreover, from the documentation in the records, it appears that the professional proceeds to close the consumer's account in the event that they leave negative reviews (feedback) about the purchasing experience with Cliccatissimo.</w:t>
      </w:r>
    </w:p>
    <w:p>
      <w:r>
        <w:t>Finally, from the examination of the website www.mevostore.it/, it appears that the professional, in the event of withdrawal, provides for particular procedural burdens consisting of the necessity to adopt specific methods for exercising the right imposed by the same, as well as omitting: i) to make available to consumers the standard form for exercising such right; ii) to provide the reminder regarding the legal guarantee of conformity during the online purchasing process; iii) to prepare the link to the platform for the extrajudicial resolution of disputes.</w:t>
      </w:r>
    </w:p>
    <w:p>
      <w:r>
        <w:t>8. The professional has not provided any feedback despite the communication initiating the procedure being duly notified via Certified Email (prot. n. 0079379 of November 29, 2018).</w:t>
      </w:r>
    </w:p>
    <w:p>
      <w:r>
        <w:t>II. EVALUATIONS</w:t>
      </w:r>
    </w:p>
    <w:p>
      <w:r>
        <w:t>9. From the perspective of fumus boni iuris, the elements described above lead to believe that the unfair commercial practices described exist prima facie, in violation of Articles 20, paragraph 2, 21, paragraph 1, letter b), 24 and 25, letter d), and 49, paragraph 1, letters h), n) and v), 54 and 56 of the Consumer Code.</w:t>
      </w:r>
    </w:p>
    <w:p>
      <w:r>
        <w:t>10. Based on the elements acquired, the conduct that appears most relevant consists of the failure to deliver the ordered and paid products which then transforms into the failure to refund consumers who, following a series of reminders and complaints, proceed to cancel the order.</w:t>
      </w:r>
    </w:p>
    <w:p>
      <w:r>
        <w:t>11. In this regard, it is noted that on the professional's site, information is provided that is not true regarding the availability and delivery times of the products marketed there. Furthermore, as evidenced by the multiple reports received, consumers encounter significant obstacles in exercising their contractual rights, particularly the failure to</w:t>
      </w:r>
    </w:p>
    <w:p>
      <w:r>
        <w:t>1 As is known, the procedure for alternative dispute resolution and the bodies that manage it are organically regulated at the community level by Directive EU 2013/11 (ADR Directive) and Regulation 524/2013 on online dispute resolution procedures (ODR Regulation). The Directive and Regulation introduce a coordinated and homogeneous set of rules and procedures for alternative dispute resolution through the use of a single online web platform (https://webgate.ec.europa.eu/odr/) for the entire EU.</w:t>
      </w:r>
    </w:p>
    <w:p>
      <w:r>
        <w:rPr>
          <w:b/>
        </w:rPr>
        <w:t>[Pages 70–72]</w:t>
      </w:r>
    </w:p>
    <w:p>
      <w:r>
        <w:t>BULLETIN NO. 49 OF DECEMBER 31, 2018</w:t>
      </w:r>
    </w:p>
    <w:p>
      <w:r>
        <w:t>refund of amounts paid following the cancellation of the order due to non-delivery and/or the exercise of the right of withdrawal. In such circumstances, the professional does not respond to consumers' requests, adopting dilatory techniques consisting of providing evasive and generic standardized responses.</w:t>
      </w:r>
    </w:p>
    <w:p>
      <w:r>
        <w:t>12. Such conduct could be entirely illegitimate as obstructive and with the effect of significantly limiting the exercise of contractual rights by consumers.</w:t>
      </w:r>
    </w:p>
    <w:p>
      <w:r>
        <w:t>13. Furthermore, based on the reports received, the behavior of the professional is characterized by particular seriousness and unfairness given that he immediately collects, at the moment the consumer places the order, the amount to be paid (mainly via bank transfer) even before shipping the product and, consequently, also in those cases where the product is subsequently unavailable or its availability takes a long time. In such cases, therefore, Cliccatissimo would benefit and profit from the immediate availability of the amount paid by the consumer, shifting the risk of unavailability of the good onto the consumer.</w:t>
      </w:r>
    </w:p>
    <w:p>
      <w:r>
        <w:t>14. From the perspective of periculum in mora, it is worth noting that the aforementioned conduct is characterized by a high degree of offensiveness as the website www.mevostore.it/ is still active and as such capable, during the course of the proceedings, also considering the exponential growth of online sales and the characteristics of the offer advertised by the professional (among others, electronics, IT, home and kitchen products, etc.) to reach a large number of consumers who could purchase the products, pay the price, not receive the goods, and find it particularly difficult and complex to have the amounts paid refunded.</w:t>
      </w:r>
    </w:p>
    <w:p>
      <w:r>
        <w:t>15. In light of all the above, considering the current nature of the described conduct, the website in question appears capable, during the course of the proceedings, of inducing its visitors to make a commercial decision that they otherwise would not take, such as making purchases in the belief that they will receive the purchased products shortly, with the consequence of paying an amount for products that may not be delivered and for which the return of the amounts paid is particularly difficult and complex.</w:t>
      </w:r>
    </w:p>
    <w:p>
      <w:r>
        <w:t>CONSIDERED, therefore, that from the examination of the acts of the proceedings, elements emerge that support the necessity to act with particular urgency in order to prevent the aforementioned commercial practices from continuing to be carried out during the course of the merits proceedings;</w:t>
      </w:r>
    </w:p>
    <w:p>
      <w:r>
        <w:t>ORDERS</w:t>
      </w:r>
    </w:p>
    <w:p>
      <w:r>
        <w:t>pursuant to Article 27, paragraph 3, of the Consumer Code and Article 8, paragraph 1, of the Regulation, that the company Cliccatissimo S.r.l.s.:</w:t>
      </w:r>
    </w:p>
    <w:p>
      <w:r>
        <w:t>a) temporarily suspend any activity aimed at the marketing and sale of unavailable products or otherwise not actually ready for delivery;</w:t>
      </w:r>
    </w:p>
    <w:p>
      <w:r>
        <w:t>b) notify the Authority of the execution of this suspension order and the related methods within ten days of receipt of this order, sending a detailed report outlining the measures adopted.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order will be communicated to the interested parties and published in the Bulletin of the Competition and Market Authority.</w:t>
      </w:r>
    </w:p>
    <w:p>
      <w:r>
        <w:t>Against this order, an appeal may be submitted to the Lazio TAR, pursuant to Article 135, paragraph 1, letter b), of the Administrative Process Code (Legislative Decree of July 2, 2010, No. 104), within sixty days from the date of communication of the order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communication of the order itself.</w:t>
      </w:r>
    </w:p>
    <w:p>
      <w:r>
        <w:t>It is reminded that, pursuant to Article 8, paragraph 4, of the Regulation, this suspension decision must be immediately executed by the professional and that the appeal against the Authority's suspension order does not suspend its execution.</w:t>
      </w:r>
    </w:p>
    <w:p>
      <w:r>
        <w:t>THE SECRETARY GENERAL THE PRESIDENT f.f.</w:t>
        <w:br/>
        <w:t>Filippo Arena Gabriella Muscolo</w:t>
      </w:r>
    </w:p>
    <w:p>
      <w:r>
        <w:t>BULLETIN NO. 49 OF DECEMBER 31, 2018</w:t>
      </w:r>
    </w:p>
    <w:p>
      <w:r>
        <w:t>PS11281 - SOTTOCOSTO.ONLINE/PROMOTIONAL TRADE - VARIOUS ISSUES</w:t>
      </w:r>
    </w:p>
    <w:p>
      <w:r>
        <w:t>Provision No. 27484</w:t>
      </w:r>
    </w:p>
    <w:p>
      <w:r>
        <w:t>THE COMPETITION AND MARKET AUTHORITY</w:t>
      </w:r>
    </w:p>
    <w:p>
      <w:r>
        <w:t>IN ITS MEETING of December 12, 2018;</w:t>
      </w:r>
    </w:p>
    <w:p>
      <w:r>
        <w:t>HEARD the Rapporteur Dr. Gabriella Muscolo;</w:t>
      </w:r>
    </w:p>
    <w:p>
      <w:r>
        <w:t>HAVING REGARD to Part II, Title III, and Part III, Title III, Chapter 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acts of the proceedings;</w:t>
      </w:r>
    </w:p>
    <w:p>
      <w:r>
        <w:t>HAVING REGARD to the communication of the initiation of the PS11281 proceedings of November 29, 2018, aimed at verifying the existence of unfair commercial practices in violation of Articles 20, 24, 25, letters d) and e), 49, paragraph 1 letter h), and 56, paragraph 1, of the Consumer Code, carried out by the companies Promotional Trade S.r.l. and Mega Trade S.r.l.;</w:t>
      </w:r>
    </w:p>
    <w:p>
      <w:r>
        <w:t>CONSIDERED the following:</w:t>
      </w:r>
    </w:p>
    <w:p>
      <w:r>
        <w:t>I. FACT</w:t>
      </w:r>
    </w:p>
    <w:p>
      <w:r>
        <w:t>1. According to reports received by the Authority since October 2018, and some information acquired ex officio for the purposes of applying the Consumer Code, the Parties would have engaged in unfair commercial practices in the online offering of products through the website www.sottocosto.online, through the non-delivery of purchased products and the omission of the refund of the amount paid by the consumer following the cancellation of the order or the exercise of the right of withdrawal.</w:t>
      </w:r>
    </w:p>
    <w:p>
      <w:r>
        <w:t>2. Further checks carried out on the website in question revealed some omissions of the pre-contractual information obligations, which burden professionals in the case of distance negotiated contracts, capable of inducing consumers to make commercial decisions that they otherwise would not have made. In particular, the examination of the general terms and conditions published on the professionals' website allowed for the verification that (i) there is no form for exercising the right of withdrawal; (ii) the methods of communicating the intention to exercise it impose unjustified burdens on consumers (sending registered mail with return receipt "possibly preceded by fax").</w:t>
      </w:r>
    </w:p>
    <w:p>
      <w:r>
        <w:t>3. Based on the information acquired in the acts, on November 29, 2018, the PS11281 investigative proceedings were initiated, pursuant to Article 27, paragraph 3, of the Consumer Code, as well as pursuant to Article 6 of the Regulation, in order to verify the existence of unfair commercial practices in violation of Articles 20, 24, 25, letters d) and e), 49, paragraph 1 letter h), and 56, paragraph 1, of the Consumer Code.</w:t>
      </w:r>
    </w:p>
    <w:p>
      <w:r>
        <w:t>4. The parties to the proceedings, as professionals, are: Promotional Trade S.r.l. and Mega Trade S.r.l.</w:t>
      </w:r>
    </w:p>
    <w:p>
      <w:r>
        <w:t>5. Concurrently with the communication of the initiation of the proceedings, the Parties were invited, pursuant to Article 8, paragraph 2, of the Regulation, to submit written statements and documents within 10</w:t>
      </w:r>
    </w:p>
    <w:p>
      <w:r>
        <w:rPr>
          <w:b/>
        </w:rPr>
        <w:t>[Pages 73–75]</w:t>
      </w:r>
    </w:p>
    <w:p>
      <w:r>
        <w:t>BULLETIN NO. 49 OF DECEMBER 31, 2018 75</w:t>
      </w:r>
    </w:p>
    <w:p>
      <w:r>
        <w:t>days from its receipt, for the evaluation of the conditions for the provisional suspension of the practices, pursuant to Article 27, paragraph 3, of the Consumer Code.</w:t>
      </w:r>
    </w:p>
    <w:p>
      <w:r>
        <w:t>6. In summary, the behaviors subject to contestation as "commercial practices" consist of: i) failure to deliver the purchased products; ii) omission of the refund of the amount paid by the consumer following the cancellation of the order or the exercise of the right of withdrawal; iii) omissions, on the professionals' website, of the pre-contractual information obligations.</w:t>
      </w:r>
    </w:p>
    <w:p>
      <w:r>
        <w:t>7. The professionals did not provide any feedback despite the communication of the initiation of the procedure being correctly notified via Certified Electronic Mail (protocol no. 0079381 of November 29, 2018).</w:t>
      </w:r>
    </w:p>
    <w:p>
      <w:r>
        <w:t>II. ASSESSMENTS</w:t>
      </w:r>
    </w:p>
    <w:p>
      <w:r>
        <w:t>8. From the perspective of fumus boni iuris, the elements described above lead to the conclusion that the commercial practices described exist prima facie, in violation of Articles 20, 24, 25, letters d) and e), 49, paragraph 1 letter h), and 56, paragraph 1, of the Consumer Code, particularly with regard to the conduct that appears quantitatively more significant and consists of the failure to deliver the ordered and paid products, which then transforms into the failure to refund after consumers, following a series of reminders and complaints, proceed to cancel the order. These may constitute entirely illegitimate obstructive behaviors that significantly limit the exercise of contractual rights by consumers.</w:t>
      </w:r>
    </w:p>
    <w:p>
      <w:r>
        <w:t>9. Furthermore, based on the reports, the behavior of the professionals is characterized by particular seriousness and unfairness given that they immediately collect, at the moment the consumer places the order, the amount to be paid, even before shipping the product and, consequently, also in those cases where the product is subsequently unavailable or its availability takes a long time. In such cases, therefore, the professionals would benefit and profit from the immediate availability of the amount paid by the consumer, shifting the risk of unavailability of the good onto the consumer.</w:t>
      </w:r>
    </w:p>
    <w:p>
      <w:r>
        <w:t>10. From the perspective of periculum in mora, it is worth noting that the behaviors described above are characterized by a high degree of offensiveness as the website www.sottocosto.online is still active and, as such, capable, during the course of the procedure, also considering the exponential growth of online sales and the characteristics of the offer advertised by the professionals (among others, electronic devices and appliances, video games, etc.) to reach a large number of consumers who could purchase the products, pay the price, not receive the goods, and find it particularly difficult and complex to have the amounts paid refunded.</w:t>
      </w:r>
    </w:p>
    <w:p>
      <w:r>
        <w:t>11. In light of all the above, considering the current nature of the described behaviors, the website in question appears capable, during the course of the procedure, of inducing its visitors to make a commercial decision that they would not otherwise make, such as making purchases in the belief that they will receive the purchased products shortly, with the consequence of paying an amount for products that may not be delivered and for which the return of the amounts paid is particularly difficult and complex.</w:t>
      </w:r>
    </w:p>
    <w:p>
      <w:r>
        <w:t>CONSIDERED, therefore, that from the examination of the acts of the procedure, elements emerge that support the necessity to act with particular urgency in order to prevent the above-described commercial practices from continuing to be carried out during the course of the merits procedure;</w:t>
      </w:r>
    </w:p>
    <w:p>
      <w:r>
        <w:t>76 BULLETIN NO. 49 OF DECEMBER 31, 2018</w:t>
      </w:r>
    </w:p>
    <w:p>
      <w:r>
        <w:t>ORDERS</w:t>
      </w:r>
    </w:p>
    <w:p>
      <w:r>
        <w:t>pursuant to Article 27, paragraph 3, of the Consumer Code and Article 8, paragraph 1, of the Regulation, that the companies Promotional Trade S.r.l. and Mega Trade S.r.l.: a) temporarily suspend any activity aimed at the marketing and sale of unavailable products or otherwise not actually ready for delivery; b) communicate to the Authority the execution of this suspension order and the related methods within 10 days from the receipt of this order, sending a detailed report illustrating the measures adopted.</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order will be communicated to the interested parties and published in the Bulletin of the Competition and Market Authority.</w:t>
      </w:r>
    </w:p>
    <w:p>
      <w:r>
        <w:t>Against this order, an appeal may be filed with the Lazio TAR, pursuant to Article 135, paragraph 1, letter b), of the Administrative Process Code (Legislative Decree July 2, 2010, no. 104), within sixty days from the date of communication of the order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the term of one hundred and twenty days from the date of communication of the order itself.</w:t>
      </w:r>
    </w:p>
    <w:p>
      <w:r>
        <w:t>It is reminded that, pursuant to Article 8, paragraph 4, of the Regulation, this suspension decision must be immediately executed by the professionals and that the appeal against the Authority's suspension order does not suspend its execution.</w:t>
      </w:r>
    </w:p>
    <w:p>
      <w:r>
        <w:t>THE SECRETARY GENERAL THE PRESIDENT f.f. Filippo Arena Gabriella Muscolo</w:t>
      </w:r>
    </w:p>
    <w:p>
      <w:r>
        <w:t>Competition Authority Weekly Bulletin of Competition and Market Year XXVIII- No. 49 - 2018 Editorial Coordination Giulia Antenucci Editorial Staff Sandro Cini, Valerio Ruocco, Simonetta Schettini, Manuela Villani Competition and Market Authority Office of Statistics and IT Applications Piazza Giuseppe Verdi, 6/a - 00198 Rome Tel.: 06-858211 Fax: 06-85821256 Web: http://www.agcm.it 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