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https://www.agcm.it/dotcmsdoc/bollettini/2024/49-24.pdf</w:t>
      </w:r>
    </w:p>
    <w:p>
      <w:r>
        <w:t>Pages translated : 216</w:t>
      </w:r>
    </w:p>
    <w:p/>
    <w:p>
      <w:r>
        <w:rPr>
          <w:b/>
        </w:rPr>
        <w:t>[Pages 1–3]</w:t>
      </w:r>
    </w:p>
    <w:p>
      <w:r>
        <w:t xml:space="preserve">Bulletin  </w:t>
        <w:br/>
        <w:t xml:space="preserve">Weekly  </w:t>
        <w:br/>
        <w:t xml:space="preserve">Year XXXIV - No. 49  </w:t>
        <w:br/>
        <w:t xml:space="preserve">Published on the website www.agcm.it  </w:t>
        <w:br/>
        <w:t>December 23, 2024</w:t>
      </w:r>
    </w:p>
    <w:p>
      <w:r>
        <w:t xml:space="preserve">SUMMARY  </w:t>
        <w:br/>
        <w:t xml:space="preserve">AGREEMENTS AND ABUSE OF DOMINANT POSITION 5  </w:t>
        <w:br/>
        <w:t xml:space="preserve">I871 - PRICE AGREEMENT AMONG POTATO CHIP PRODUCERS  </w:t>
        <w:br/>
        <w:t xml:space="preserve">Provision No. 31408 5  </w:t>
        <w:br/>
        <w:t xml:space="preserve">A558 - BOOKING/PROGRAMS OFFERED TO ITALIAN ACCOMMODATION FACILITIES AND  </w:t>
        <w:br/>
        <w:t xml:space="preserve">COMPETITION AMONG OTAs  </w:t>
        <w:br/>
        <w:t xml:space="preserve">Provision No. 31412 7  </w:t>
        <w:br/>
        <w:t xml:space="preserve">I850 - FIBERCOP AGREEMENTS  </w:t>
        <w:br/>
        <w:t xml:space="preserve">Provision No. 31414 21  </w:t>
        <w:br/>
        <w:t xml:space="preserve">I874 - MASTER SERVICE AGREEMENT TIM-FIBERCOP  </w:t>
        <w:br/>
        <w:t xml:space="preserve">Provision No. 31415 31  </w:t>
        <w:br/>
        <w:t xml:space="preserve">CONCENTRATION OPERATIONS 41  </w:t>
        <w:br/>
        <w:t xml:space="preserve">C12685 - FIBONACCI BIDCO/BRANCH OF BUSINESS OF ILLIMITY BANK  </w:t>
        <w:br/>
        <w:t xml:space="preserve">Provision No. 31407 41  </w:t>
        <w:br/>
        <w:t xml:space="preserve">C12686 - SNAM/EDISON STORAGE  </w:t>
        <w:br/>
        <w:t xml:space="preserve">Provision No. 31410 48  </w:t>
        <w:br/>
        <w:t xml:space="preserve">C12688 - ITALGAS/2I Rete Gas  </w:t>
        <w:br/>
        <w:t xml:space="preserve">Provision No. 31413 57  </w:t>
        <w:br/>
        <w:t xml:space="preserve">C12659 - SWISSCOM ITALIA/VODAFONE ITALIA  </w:t>
        <w:br/>
        <w:t xml:space="preserve">Provision No. 31416 86  </w:t>
        <w:br/>
        <w:t xml:space="preserve">INFORMATION INVESTIGATIONS 193  </w:t>
        <w:br/>
        <w:t xml:space="preserve">IC56 - PRICE ALGORITHMS IN PASSENGER AIR TRANSPORT ON NATIONAL ROUTES TO AND FROM SICILY AND SARDINIA  </w:t>
        <w:br/>
        <w:t xml:space="preserve">Provision No. 31411 193  </w:t>
        <w:br/>
        <w:t xml:space="preserve">REPORTING AND CONSULTATIVE ACTIVITIES 195  </w:t>
        <w:br/>
        <w:t xml:space="preserve">AS2041 - SUPPLY OF MINIMALLY INVASIVE VIDEO-ASSISTED ROBOTIC SURGERY SYSTEMS FOR PUBLIC ADMINISTRATIONS 195  </w:t>
        <w:br/>
        <w:t xml:space="preserve">UNFAIR COMMERCIAL PRACTICES 200  </w:t>
        <w:br/>
        <w:t xml:space="preserve">PS10009C - POSTE ITALIANE-CASSA DEPOSITI E PRESTITI/SMART BOOKLET  </w:t>
        <w:br/>
        <w:t xml:space="preserve">Provision No. 31409 200  </w:t>
        <w:br/>
        <w:t xml:space="preserve">VARIOUS 217  </w:t>
        <w:br/>
        <w:t xml:space="preserve">BUDGET FORECAST FOR THE FINANCIAL YEAR 2025 AND MULTIYEAR 2025-2027  </w:t>
        <w:br/>
        <w:t>Provision No. 31406 217</w:t>
      </w:r>
    </w:p>
    <w:p>
      <w:r>
        <w:t xml:space="preserve">BULLETIN NO. 49 OF DECEMBER 23, 2024 5  </w:t>
        <w:br/>
        <w:t xml:space="preserve">AGREEMENTS AND ABUSE OF DOMINANT POSITION  </w:t>
        <w:br/>
        <w:t xml:space="preserve">I871 - PRICE AGREEMENT AMONG POTATO CHIP PRODUCERS  </w:t>
        <w:br/>
        <w:t xml:space="preserve">Provision No. 31408  </w:t>
        <w:br/>
        <w:t xml:space="preserve">THE COMPETITION AND MARKET AUTHORITY  </w:t>
        <w:br/>
        <w:t xml:space="preserve">IN ITS MEETING of December 3, 2024;  </w:t>
        <w:br/>
        <w:t xml:space="preserve">HEARD the Rapporteur, Saverio Valentino;  </w:t>
        <w:br/>
        <w:t xml:space="preserve">HAVING REGARD to Article 101 of the Treaty on the Functioning of the European Union (TFEU);  </w:t>
        <w:br/>
        <w:t xml:space="preserve">HAVING REGARD to Regulation (EC) No. 1/2003 of the Council of the European Union of December 16, 2002;  </w:t>
        <w:br/>
        <w:t xml:space="preserve">HAVING REGARD to Law No. 287 of October 10, 1990;  </w:t>
        <w:br/>
        <w:t xml:space="preserve">HAVING REGARD to the Presidential Decree No. 217 of April 30, 1998;  </w:t>
        <w:br/>
        <w:t xml:space="preserve">HAVING REGARD to its resolution adopted on September 17, 2024, which initiated, pursuant to Article 14 of Law No. 287/1990, an investigation against the companies Amica Chips S.p.A. and Pata S.p.A., active in Italy in the production and wholesale sale of potato chips and other savory snacks, to ascertain the existence of violations of Article 101, paragraph 1, TFEU;  </w:t>
        <w:br/>
        <w:t xml:space="preserve">HAVING REGARD to the documents of the procedure and, in particular, the elements acquired during the inspection carried out, pursuant to Article 14, paragraph 2-quater, of Law No. 287/1990, on September 25, 2024, at the premises of the companies Amica Chips S.p.A., Pata S.p.A., and Preziosi Food S.p.A.;  </w:t>
        <w:br/>
        <w:t xml:space="preserve">CONSIDERING the acceptance of the intervention requests submitted by CODACONS, Penny Market S.r.l., and Lidl Italia S.r.l.;  </w:t>
        <w:br/>
        <w:t xml:space="preserve">CONSIDERING that from the documentation on file it emerges that the alleged coordination between Amica Chips and Pata regarding the price proposals for private label chips to be presented to the buyers of large-scale retail chains also concerned other private label products falling within the broader category of savory snacks;  </w:t>
        <w:br/>
        <w:t xml:space="preserve">CONSIDERING that from the documentation on file it also emerges that the aforementioned coordination would have begun at least in 2020;  </w:t>
        <w:br/>
        <w:t xml:space="preserve">CONSIDERING, furthermore, that from the documentation on file elements have emerged that allow for the hypothesis of the involvement in the proposed agreement, as well as in the other aspects of coordination mentioned above, of the company Preziosi Food S.p.A.;  </w:t>
        <w:br/>
        <w:t xml:space="preserve">THEREFORE CONSIDERING it necessary to extend the investigation with reference to the sale of other private label savory snacks produced on behalf of large-scale retail and, from a temporal perspective, to the conduct carried out at least since 2020, that is, from the moment when the first evidence of the contested coordination emerges in the initiation provision;  </w:t>
        <w:br/>
        <w:t>FURTHER CONSIDERING that it is necessary to extend the investigation against the company Preziosi Food S.p.A. also with reference to the additional aspects of coordination described above;</w:t>
      </w:r>
    </w:p>
    <w:p>
      <w:r>
        <w:rPr>
          <w:b/>
        </w:rPr>
        <w:t>[Pages 4–6]</w:t>
      </w:r>
    </w:p>
    <w:p>
      <w:r>
        <w:t xml:space="preserve">6 BULLETIN NO. 49 OF DECEMBER 23, 2024  </w:t>
        <w:br/>
        <w:t xml:space="preserve">RESOLUTION  </w:t>
        <w:br/>
        <w:t xml:space="preserve">a) to objectively extend the procedure I871, initiated on September 17, 2024, to the wholesale marketing of other private label savory snacks and to the collusive conduct carried out at least since 2020;  </w:t>
        <w:br/>
        <w:t xml:space="preserve">b) to subjectively extend the procedure I871, initiated on September 17, 2024, to the company Preziosi Food S.p.A. also with reference to the further collusive aspects referred to in letter a);  </w:t>
        <w:br/>
        <w:t xml:space="preserve">c) that the person responsible for the procedure is Dr. Lorenzo Ferrari;  </w:t>
        <w:br/>
        <w:t xml:space="preserve">d) the setting of a thirty-day deadline, starting from the notification of this provision for the exercise, by the legal representatives of the Parties or by persons delegated by them, of the right to be heard, specifying that the request for a hearing must be received by the Directorate of Cartels, Leniency and Whistleblowing of this Authority at least fifteen days before the expiration of the aforementioned deadline;  </w:t>
        <w:br/>
        <w:t xml:space="preserve">e) that the documents of the procedure can be viewed at the Directorate of Cartels, Leniency and Whistleblowing of this Authority by the legal representatives of the Parties or by persons delegated by them.  </w:t>
        <w:br/>
        <w:t xml:space="preserve">This provision will be notified to the interested parties and published in the Bulletin of the Competition and Market Authority.  </w:t>
        <w:br/>
        <w:t xml:space="preserve">THE SECRETARY GENERAL THE PRESIDENT  </w:t>
        <w:br/>
        <w:t>Guido Stazi Roberto Rustichelli</w:t>
      </w:r>
    </w:p>
    <w:p>
      <w:r>
        <w:t xml:space="preserve">BULLETIN NO. 49 OF DECEMBER 23, 2024 7  </w:t>
        <w:br/>
        <w:t xml:space="preserve">A558 - BOOKING/PROGRAMS OFFERED TO ITALIAN ACCOMMODATION FACILITIES AND COMPETITION AMONG OTAs  </w:t>
        <w:br/>
        <w:t xml:space="preserve">Provision No. 31412  </w:t>
        <w:br/>
        <w:t xml:space="preserve">THE COMPETITION AND MARKET AUTHORITY  </w:t>
        <w:br/>
        <w:t xml:space="preserve">IN ITS MEETING of December 17, 2024;  </w:t>
        <w:br/>
        <w:t xml:space="preserve">HEARD the Rapporteur, Professor Elisabetta Iossa;  </w:t>
        <w:br/>
        <w:t xml:space="preserve">HAVING REGARD to Article 102 of the Treaty on the Functioning of the European Union (TFEU);  </w:t>
        <w:br/>
        <w:t xml:space="preserve">HAVING REGARD to Regulation No. 1/2003 of the Council of December 16, 2002, concerning the application of the competition rules laid down in Articles 81 and 82 of the EC Treaty (now 101 and 102 TFEU);  </w:t>
        <w:br/>
        <w:t xml:space="preserve">HAVING REGARD to Law No. 287 of October 10, 1990, and in particular Article 14-ter;  </w:t>
        <w:br/>
        <w:t xml:space="preserve">HAVING REGARD to the Decree of the President of the Republic No. 217 of April 30, 1998;  </w:t>
        <w:br/>
        <w:t xml:space="preserve">HAVING REGARD to the "Communication on the application procedures of Article 14-ter of Law No. 287 of October 10, 1990," adopted in the meeting of September 6, 2012, and published in Bulletin No. 35 of September 17, 2012;  </w:t>
        <w:br/>
        <w:t xml:space="preserve">HAVING REGARD to its resolution No. 31126 of March 12, 2024, with which an investigation was initiated pursuant to Article 14 of Law No. 287/1990, against Booking.com International B.V., Booking.com B.V., Booking.com (Italy) S.r.l. to ascertain an alleged abuse of a dominant position in violation of Article 102 TFEU, related to the operation of the Preferred Partner Programs, Preferred Plus, and Booking Sponsored Benefit that would limit the autonomy of the facilities to differentiate prices among various online sales channels;  </w:t>
        <w:br/>
        <w:t xml:space="preserve">HAVING REGARD to the decisions of May 28 and July 9, 2024, with which the Authority, at the request of the Parties, last extended the deadline for the submission of commitments to July 19, 2024;  </w:t>
        <w:br/>
        <w:t xml:space="preserve">HAVING REGARD to the communication of July 19, 2024, with which the companies Booking.com International B.V., Booking.com B.V., Booking.com (Italy) S.r.l., submitted commitments, pursuant to Article 14-ter of Law No. 287/1990, according to the methods indicated in the specific "Form for the submission of commitments pursuant to Article 14-ter of Law No. 287/90," aimed at removing the anticompetitive aspects subject to the investigation;  </w:t>
        <w:br/>
        <w:t xml:space="preserve">HAVING REGARD to its resolution No. 31303 of August 6, 2024, with which the publication of the commitments proposed by the companies Booking.com International B.V., Booking.com B.V., Booking.com (Italy) S.r.l. on the Authority's website was ordered in order to allow interested third parties to express their observations;  </w:t>
        <w:br/>
        <w:t xml:space="preserve">HAVING REGARD to the observations of interested third parties received during the market test regarding the published commitments;  </w:t>
        <w:br/>
        <w:t xml:space="preserve">HAVING REGARD to the replies to the observations on the commitments submitted by Booking.com International B.V., Booking.com B.V., Booking.com (Italy) S.r.l. on October 8, 2024;  </w:t>
        <w:br/>
        <w:t xml:space="preserve">HAVING REGARD to its communication to the European Commission, pursuant to Article 11, paragraph 4, of Regulation (EC) No. 1/2003;  </w:t>
        <w:br/>
        <w:t>HAVING REGARD to the acts of the procedure and the documentation acquired during the investigation;</w:t>
      </w:r>
    </w:p>
    <w:p>
      <w:r>
        <w:t xml:space="preserve">8 BULLETIN NO. 49 OF DECEMBER 23, 2024  </w:t>
        <w:br/>
        <w:t xml:space="preserve">CONSIDERING the following:  </w:t>
        <w:br/>
        <w:t xml:space="preserve">I. THE PARTIES  </w:t>
        <w:br/>
        <w:t xml:space="preserve">1. Booking.com B.V. is a multinational company based in Amsterdam (NL), which offers online booking services for accommodation facilities through the website www.booking.com.  </w:t>
        <w:br/>
        <w:t xml:space="preserve">2. Booking.com (Italy) S.r.l. supports the online hotel booking business carried out by the parent company, promoting the services it offers to customers and potential subscribers. According to the last approved financial statement, in 2023, Booking Italia generated a revenue of €51,894,498 and profits of €23,383,956. Booking Italia is currently controlled by Booking.com International B.V., a company based in Amsterdam.  </w:t>
        <w:br/>
        <w:t xml:space="preserve">3. The companies Booking.com B.V., Booking.com (Italy) S.r.l., Booking.com International B.V. (hereinafter collectively referred to as "Booking" or "Party") are wholly owned and controlled by Booking Holdings Inc., a company based in Delaware (USA), listed on the NASDAQ in New York and which generated approximately $21.4 billion in revenue in 2023 (approximately €19.7 billion)1.  </w:t>
        <w:br/>
        <w:t xml:space="preserve">Reporting Parties  </w:t>
        <w:br/>
        <w:t xml:space="preserve">4. Federalberghi - Federation of Italian Hotel and Tourism Associations (hereinafter also "Federalberghi") is the association that represents numerous hotel accommodation facilities, of any type and size, including those organized in chains.  </w:t>
        <w:br/>
        <w:t xml:space="preserve">5. AICA - Italian Association Confindustria Hotels (hereinafter also AICA) is the association that represents large hotel chains and independent and family-run facilities of medium-high level.  </w:t>
        <w:br/>
        <w:t xml:space="preserve">II. THE INVESTIGATIVE PROCEDURE AND THE CONTESTED CONDUCT  </w:t>
        <w:br/>
        <w:t xml:space="preserve">6. On March 13 and 24, 2023, AICA and Federalberghi reported a complex strategy by Booking aimed at limiting the autonomy of accommodation facilities in determining the commercial conditions for customers through, among other things, adherence to premium programs designed to increase visibility and bookings - such as the Preferred Partner Programs and Preferred Plus (hereinafter collectively "PPP(+)") - in exchange for the payment of higher commissions and the commitment to offer "competitive" prices on booking.com, without, however, providing proof of the actual greater visibility promised, as well as the application of the Booking Sponsored Benefit (hereinafter, "BSB"), a discount unilaterally applied by Booking on the price of rooms offered by facilities considered "non-competitive" on its platform.  </w:t>
        <w:br/>
        <w:t xml:space="preserve">7. In the context of the pre-investigation activity, further information received from the reporting parties on May 3 and July 24, 2023, as well as the elements provided by Federalberghi on November 21, 2023, following the hearing held with that Federation on November 10, 2023, were evaluated.  </w:t>
        <w:br/>
        <w:t>1 See the information available at https://www.bookingholdings.com/about/factsheet/#operating-performance.</w:t>
      </w:r>
    </w:p>
    <w:p>
      <w:r>
        <w:rPr>
          <w:b/>
        </w:rPr>
        <w:t>[Pages 7–9]</w:t>
      </w:r>
    </w:p>
    <w:p>
      <w:r>
        <w:t xml:space="preserve">BULLETIN NO. 49 OF DECEMBER 23, 2024 9  </w:t>
        <w:br/>
        <w:t xml:space="preserve">8. On December 12 and 15, 2023, two competing OTAs (Online Travel Agencies) of Booking, BravoNext S.A. (Lastminute.com) and Expedia Group Inc. (Expedia and Hotels.com), were heard in order to acquire elements regarding the competitive dynamics in the market for online hotel booking and intermediation services.  </w:t>
        <w:br/>
        <w:t xml:space="preserve">9. In light of the information acquired, on March 12, 2024, the Authority decided to initiate proceedings against Booking, to ascertain the existence of violations of Article 102 TFEU, for a possible abuse of a dominant position of an exclusionary nature carried out in the market, at least nationally, for online intermediation and booking services for hotel and para-hotel facilities2.  </w:t>
        <w:br/>
        <w:t xml:space="preserve">10. In particular, the initiation provision hypothesized a complex and unitary abusive strategy allegedly implemented by Booking to discourage hotel facilities from differentiating prices across various online sales channels, through the joint application of the aforementioned Programs offered to them.  </w:t>
        <w:br/>
        <w:t xml:space="preserve">11. Specifically, based on the available information, it was highlighted that facilities consider participation in the PPP(+) programs essential to gain greater visibility in the search results of the platform and, therefore, greater earnings. The competitive issues identified by the Authority concerned the fact that Booking may require the application of "competitive" prices on its platform compared to those offered on other websites as an explicit and/or implicit requirement to enter and remain in the PPP(+), thus limiting the pricing freedom of the most profitable accommodation facilities. Furthermore, according to the Authority, by reserving participation in these Programs for facilities with a performance score of 70% - or 90% for the PPP(+) - and informing them that reaching this threshold depended on their "expected annual bookings," Booking could induce facilities to apply "competitive" prices compared to those offered on other websites, in order to improve their current performance on the platform and thus achieve a better score regarding their ability to generate bookings in the future.  </w:t>
        <w:br/>
        <w:t xml:space="preserve">12. At the same time, it was hypothesized that when Booking detects, as a result of structured and thorough monitoring, that a facility applies a price on its platform higher than that practiced on the site of other OTAs or on its own site, it would unilaterally intervene by applying a discount to the published rates, the BSB, in order to reduce the difference between the price visible on its platform and the lowest available online at that specific moment and for that specific accommodation solution3. This discount is fully funded by Booking, without affecting the agreed price collected by the facility.  </w:t>
        <w:br/>
        <w:t xml:space="preserve">13. For Booking to unilaterally intervene on the price through the BSB, it is necessary, firstly, that the facility adheres to the "Pay with Booking" program, a tool that facilities can hardly do without, as it allows the consumer to finalize the online booking directly through the platform using a variety of payment solutions and allows facilities to delegate the entire payment process to Booking; secondly, it is necessary that the facility is classified as "non-competitive," due to better external prices (compared to those on the booking.com platform). When a facility is "competitive," Booking can apply the discount only if the facility has previously consented to it. Facilities are informed that, in order to avoid the unilateral application of the BSB at Booking's sole discretion, they must be "competitive." Facilities can also know their status as "competitive" or "non-competitive" through the so-called Performance Dashboard, which reports the prices they publish on various online sites and any price differences compared to the best available online. The BSB is not visible to all customers but only to those who, according to Booking's demand data, are considered price sensitive.  </w:t>
        <w:br/>
        <w:t xml:space="preserve">14. The simultaneous application of the PPP(+) and the BSB would be suitable to exclude or, in any case, marginalize, from the market for online hotel intermediation services, the other OTAs, as well as to discourage new OTAs from entering the market, with negative effects on accommodation facilities and, ultimately, on consumers in terms of higher prices and less choice in online intermediation and booking services.  </w:t>
        <w:br/>
        <w:t xml:space="preserve">15. In fact, even if other OTAs requested lower commissions than those of Booking, they might still not be able to incentivize facilities to offer better prices on their platform compared to those on Booking's. This is because facilities might be reluctant to grant these OTAs lower prices than those offered to Booking in order not to lose the advantages derived from participation in the PPP in terms of visibility on Booking's platform, which represents the dominant and indispensable intermediation channel. At the same time, even if other OTAs managed to offer consumers lower prices, Booking would still be able to attract price-sensitive consumers by offering, through the BSB, a similarly competitive rate, thus expanding its base of loyal customers without having to reduce the commissions applied to facilities. It follows that any reduction in commission by a competing OTA would have the sole effect of compressing its own margins, without this being adequately compensated by a subtraction of Booking's sales volumes.  </w:t>
        <w:br/>
        <w:t xml:space="preserve">16. Therefore, according to what was expressed at the initiation stage, this strategy appears capable of hindering the growth of competing OTAs and discouraging new OTAs from entering the market, as the latter would not be able to counter the dominant operator with ordinary market tools (for example, offering facilities lower commissions in exchange for more favorable room prices on their sites). It therefore appears suitable to produce exclusionary effects through the use of means other than those typical of merit-based competition4.  </w:t>
        <w:br/>
        <w:t xml:space="preserve">17. On March 21, 2024, inspections were carried out at some Italian offices of Booking.com (Italia) S.r.l.  </w:t>
        <w:br/>
        <w:t>4 See judgment of the Court of May 12, 2022, case C-377/2020, Servizio Elettrico Nazionale S.p.A. and others v. Authority for the Guarantee of Competition and the Market and others and judgment of December 21, 2023, case C-333/21 European Super League Company.</w:t>
      </w:r>
    </w:p>
    <w:p>
      <w:r>
        <w:t xml:space="preserve">BULLETIN NO. 49 OF DECEMBER 23, 2024 11  </w:t>
        <w:br/>
        <w:t xml:space="preserve">18. On March 26 and April 3, 2024, two consumer associations submitted requests to participate in the proceedings, both rejected with communications dated April 4, 2024, as they were not adequately motivated5.  </w:t>
        <w:br/>
        <w:t xml:space="preserve">19. Booking exercised the right to access the investigation file on April 8, July 10, and September 11, 20246. Further hearings were held with Federalberghi on May 31, 20247 and with Booking on April 30, May 8, and July 3, 20248. Information was requested from Booking, both during the inspection at one of the Italian offices and on May 14 and June 18, 20249. These requests received responses in May and June 202410.  </w:t>
        <w:br/>
        <w:t xml:space="preserve">20. With communication dated July 19, 2024, in the final version of the form submitted, Booking presented commitments pursuant to Article 14-ter of Law No. 287/1990, aimed at resolving the competitive issues contested in the initiation provision, as well as some aspects of lack of informational transparency raised by Federalberghi during the proceedings.  </w:t>
        <w:br/>
        <w:t xml:space="preserve">21. The Authority decided to publish these commitments, starting from August 7, 2024, to allow interested third parties to express their observations. By the deadline of September 13, 2024, observations were received from a single hotelier and from Federalberghi11, following which Booking submitted its replies on October 8, 2024, confirming the commitments initially proposed12.  </w:t>
        <w:br/>
        <w:t xml:space="preserve">III. THE RELEVANT MARKET AND THE DOMINANT POSITION  </w:t>
        <w:br/>
        <w:t xml:space="preserve">22. In accordance with the decision by which the European Commission prohibited the acquisition of eTraveli by Booking13, the relevant market was identified as that of online intermediation and booking services for overnight stays offered by OTAs to hotel and para-hotel facilities (so-called hotel OTAs). Hotel OTAs represent an absolutely relevant intermediation and booking channel, both in Europe and in Italy. In fact, according to data provided by the Hotrec survey14, over 68% of online bookings made in Europe (and 76% in Italy) occurred through OTAs, compared to 27% (23% in Italy) directly on the website of the  </w:t>
        <w:br/>
        <w:t xml:space="preserve">5 See participation requests docs. 35 and 37, as well as rejection communications docs. 40 and 41.  </w:t>
        <w:br/>
        <w:t xml:space="preserve">6 See docs. 44, 83, and 93.  </w:t>
        <w:br/>
        <w:t xml:space="preserve">7 See doc. 76.  </w:t>
        <w:br/>
        <w:t xml:space="preserve">8 See docs. 54, 67, and 85.  </w:t>
        <w:br/>
        <w:t xml:space="preserve">9 See docs. 29, 55, and 75.  </w:t>
        <w:br/>
        <w:t xml:space="preserve">10 See docs. 50, 69, 72, 73, and 74.  </w:t>
        <w:br/>
        <w:t xml:space="preserve">11 See docs. 89 and 91.  </w:t>
        <w:br/>
        <w:t xml:space="preserve">12 See doc. 94.  </w:t>
        <w:br/>
        <w:t xml:space="preserve">13 See European Commission decision M.10615 - Booking Holdings / Etraveli Group, published on June 10, 2024.  </w:t>
        <w:br/>
        <w:t>14 A sample survey periodically conducted by Hotrec Hospitality Europe (hereinafter also "Hotrec"), the trade association representing hotels, restaurants, bars, and related facilities at the European level, which collects national representative associations of the sector, including Federalberghi, in collaboration with a university research center, and focused on the distribution of hotel services. See also Expedia minutes, doc. 10.</w:t>
      </w:r>
    </w:p>
    <w:p>
      <w:r>
        <w:rPr>
          <w:b/>
        </w:rPr>
        <w:t>[Pages 10–12]</w:t>
      </w:r>
    </w:p>
    <w:p>
      <w:r>
        <w:t xml:space="preserve">12 BULLETIN NO. 49 OF DECEMBER 23, 2024  </w:t>
        <w:br/>
        <w:t xml:space="preserve">structure15. Considering, instead, only online intermediate bookings, those through hotel OTAs represent over 90%.  </w:t>
        <w:br/>
        <w:t xml:space="preserve">23. From a geographical point of view, it is possible to identify at least a European-sized market, as OTAs reach structures and consumers internationally, according to standard conditions and terms, with integrated and automatic language translation services and, due to the nature of the intermediation service, aimed at reaching an unlimited audience of consumers, wherever they may be.  </w:t>
        <w:br/>
        <w:t xml:space="preserve">24. However, it cannot be excluded that the geographical scope of the relevant market for the product can be identified in relation to online hotel booking services offered to hotel and para-hotel accommodation structures located in Italy, as in Italy there is a prohibition on introducing parity pricing clauses, both broad (in relation to other OTAs) and narrow (in relation to providers of accommodation services, namely hotels), which could determine different ways of presenting commercial initiatives to the structures by Booking and, therefore, different legal assessments on the conduct16.  </w:t>
        <w:br/>
        <w:t xml:space="preserve">25. Nevertheless, it does not seem that the exact definition of the geographical market at the European or national level is of decisive relevance for the present case, as will be seen later, Booking is found to be widely dominant in the market for online hotel intermediation and booking services, both in Italy and at the European level17. In fact, according to the Hotrec survey for the year 2019, Booking is the dominant operator in many European countries, mediating on average about 68% of hotel bookings made through OTAs18. In Italy, this share reaches approximately 70%.  </w:t>
        <w:br/>
        <w:t xml:space="preserve">26. Other publicly available data also confirm Booking's dominance in Italy. For example, according to a survey conducted by a data collection company, 76% of consumers who booked a hotel/tourist accommodation online in 2023 used Booking.com19. The SiteMinder study - a global platform that manages the integration of various sales channels on behalf of hotels to which the analysis is restricted - shows that in 2022 Booking was the first hotel booking channel based on consumer choices in Italy20.  </w:t>
        <w:br/>
        <w:t xml:space="preserve">15 Only bookings through hotel websites with real-time booking are considered online, while bookings made through hotel websites requiring the completion of a contact form or via email are excluded.  </w:t>
        <w:br/>
        <w:t xml:space="preserve">16 The absolute prohibition also applies in France, Austria, and Belgium, according to the Commission's report https://eur-lex.europa.eu/resource.html?uri=cellar:57a5679e-3f85-11eb-b27b-01aa75ed71a1.0001.02/DOC_2&amp;format=PDF  </w:t>
        <w:br/>
        <w:t xml:space="preserve">17 See, European Commission decision M10615 - Booking Holdings / Etraveli Group, cited, §§. 254-257.  </w:t>
        <w:br/>
        <w:t xml:space="preserve">18 Hotrec data taken from the presentation available at the following web address: https://www.hotrec.eu/media/static/files/import/wp_post_29386/2020_European_Hotel_Distribution_Survey_HOTREC_16 072020_KeyFigures.pdf.  </w:t>
        <w:br/>
        <w:t xml:space="preserve">19 Source: Statista, Statista Consumer Insights. The survey refers to the period January-December 2023 on 1102 consumers (18-64 years) who booked online hotels, holiday apartments, or houses in the 12 months prior. The question was formulated as follows: "From which of these online providers did you book accommodation - hotel or private accommodation - in the last 12 months (website or app)?". The respondent could provide multiple answers.  </w:t>
        <w:br/>
        <w:t>20 Source: https://www.siteminder.com/it/notizie/siteminder-hotel-booking-trends-2022/.</w:t>
      </w:r>
    </w:p>
    <w:p>
      <w:r>
        <w:t xml:space="preserve">BULLETIN NO. 49 OF DECEMBER 23, 2024 13  </w:t>
        <w:br/>
        <w:t xml:space="preserve">IV. THE COMMITMENTS PROPOSED BY BOOKING  </w:t>
        <w:br/>
        <w:t xml:space="preserve">27. Regarding the operation of the Preferred and Preferred Plus Programs, Booking has proposed the following set of commitments:  </w:t>
        <w:br/>
        <w:t xml:space="preserve">“⮚ Commitment No. 1  </w:t>
        <w:br/>
        <w:t xml:space="preserve">o Commitment 1.1 - Booking.com will not impose the obligation on Relevant Partners21 to apply External Prices equal to or higher than those applied on the Booking.com platform (“Platform”) in order to enter and/or remain in the Preferred Programs. For the avoidance of doubt, this Commitment implies that the performance score and any other requirement (current and future), and related calculation methods, for entering and/or remaining in the Preferred Programs will not consider External Prices as input;  </w:t>
        <w:br/>
        <w:t xml:space="preserve">o Commitment 1.2 - Booking.com will send a one-time informational email (“One-off Email”) to all Relevant Partners who are currently members of the Preferred Programs, specifying that External Prices are not a requirement for Relevant Partners to enter or remain in the Preferred Programs;  </w:t>
        <w:br/>
        <w:t xml:space="preserve">o Commitment 1.3 - Booking.com will ensure (modifying, where necessary, the material currently used) that the content in the Partner Hub22 and other information made available to Relevant Partners clearly reflects the eligibility requirements of the Preferred Programs (including the fact that the level of External Prices is not a requirement to enter or remain in the Preferred Programs). This Commitment will also apply to the internal documents of the Company's central team responsible for the Preferred Programs prepared for the partner services teams responsible for the Relevant Partners. Booking.com will also ensure that the documents on the performance score made available to Relevant Partners accurately reflect the relevant inputs for the performance score (which do not include and will not include External Prices), so that they can make informed decisions about their business strategy (including access to the Preferred Programs and maintaining the related status).  </w:t>
        <w:br/>
        <w:t xml:space="preserve">⮚ Commitment No. 2  </w:t>
        <w:br/>
        <w:t xml:space="preserve">o Commitment 2.1 - Booking.com will clarify in the documentation and communications directed to Relevant Partners that: (a) Relevant Partners can enter/exit the Preferred Programs whenever they wish; and (b) the 180-day suspension applies only when Relevant Partners are De-preferred (or voluntarily exit the Preferred Programs after being notified that they will be De-preferred);  </w:t>
        <w:br/>
        <w:t xml:space="preserve">o Commitment 2.2 - Booking.com will send a One-off Email to provide the information sub (a) and (b) of Commitment 2.1 to all Relevant Partners.  </w:t>
        <w:br/>
        <w:t xml:space="preserve">⮚ Commitment No. 3  </w:t>
        <w:br/>
        <w:t xml:space="preserve">o Commitment 3.1 - Booking.com will provide Relevant Partners with its best estimates regarding additional stays and additional revenues obtained by adhering to the PPP or PPP+. These  </w:t>
        <w:br/>
        <w:t xml:space="preserve">21 It is specified that by “Relevant Partners” Booking refers to “all properties located in Italy,” classified as “Core” (mainly independent hotels and similar), “Chains” (hotels that are part of a chain), and “Hotel-like Home” (properties with at least two rooms/accommodations on the booking.com platform).  </w:t>
        <w:br/>
        <w:t>22 It is specified that Partner Hub is a section of the Booking.com platform that provides partner structures with general information on how the platform and various programs work, as well as advice and possible solutions or strategies to improve their performance and “get the most out of Booking.com,” https://partner.booking.com/it</w:t>
      </w:r>
    </w:p>
    <w:p>
      <w:r>
        <w:t xml:space="preserve">14 BULLETIN NO. 49 OF DECEMBER 23, 2024  </w:t>
        <w:br/>
        <w:t xml:space="preserve">information will be provided: (i) on a monthly basis; (ii) for the entire period of adherence of each Relevant Partner to the Preferred Programs; and (iii) regardless of whether the Preferred Programs have had a positive effect for the individual partner.  </w:t>
        <w:br/>
        <w:t xml:space="preserve">o Commitment 3.2 - Booking.com will provide Relevant Partners with additional training material to help them use existing tools that allow them to verify the impact of their participation in the Preferred Programs, in line with what is provided with reference to Commitments 1.1 to 1.3.”.  </w:t>
        <w:br/>
        <w:t xml:space="preserve">28. The operation of the BSB has also been the subject of a specific commitment, regarding which Booking has recalled that it “does not prejudice the application of consumer protection regulations (including Legislative Decree No. 26/2023, which implements EU Directive 2019/2161, where applicable)”.  </w:t>
        <w:br/>
        <w:t xml:space="preserve">29. In particular, the commitment on the BSB provides that:  </w:t>
        <w:br/>
        <w:t xml:space="preserve">“⮚ Commitment No. 4  </w:t>
        <w:br/>
        <w:t xml:space="preserve">o Commitment 4.1 - Booking.com will eliminate the External Price Overview (so-called EPO) as a relevant criterion for the BSB concerning all Relevant Partners. For the avoidance of doubt, this commitment means that External Prices will not be considered as input at any stage of the decision regarding whether or when to apply the BSB to Relevant Partners;  </w:t>
        <w:br/>
        <w:t xml:space="preserve">o Commitment 4.2 - To the extent that they are made available through the dashboard on the extranet page of Relevant Partners23, Booking.com will make information on External Prices available to all Relevant Partners for whom the Company obtains scans of external prices, and will also remove the “competitive/non-competitive” flag from that dashboard. Booking.com will also eliminate the reference to the “competitive/non-competitive” distinction from the documents related to the BSB that are made available to Relevant Partners (e.g., on Partner Hub) and from the internal documents of the Company's central team responsible for the BSB prepared for the partner services teams responsible for Relevant Partners.  </w:t>
        <w:br/>
        <w:t xml:space="preserve">o Commitment 4.3 - Booking.com will provide the following information on the application of the BSB to each Relevant Partner: (i) the percentage of its bookings that have been subject to a price reduction resulting from the BSB in the last 30 days, updating this data on a rolling basis (i.e., day by day); (ii) the average percentage of the price reduction resulting from the BSB applied to its structures in the last 30 days, updating this data on a rolling basis (i.e., day by day); and (iii) a binary flag (yes/no) to clarify, after each booking, whether it has been subject to the price reduction resulting from the BSB.”  </w:t>
        <w:br/>
        <w:t xml:space="preserve">30. For all commitments, Booking has indicated a maximum implementation time of 4 months from the notification of this provision, except for Commitment 3 for which it indicates a time of 6 months. The proposed validity period is instead 10 years, always from the Authority's acceptance decision.  </w:t>
        <w:br/>
        <w:t>23 It is specified that each partner structure accesses its own “Extranet” page of the platform, with which it manages the offer of its structure on the platform itself, including adherence/exiting from the various programs. Through the extranet, structures can view a dashboard that compares, for the same room and date, the prices charged by the structure on booking.com with those detected on other online channels (the structure's website and other OTAs), namely the so-called External Prices.</w:t>
      </w:r>
    </w:p>
    <w:p>
      <w:r>
        <w:rPr>
          <w:b/>
        </w:rPr>
        <w:t>[Pages 13–15]</w:t>
      </w:r>
    </w:p>
    <w:p>
      <w:r>
        <w:t xml:space="preserve">BULLETIN NO. 49 OF DECEMBER 23, 2024 15  </w:t>
        <w:br/>
        <w:t xml:space="preserve">31. Booking has then committed, in the event of acceptance of the commitments, to submit to the Authority, within thirty days from the notification of the relevant provision, a proposal for the appointment of a trustee responsible for monitoring the Company's compliance with the Commitments (hereinafter also referred to as Trustee), who is independent of any company in the Group, has the necessary qualifications, and has not been exposed to a conflict of interest with respect to any company in the Booking group. For this purpose, Booking will provide the necessary information to the Authority to approve the proposed individual (name and curriculum vitae, the terms of the assignment, the work plan on how the Trustee will monitor the Commitments). In the event of approval by the Authority, Booking will provide the Trustee with the agreed compensation, as well as cooperation, assistance, and information (“in particular, the relevant access criteria for the Preferred Programs applicable to Relevant Partners and the relevant application and eligibility criteria for the BSB” applicable to them), which the Trustee may reasonably need in carrying out their functions, as specified in the mandate and work plan.  </w:t>
        <w:br/>
        <w:t xml:space="preserve">The Trustee, within the framework of the five-year assignment, will send to the Authority a confidential report on compliance every six months for the first two years and annually for the subsequent three years. Upon completion of the assignment, Booking will send an annual compliance report to the Authority for the remaining five years.  </w:t>
        <w:br/>
        <w:t xml:space="preserve">32. Finally, with the review clause, Booking reserves the right to request the Authority “a review of the commitments, including in the event of significant changes to the programs subject to the Proceedings and the factual, regulatory, or normative framework (including the Digital Market Act).”  </w:t>
        <w:br/>
        <w:t xml:space="preserve">V. OBSERVATIONS RECEIVED IN THE MARKET TEST  </w:t>
        <w:br/>
        <w:t xml:space="preserve">33. By provision of August 6, 2024, the initiation of the public consultation regarding Booking's commitments was ordered, which began on August 7, 2024. A single hotelier and Federalberghi participated in the public consultation.  </w:t>
        <w:br/>
        <w:t xml:space="preserve">34. According to the single hotelier, who provided observations exclusively on the commitments related to the BSB, these commitments would be “absolutely non-resolutive,” as none of them would guarantee that the BSB is disconnected from participation in other Programs and that the structures are free to enter/exit the program and according to an opt-in system. Therefore, the BSB would translate solely into a tool for consolidating Booking's dominant position.  </w:t>
        <w:br/>
        <w:t xml:space="preserve">35. Federalberghi, on the other hand, presented negative observations regarding the commitments proposed by Booking, both in relation to the Preferred Programs and the BSB.  </w:t>
        <w:br/>
        <w:t xml:space="preserve">36. In particular, according to Federalberghi, Commitment 1 on the PPP(+) could not be considered resolutive of the competitive concerns expressed by the Authority, since the access requirement to the PPP - which requires being among the 30% of structures that Booking deems will be among those most requested by users (the so-called future performance of a structure) - will likely be related to the difference between the price proposed by the structure on Booking.com and that proposed on other websites and, therefore, indirectly to external prices. In any case, according to Federalberghi, since it is reasonable to assume that among the criteria related to performance the number of bookings made through the platform is significant, the accommodation facilities would be induced to concentrate their online availability on Booking, preventing competitors of the portal from entering or expanding in the market.  </w:t>
        <w:br/>
        <w:t xml:space="preserve">37. With reference to Commitment 4.1 on the BSB, Federalberghi pointed out that, no longer being able to consider price competitiveness as an input for the application of the BSB, Booking could presumably resort to discounts when it detects or anticipates a reduction in overnight stays and revenues of a structure on its platform. In any case, even without resorting to the criterion of external prices, the possibility of applying a discount would not allow other OTAs to obtain more competitive prices from the structures in exchange for lower commissions, thereby limiting the autonomy of the structures themselves in defining their pricing strategy. Consequently, any reduction in commissions by competing OTAs would certainly compress their margins, without the certainty of being compensated by a subtraction of sales volumes on the Booking.com platform, thus limiting the expansion opportunities of competing OTAs. Furthermore, in the medium to long term, the discount would lead to an increase in retail accommodation service prices across all online sales channels, to the detriment of consumers.  </w:t>
        <w:br/>
        <w:t xml:space="preserve">38. Finally, Federalberghi emphasized that collection through the portal would become increasingly necessary, due to the substantial unavailability of alternative guaranteed and secure payment solutions (with the so-called strong customer authentication). The connection between adherence to such payment services and the application of the BSB would therefore be unfavorable to the structure, which, by resorting to payment through Booking, would find itself accepting more or less unwittingly the application of the BSB. According to Federalberghi, if Booking were to separate payment services from the application of the BSB, the structures could access the possibility of entrusting Booking.com with the management of collections without losing autonomy in defining the prices offered to the end customer. Federalberghi hoped that the commitments could be integrated in this sense.  </w:t>
        <w:br/>
        <w:t xml:space="preserve">VI. OBSERVATIONS OF BOOKING  </w:t>
        <w:br/>
        <w:t xml:space="preserve">39. On October 8, 2024, Booking stated that the results of the market test would confirm the suitability of the proposed commitments to address the competitive concerns expressed by the Authority, considering it therefore unnecessary to make any modifications.  </w:t>
        <w:br/>
        <w:t xml:space="preserve">40. In particular, Booking emphasized that no observation concerned Commitments 1-3 related to the Preferred Programs, which would demonstrate that the structures would have clearly welcomed them favorably. Furthermore, according to Booking, Federalberghi's observation that the constraint of external prices would indirectly and potentially fall within the scope of the performance score would be factually incorrect, as the inputs used to calculate such a score cannot be influenced by the pricing behavior of a single partner on the platform and on other online channels.  </w:t>
        <w:br/>
        <w:t xml:space="preserve">41. Booking then emphasized that the limited observations obtained during the market test regarding the commitments concerning the BSB would not be sufficient to call into question their adequacy. In this regard, Federalberghi's observations would be factually incorrect (since external prices will not be an input for the operation of the BSB, which is solely directed at the consumer) and/or irrelevant (because they do not respond to the theory of harm presented by the initiation provision or concern a program - the “Pay with Booking” service - that does not independently fall within the conduct). Neither would the observations of the single hotelier be related to the proceedings, as depriving Booking of the pricing leverage to offer consumers high-quality services at competitive prices - transferring part of their margins to them - would exclude Booking from competition on the consumer market, to the detriment of the latter.  </w:t>
        <w:br/>
        <w:t xml:space="preserve">42. Ultimately, Booking represented that the commitments would further guarantee the freedom of the structures to practice lower prices on competing OTAs and to negotiate better commissions, strengthening competition among the various OTAs, to the benefit of the structures and consumers. The transparency measures provided (Commitment 4.3) would also allow the structures to further refine their commercial policy across different platforms and their direct channels, obtaining a clear picture of the application of the BSB to their rooms, considering also the information provided for each booking on the application or not of the BSB.  </w:t>
        <w:br/>
        <w:t xml:space="preserve">VII. EVALUATION OF THE COMMITMENTS  </w:t>
        <w:br/>
        <w:t xml:space="preserve">43. The commitments presented by Booking appear suitable to eliminate the anticompetitive profiles contested in the initiation provision regarding the PPP(+) and BSB Programs and their simultaneous application.  </w:t>
        <w:br/>
        <w:t xml:space="preserve">44. In particular, with regard to the PPP(+), Commitment 1.1 is significant, according to which external prices will not constitute an element to be considered as input, even indirectly, within the performance score. In this way, Booking ensures that there will be no connection between the eligibility criteria for the PPP(+) and external prices, which, instead, were the main criterion underlying the functioning of such programs.  </w:t>
        <w:br/>
        <w:t xml:space="preserve">45. By proposing Commitments 1.2 (the one-time sending of targeted information in this regard) and 1.3 (the complete review of internal/external communication intended for the structures), Booking ensures effectiveness and efficiency to the previous commitment. These commitments eliminate the risk of neutralizing the scope of Commitment 1.1, resorting to a targeted communication strategy - directed at the structures that request clarifications or suggestions on the functioning of the programs themselves - that emphasizes the fact that being price competitive or having regard to external prices may improve the performance score. Therefore, these commitments also contribute to preventing Booking from regulating, even indirectly, the allocation of differentiated rates among the various sales channels.  </w:t>
        <w:br/>
        <w:t xml:space="preserve">46. Furthermore, it should be noted that, aside from the removal of any direct reference to external prices and a strategic use of their role in communication towards the structures, Commitment 1, in its tripartite and overall articulation, increases transparency regarding the criteria actually used by Booking to determine which structures are eligible for the PPP(+) and enhances the awareness of the structures regarding the functioning of such programs, allowing them to take  </w:t>
        <w:br/>
        <w:t xml:space="preserve">* In this version, some data are omitted, as elements of confidentiality or secrecy of the information were deemed to exist.  </w:t>
        <w:br/>
        <w:t>25 Furthermore, Federalberghi's interpretation of Article 5, paragraph 7, of the DMA referred to would be incorrect, as the cited provision would simply refer to transactions that occur “in the context of the services provided by the Business User” and not in the context of the services provided by Booking on its platform. [Omitted].</w:t>
      </w:r>
    </w:p>
    <w:p>
      <w:r>
        <w:rPr>
          <w:b/>
        </w:rPr>
        <w:t>[Pages 16–18]</w:t>
      </w:r>
    </w:p>
    <w:p>
      <w:r>
        <w:t xml:space="preserve">18 BULLETIN NO. 49 OF DECEMBER 23, 2024  </w:t>
        <w:br/>
        <w:t xml:space="preserve">more informed decisions regarding the costs and benefits arising from participation in the Programs themselves.  </w:t>
        <w:br/>
        <w:t xml:space="preserve">47. Commitment 2 and Commitment 3 also move towards greater transparency regarding the operation of the Programs. In fact, Commitment 2, in conjunction with Commitment 1, ensures that the process of deprioritization (thus, the risk of exiting the Programs for having lost at least one of the access requirements) cannot be used by Booking as leverage to incentivize establishments to offer competitive prices. At the same time, Commitment 3 improves the reporting of the benefits arising from participation in the PPP, as Booking provides each establishment with periodic estimates of additional overnight stays/revenues resulting from participation. This resolves, as emphasized by Booking, an aspect complained about by Federalberghi, namely the lack of awareness of the long-term visibility benefits of joining the PPP(+).  </w:t>
        <w:br/>
        <w:t xml:space="preserve">48. Commitment 4 related to the BSB also appears worthy of positive acceptance, as it provides that external prices "will not be considered as inputs at any stage of the decision regarding whether or when to apply the BSB" (Commitment 4.1). This Commitment is of utmost importance, given the number of bookings to which the BSB is applied due to better external prices than those available on the platform, exposing the establishments themselves to significant reputational damage, which discourages them from differentiating their prices across online channels.  </w:t>
        <w:br/>
        <w:t xml:space="preserve">49. Furthermore, Commitment 4.2 - which eliminates any type of binary classification such as "competitive/non-competitive" of establishments based on external prices, also for the purposes of the eligibility of establishments for the BSB - aims to resolve this same critical issue in the internal/external communication between Booking managers and establishments regarding the application of the BSB. In this way, similar to what Booking offers in the corresponding commitments on the PPP(+), Booking commits to making the Commitment on the BSB coherent and effective, aimed at not giving any relevance/role to external prices even in the subsequent implementation phase of the Program in relation to the establishments. The proposed information contributes, in fact, to preserving the freedom of the establishment to define its own commercial/pricing strategies.  </w:t>
        <w:br/>
        <w:t xml:space="preserve">50. Lastly, Commitment 4.3 ensures that establishments are sufficiently informed of the frequency with which the BSB is applied to their bookings, as well as the average amount of the discount. This allows them to better assess whether and how to respond to the application of such a discount, considering that monitoring the application of the BSB would require excessive costs that are not feasible for medium-small establishments, which represent the majority of those present in Italy. Obviously, Commitment 4.3 does not prejudice the possible application by the Authority of the regulations regarding consumer protection (including Legislative Decree No. 26/2023, which implements Directive (EU) 2019/2161 for better enforcement and modernization of European Union consumer protection rules), in the presence of any future relevant informational omissions under the same.  </w:t>
        <w:br/>
        <w:t xml:space="preserve">51. In light of these arguments, it is believed that the results of the market test do not allow for different evaluations.  </w:t>
        <w:br/>
        <w:t xml:space="preserve">52. The observations of Federalberghi regarding the commitments related to the PP(+) Programs are not supported by the information regarding the operation of the performance score provided by Booking during the proceedings. As reiterated by Booking in its observations, neither external prices nor the number of bookings made on the Booking.com platform are relevant for the calculation of the performance score. In fact, this is calculated solely based on the following elements: [omitted].  </w:t>
        <w:br/>
        <w:t xml:space="preserve">53. In this regard, Commitment 1.1 is also relevant, under which Booking ensures that "the performance score and any other requirement (current and future), and related calculation methods, for entering and/or remaining in the Preferred Programs will not consider External Prices as inputs." Therefore, Booking will not be able to give relevance to external prices in the future, even indirectly, by including in the calculation of the performance score parameters that are nonetheless correlated with them.  </w:t>
        <w:br/>
        <w:t xml:space="preserve">54. Regarding the observations of the individual hotelier and Federalberghi, according to which the commitments related to the BSB would be ineffective as the application of the discount would remain conditioned on the establishment's adherence to the "Pay with Booking" program and Booking's unilateral choice to activate the BSB, without the establishments being able, at their discretion, to decide whether to adhere to it or not, the following is noted. This observation does not appear relevant as, considering that establishments choose to delegate to Booking the management of payment, the latter has the authority, as an intermediary with commercial autonomy, to apply a discount at its discretion on the rate established by the establishment.  </w:t>
        <w:br/>
        <w:t xml:space="preserve">55. In this context, Booking's decision not to make changes to the proposed commitments does not appear to be subject to criticism, especially considering that the Pay with Booking service does not constitute an autonomous part of the conduct configured in the initiation provision.  </w:t>
        <w:br/>
        <w:t xml:space="preserve">56. Finally, the proposal to entrust the monitoring of the correct implementation of the commitments to the Trustee appointed by the Authority at the request of the Party for a period of five years should be positively appreciated, due to the nature of the proposed commitments, as well as, if correctly implemented in light of the Best Practices of the European Commission and the precedents of the Authority26, the need to ensure effective monitoring by a third and impartial party regarding full compliance with them, without imposing disproportionate burdens on the Party. This, after an initial and sufficiently long period of "support and supervision," may continue with self-reporting to the Authority for the remaining five years of validity of the commitments.  </w:t>
        <w:br/>
        <w:t xml:space="preserve">VIII. CONCLUSIONS  </w:t>
        <w:br/>
        <w:t xml:space="preserve">57. In conclusion, based on the elements presented above and the considerations made, it is believed that the commitments presented by Booking are suitable to remedy the competitive concerns raised by the Authority at the initiation of this proceeding.  </w:t>
        <w:br/>
        <w:t xml:space="preserve">THEREFORE, it is deemed that the commitments presented by the companies Booking.com International B.V., Booking.com B.V., Booking.com (Italia) S.r.l. are suitable to eliminate the anticompetitive profiles subject to the investigation regarding possible violations of Article 102 TFEU;  </w:t>
        <w:br/>
        <w:t xml:space="preserve">IT IS DEEMED to order the mandatory nature of the commitments presented by the companies Booking.com International B.V., Booking.com B.V., Booking.com (Italia) S.r.l. pursuant to Article 14-ter, paragraph 1, of Law No. 287/1990;  </w:t>
        <w:br/>
        <w:t>26 See proceedings A529 - Google/Compatibility of Enel X Italia App with Android Auto system, provision No. 29645 of April 27, 2021, Bulletin No. 20/2021 and A552 - Google/Obstacles to data portability, provision No. 30736 of July 18, 2023, in Bulletin No. 29/2023.</w:t>
      </w:r>
    </w:p>
    <w:p>
      <w:r>
        <w:t xml:space="preserve">20 BULLETIN NO. 49 OF DECEMBER 23, 2024  </w:t>
        <w:br/>
        <w:t xml:space="preserve">All of the above having been stated and considered:  </w:t>
        <w:br/>
        <w:t xml:space="preserve">RESOLUTION  </w:t>
        <w:br/>
        <w:t xml:space="preserve">a) to make the commitments presented mandatory for the companies Booking.com International B.V., Booking.com B.V., Booking.com (Italia) S.r.l. pursuant to Article 14-ter, paragraph 1, of Law No. 287/1990, in the terms described above and attached in the version accessible to this provision, which forms an integral part thereof;  </w:t>
        <w:br/>
        <w:t xml:space="preserve">b) to close the proceedings without establishing the infringement, pursuant to Article 14-ter, paragraph 1, of Law No. 287/1990 against the companies Booking.com International B.V., Booking.com B.V., Booking.com (Italia) S.r.l.;  </w:t>
        <w:br/>
        <w:t xml:space="preserve">c) that the companies Booking.com International B.V., Booking.com B.V., Booking.com (Italia) S.r.l. present to the Authority, within thirty days from the notification of this provision, the proposal for the appointment of a Trustee, along with the mandate and work plan, as well as, subsequently to the appointment of the Trustee, the report on the status of implementation of the Commitments prepared by the Trustee responsible for monitoring on a semi-annual basis for the first two years and annually for the subsequent three years of the mandate and, for the remaining five years, a compliance report on an annual basis prepared by them.  </w:t>
        <w:br/>
        <w:t xml:space="preserve">This provision will be notified to the interested parties and published in the Bulletin of the Italian Competition Authority.  </w:t>
        <w:br/>
        <w:t xml:space="preserve">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 1199 of November 24, 1971, within one hundred and twenty days from the date of notification of the provision itself.  </w:t>
        <w:br/>
        <w:t xml:space="preserve">THE SECRETARY GENERAL THE PRESIDENT  </w:t>
        <w:br/>
        <w:t>Guido Stazi Roberto Rustichelli</w:t>
      </w:r>
    </w:p>
    <w:p>
      <w:r>
        <w:rPr>
          <w:b/>
        </w:rPr>
        <w:t>[Pages 19–21]</w:t>
      </w:r>
    </w:p>
    <w:p>
      <w:r>
        <w:t xml:space="preserve">BULLETIN NO. 49 OF DECEMBER 23, 2024 21  </w:t>
        <w:br/>
        <w:t xml:space="preserve">I850 - FIBERCOP AGREEMENTS  </w:t>
        <w:br/>
        <w:t xml:space="preserve">Provision No. 31414  </w:t>
        <w:br/>
        <w:t xml:space="preserve">THE COMPETITION AND MARKET AUTHORITY  </w:t>
        <w:br/>
        <w:t xml:space="preserve">IN ITS MEETING of December 17, 2024;  </w:t>
        <w:br/>
        <w:t xml:space="preserve">HEARD the Rapporteur, President Roberto Rustichelli;  </w:t>
        <w:br/>
        <w:t xml:space="preserve">HAVING REGARD TO Law No. 287 of October 10, 1990;  </w:t>
        <w:br/>
        <w:t xml:space="preserve">HAVING REGARD TO its resolution No. 28488 of December 15, 2020, with which an investigation was initiated pursuant to Article 14 of Law No. 287/1990, against the companies Telecom Italia S.p.A., Fastweb S.p.A., Teemo Bidco S.à r.l., FiberCop S.p.A., Tiscali Italia S.p.A., and KKR &amp; Co. Inc. to ascertain the existence of violations of Article 101 TFEU;  </w:t>
        <w:br/>
        <w:t xml:space="preserve">HAVING REGARD TO its resolution No. 30002 of February 15, 2022, with which, at the conclusion of the investigation, the commitments submitted by Telecom Italia S.p.A., FiberCop S.p.A., Fastweb S.p.A., Tiscali Italia S.p.A., Teemo Bidco S.à r.l., and KKR &amp; Co. Inc. were made binding pursuant to Article 14-ter, paragraph 1, of Law No. 287/1990;  </w:t>
        <w:br/>
        <w:t xml:space="preserve">HAVING REGARD TO the compliance reports on the status of implementation of the commitments, submitted by Telecom Italia S.p.A., FiberCop S.p.A., Fastweb S.p.A., Tiscali Italia S.p.A., Teemo Bidco S.à r.l., and KKR &amp; Co. Inc. in 2022 and 2023, and by Telecom Italia S.p.A. and Fastweb S.p.A. in 2024, within the terms provided by the aforementioned resolution No. 30002 of February 15, 2022, letters g) and h);  </w:t>
        <w:br/>
        <w:t xml:space="preserve">HAVING REGARD TO the requests for revocation of the commitments, submitted by FiberCop S.p.A. on July 17, 2024, and by Telecom Italia S.p.A. on July 22, 2024, requesting the revocation of the commitments made binding by the Authority with provision No. 30002 of February 15, 2022;  </w:t>
        <w:br/>
        <w:t xml:space="preserve">HAVING REGARD TO the acts of the procedure and the documentation acquired in the subsequent phase of compliance with the commitments;  </w:t>
        <w:br/>
        <w:t xml:space="preserve">CONSIDERING the following:  </w:t>
        <w:br/>
        <w:t xml:space="preserve">I. THE PARTIES TO THE I850 PROCEDURE  </w:t>
        <w:br/>
        <w:t xml:space="preserve">1. Telecom Italia S.p.A. (hereinafter also "TIM") is a company historically active in the installation and provision of telecommunications infrastructure, as well as in the offering of related services. As of July 1, 2024, upon completion of the spin-off process1, TIM is no longer the owner of the telephone network. Therefore, while it continues to provide retail services to end consumers, it sources wholesale access services from other operators, particularly from FiberCop S.p.A. (see below), which has in turn become the owner of the fixed network after the transfer of the relevant business unit from TIM. In 2023, the total revenue generated worldwide by the Telecom Group (thus, prior to the spin-off of the network) was approximately 16.3 billion euros, of which about 11.9 billion came from sales in Italy.  </w:t>
        <w:br/>
        <w:t>1 See European Commission decision, May 30, 2024, case M.11386 – KKR/NETCO.</w:t>
      </w:r>
    </w:p>
    <w:p>
      <w:r>
        <w:t xml:space="preserve">22 BULLETIN NO. 49 OF DECEMBER 23, 2024  </w:t>
        <w:br/>
        <w:t xml:space="preserve">2. FiberCop S.p.A. (hereinafter "FiberCop") is a company established in November 2020, as a vehicle for the realization of secondary fiber optic networks, also through the launch of a "co-investment" access service offer. Until June 30, 2024, the company was under the joint control of TIM, with a 58% shareholding, and Teemo Bidco, a purpose company controlled by the investment fund KKR &amp; Co. Inc. ("KKR"), with 37.5%, while Fastweb S.p.A. held 4.5%. As of July 1, 2024, the company came under the exclusive indirect control of KKR*2, following the acquisition of ownership of TIM's fixed network infrastructure and is now active in the wholesale fixed network access services market. Furthermore, in the context of the network spin-off operation, in June 2024, Fastweb reached an agreement with KKR for the sale of its stake in FiberCop, where it currently no longer has a shareholding3.  </w:t>
        <w:br/>
        <w:t xml:space="preserve">3. Teemo Bidco S.à r.l. (hereinafter "Teemo"), based in Luxembourg, is a company controlled by KKR through KKR Global Infrastructure Investor III L.P., a company incorporated in the Cayman Islands.  </w:t>
        <w:br/>
        <w:t xml:space="preserve">4. Fastweb S.p.A. (hereinafter also "Fastweb" or "FW") provides broadband and ultra-broadband telecommunications services, targeting both residential and business clientele, and is one of the main operators in the Italian market. It is also active in the mobile telecommunications services market. Fastweb is 100% controlled by Swisscom Italia S.r.l., which in turn is controlled by Swisscom AG, a company based in Switzerland that provides telecommunications services for residential and business customers and represents the incumbent operator in the Swiss market. In 2023, FW generated revenues of 2.6 billion euros in Italy.  </w:t>
        <w:br/>
        <w:t xml:space="preserve">5. Tiscali Italia S.p.A. (now named Tessellis S.p.A.) provides broadband and ultra-broadband telecommunications services and is also active in the mobile telecommunications services market. After merging with the retail branch of Linkem in 2022, it markets its offers under the Tiscali and Linkem brands. Following the merger, Linkem (now OpNet) became the majority shareholder of the company, which in 2023 was also renamed and took on its current name. In 2024, Wind Tre acquired control of OpNet4, excluding Tessellis, i.e., the retail divisions. In 2023, Tiscali generated revenues of approximately 234 million euros.  </w:t>
        <w:br/>
        <w:t xml:space="preserve">* In this version, some data are omitted, as elements of confidentiality or secrecy of the information were deemed to exist.  </w:t>
        <w:br/>
        <w:t xml:space="preserve">2 As it appears, the capital of FiberCop is held by the company Optics HoldCo S.r.l., whose capital is in turn divided as follows: [omitted].  </w:t>
        <w:br/>
        <w:t xml:space="preserve">3 Fastweb's shareholding in FiberCop stemmed from the fact that the joint company Flash Fiber, in which Fastweb held a 30% stake (70% was held by TIM), was merged into FiberCop. The Flash Fiber project was analyzed by the Authority in procedure I799, concluded on March 28, 2018, with commitments.  </w:t>
        <w:br/>
        <w:t>4 See provision No. 31205 of May 21, 2024, authorizing in phase I the concentration C12620 – Wind Tre/Brightco.</w:t>
      </w:r>
    </w:p>
    <w:p>
      <w:r>
        <w:t xml:space="preserve">BULLETIN NO. 49 OF DECEMBER 23, 2024 23  </w:t>
        <w:br/>
        <w:t xml:space="preserve">II. THE I850 PROCEDURE AND THE REQUESTS FOR REVOCATION OF THE COMMITMENTS  </w:t>
        <w:br/>
        <w:t xml:space="preserve">6. In the meeting of December 15, 2020, the Authority initiated a procedure for the alleged violation of Article 101 TFEU against FiberCop, Teemo Bidco, TIM, Fastweb, and Tiscali. The initiation followed the announcement made on August 31, 2020, by TIM, that it had approved an agreement with KKR and Fastweb regarding the establishment of FiberCop, in which TIM's secondary network and the fiber network previously developed by Flash Fiber S.r.l. ("Flash Fiber"), the joint venture in which TIM held 80% and Fastweb 20%5, would be transferred. In this context, Fastweb would therefore transfer its stake in Flash Fiber, corresponding to a value equal to 4.5% of FiberCop's share capital6.  </w:t>
        <w:br/>
        <w:t xml:space="preserve">7. The procedure concerned the set of agreements entered into by FiberCop, Teemo, TIM, Fastweb, and Tiscali in connection with the initiation of the co-investment project based on the establishment of FiberCop, in which the ownership of TIM's secondary network was transferred: among them, in particular, the agreement regarding the establishment of FiberCop S.p.A., as well as the "reciprocal nature" contracts7 for the provision of wholesale access services simultaneously signed by the latter with TIM, Fastweb, and Tiscali, among which the following were highlighted: (i) the reciprocal transfer contracts of IRU rights between TIM and FiberCop; (ii) the service contract between FiberCop and TIM for the construction and maintenance of the network; (iii) the contracts for the transfer of shares of Flash Fiber between TIM, Fastweb, and FiberCop; (iv) the Memorandum of Understanding (MoU) between FiberCop and Fastweb. Finally, the Memorandum of Understanding (MoU) signed with Tiscali, regarding access to TIM's network, was also subject to verification, as it was functional to the co-investment in FiberCop.  </w:t>
        <w:br/>
        <w:t xml:space="preserve">8. In the perspective of promoting the deployment in Italy of an ultra-broadband network through the use of fiber optic technologies, the aforementioned agreements provided for advantageous economic conditions, compared to the price levels set by current regulation, in exchange for commitments to ensure the purchase of minimum annual line quantities (hereinafter also "guaranteed minimums"). In this way, in the design of TIM/FiberCop, these contracts would achieve the same result as a co-investment agreement: the cash flows from the sale of access services would progressively finance the expansion of FiberCop's territorial coverage with fiber optic connections.  </w:t>
        <w:br/>
        <w:t xml:space="preserve">9. At the start of the investigation - also taking into account the changes that had occurred in the meantime in the market context, which, with the entry of Open Fiber, had created conditions for increasing competitive pressure both statically and dynamically in the offering of wholesale access services - the Authority's concerns regarding agreements entered into, in the context of the co-investment project, between competing operators (TIM, Fastweb, and Tiscali) concerned their suitability to produce a reduction in the contestability of demand in the wholesale fixed broadband and ultra-broadband access services market, disincentivizing the infrastructure of alternative operators to TIM, as well as the risk that in the telecommunications services market  </w:t>
        <w:br/>
        <w:t xml:space="preserve">5 Regarding the Flash Fiber project, see provision No. 27102 of March 28, 2018, with which the Authority closed, making binding the commitments submitted by TIM and Fastweb, the procedure I799 – TIM-Fastweb-Realizzazione rete in fibra, concerning the agreement between TIM and Fastweb to establish the joint company Flash Fiber S.r.l. intended to lay fiber optic in twenty-nine of the largest Italian cities.  </w:t>
        <w:br/>
        <w:t xml:space="preserve">6 As mentioned, in June 2024, Fastweb reached an agreement with KKR for the sale of its stake in FiberCop.  </w:t>
        <w:br/>
        <w:t>7 See initiation provision No. 28488 of December 15, 2020, paragraph 9.</w:t>
      </w:r>
    </w:p>
    <w:p>
      <w:r>
        <w:rPr>
          <w:b/>
        </w:rPr>
        <w:t>[Pages 22–24]</w:t>
      </w:r>
    </w:p>
    <w:p>
      <w:r>
        <w:t xml:space="preserve">24 BULLETIN NO. 49 OF DECEMBER 23, 2024  </w:t>
        <w:br/>
        <w:t xml:space="preserve">on retail fixed broadband and ultra-broadband networks were found to disincentivize competition for acquiring new customers and dynamic competition based on the improvement and innovation of the services provided.  </w:t>
        <w:br/>
        <w:t xml:space="preserve">10. During the proceedings, the Parties submitted packages of commitments (hereinafter collectively referred to as "Commitments"), of which a summary indication is provided below.  </w:t>
        <w:br/>
        <w:t xml:space="preserve">11. In particular, the commitments presented by TIM/FiberCop consist of:  </w:t>
        <w:br/>
        <w:t xml:space="preserve">˗ Commitment No. 1: to ensure certain timelines for the construction of the FiberCop network and its actual availability for marketing purposes;  </w:t>
        <w:br/>
        <w:t xml:space="preserve">˗ Commitment No. 2: to facilitate the construction of the primary network by co-investors in municipalities where the Flash Fiber fiber network is not present ("lease and buy");  </w:t>
        <w:br/>
        <w:t xml:space="preserve">˗ Commitment No. 3: to offer a discount on additional fibers for the construction of fiber in the primary network in the 29 Flash Fiber municipalities;  </w:t>
        <w:br/>
        <w:t xml:space="preserve">˗ Commitment No. 4: to allow non-co-investor operators access to the passive Semi-GPon service on a pay-per-use basis;  </w:t>
        <w:br/>
        <w:t xml:space="preserve">˗ Commitment No. 5: to propose an "entry-level" IRU offer profile to favor smaller operators;  </w:t>
        <w:br/>
        <w:t xml:space="preserve">˗ Commitment No. 6: to increase the excess flexibility threshold for the application of the price provided in relation to the guaranteed minimum and to take all necessary actions so that FiberCop proposes to Fastweb the consequent revision of the Fastweb Service Agreement;  </w:t>
        <w:br/>
        <w:t xml:space="preserve">˗ Commitment No. 7: to grant co-investors the right to install their own optical network termination at the end customer's premises;  </w:t>
        <w:br/>
        <w:t xml:space="preserve">˗ Commitment No. 8: to clarify in advertising and commercial communications regarding its retail FTTH service offerings that consumers remain free to install modems not provided by TIM for internet connections;  </w:t>
        <w:br/>
        <w:t xml:space="preserve">˗ Commitment No. 9: to restrict the scope of TIM's co-investment offer to passive services only;  </w:t>
        <w:br/>
        <w:t xml:space="preserve">˗ Commitment No. 10: to allow co-investors to independently manage the end customer activation (delivery) and technical assistance (assurance) activities regarding fiber accesses;  </w:t>
        <w:br/>
        <w:t xml:space="preserve">˗ Commitment No. 11: to establish, together with representatives of FiberCop and co-investors, a technical committee of co-investors;  </w:t>
        <w:br/>
        <w:t xml:space="preserve">˗ Commitment No. 12: to provide measures for the segregation of information between TIM and FiberCop;  </w:t>
        <w:br/>
        <w:t xml:space="preserve">˗ Commitment No. 13: to negotiate with Tiscali a new contract for the rationalization of the Tiscali network unlinked from the co-investment in the TIM network;  </w:t>
        <w:br/>
        <w:t xml:space="preserve">˗ Commitment No. 14: to amend Article 4.7 of the TIM Service Agreement (the ability to adjust access service prices based on inflation).  </w:t>
        <w:br/>
        <w:t xml:space="preserve">12. Fastweb's commitments consist of:  </w:t>
        <w:br/>
        <w:t xml:space="preserve">˗ Commitment No. 1: extension of the territorial scope to which the guaranteed minimums apply and modification of the guaranteed minimums;  </w:t>
        <w:br/>
        <w:t>˗ Commitment No. 2: achievement of the Guaranteed Minimums through purchases of the secondary network segment of FiberCop;</w:t>
      </w:r>
    </w:p>
    <w:p>
      <w:r>
        <w:t xml:space="preserve">BULLETIN NO. 49 OF DECEMBER 23, 2024 25  </w:t>
        <w:br/>
        <w:t xml:space="preserve">˗ Commitment No. 3: Fastweb commits, starting from 2027, to have the availability of primary network infrastructure for coverage equal to 50% of FiberCop's potential coverage in areas of Fastweb's interest;  </w:t>
        <w:br/>
        <w:t xml:space="preserve">˗ Commitment No. 4: Fastweb's ability to modify the Guaranteed Minimums year by year in case of underestimation and increase the tolerance threshold;  </w:t>
        <w:br/>
        <w:t xml:space="preserve">˗ Commitment No. 5: activation and maintenance activities for its customers managed by Fastweb;  </w:t>
        <w:br/>
        <w:t xml:space="preserve">˗ Commitment No. 6: Fastweb commits to amend, at FiberCop's request and with a reciprocal commitment to those offered to the AGCM by Teemo and TIM in the context of these proceedings, Article 5.7 of the MSA, concerning ISTAT adjustments of the prices of access services included in the co-investment.  </w:t>
        <w:br/>
        <w:t xml:space="preserve">13. The commitments of Teemo/KKR consist of:  </w:t>
        <w:br/>
        <w:t xml:space="preserve">˗ Commitment to take all necessary actions so that FiberCop offers the co-investor acquiring access services to the CRO with the IRU mode for 20 years, as an alternative to the current IRU profile that allows connecting up to 64 customers, another entry-level profile (similar to Commitment No. 5 TIM);  </w:t>
        <w:br/>
        <w:t xml:space="preserve">˗ Commitment to take all necessary actions so that FiberCop proposes to Fastweb the revision of the Fastweb Service Agreement (§ 5.2.2) consequent to Commitment No. 6 presented by TIM (Commitment No. 6 TIM);  </w:t>
        <w:br/>
        <w:t xml:space="preserve">˗ Commitment to establish, together with representatives of FiberCop and co-investors, a technical committee of co-investors (Commitment No. 11 TIM);  </w:t>
        <w:br/>
        <w:t xml:space="preserve">˗ adherence to the proposed amendments to Articles 4.7 of the Master Service Agreement between FiberCop and TIM and 2.2.7.3 of the Master Service Agreement between FiberCop and Fastweb, concerning the ISTAT indexing of the fees for FiberCop services.  </w:t>
        <w:br/>
        <w:t xml:space="preserve">˗ Commitment to take all necessary actions so that: (i) FiberCop adopts suitable measures to prevent the transfer of any commercially sensitive information among its shareholders; and (ii) its board of directors adopts an antitrust compliance manual (Commitment No. 12 TIM); the Companies also specifically commit to ensure that Teemo Bidco does not disclose to any third parties, whether they are shareholders of FiberCop or market operators, any strategic and/or commercially sensitive information related to the FiberCop Project, which it has accessed in exercising its prerogatives as a financial investor in FiberCop:  </w:t>
        <w:br/>
        <w:t xml:space="preserve">˗ Commitment to amend Article 4.7 of the TIM Service Agreement ("ISTAT Adjustments") according to the wording provided in TIM's commitments (Commitment No. 14 TIM);  </w:t>
        <w:br/>
        <w:t xml:space="preserve">˗ Commitment to amend Article 5.7 of the Master Service Agreement between FiberCop and Fastweb, concerning the ISTAT indexing of the fees for FiberCop services, according to the wording provided in Fastweb's commitments (Commitment No. 6 Fastweb);  </w:t>
        <w:br/>
        <w:t xml:space="preserve">˗ Furthermore, the companies have declared their formal adherence to TIM's commitments (from 1 to 14), FiberCop's (1 and 2), and Fastweb's Commitment No. 6.  </w:t>
        <w:br/>
        <w:t xml:space="preserve">14. Tiscali's commitments consist of:  </w:t>
        <w:br/>
        <w:t>˗ Commitment No. 1: commitment to formally terminate the co-investment contract signed by the Company and TIM, along with the commitment not to exceed – should a new co-investment contract be signed – the overall threshold of [omitted] at the expiration of the ten-year co-investment contract possibly signed by Tiscali:</w:t>
      </w:r>
    </w:p>
    <w:p>
      <w:r>
        <w:t xml:space="preserve">26 BULLETIN NO. 49 OF DECEMBER 23, 2024  </w:t>
        <w:br/>
        <w:t xml:space="preserve">˗ Commitment No. 2: signing a new version of the rationalization contract that eliminates any connection with the co-investment contract and with a reduction of the minimum quantity of lines from [omitted].  </w:t>
        <w:br/>
        <w:t xml:space="preserve">15. FiberCop's commitments consist of:  </w:t>
        <w:br/>
        <w:t xml:space="preserve">˗ Commitment to adopt measures aimed at ensuring the segregation of sensitive information from a competitive standpoint, consisting of the adoption of suitable physical, logical, and behavioral measures to ensure the segregation of retail and wholesale customer data among the Company, its shareholders (particularly TIM and Fastweb), and other operators. Compliance with the measures taken under this commitment will be ensured by the Company's Antitrust &amp; Compliance Officer;  </w:t>
        <w:br/>
        <w:t xml:space="preserve">˗ Commitment to adopt antitrust compliance measures, in order to ensure full compliance with antitrust regulations, providing, among other things, for the preparation of a Manual in which the rules and behavioral measures to be implemented by FiberCop and its directors and employees will be defined.  </w:t>
        <w:br/>
        <w:t xml:space="preserve">16. With resolution No. 30002 of February 15, 2022, the Authority closed the I850 proceedings and made the commitments presented binding, deeming them suitable to ensure the dual purpose of: 1. facilitating the infrastructure of FiberCop and alternative operators, reducing their access costs to the primary network (a necessary input for making investments in the secondary network) and 2. eliminating the risk of demand hoarding for access services (to the detriment of FiberCop's competitors) as a consequence of the clauses initially provided in the co-investment project related to the "guaranteed minimums."  </w:t>
        <w:br/>
        <w:t xml:space="preserve">17. Such measures, in many cases, for their complete implementation, required intervention also from the Authority for Communications Guarantees (hereinafter, AgCom), as they raised some institutional competencies of the regulator. On this point, in the closing provision of the proceedings, it was noted that "AGCOM believes it must carry out its assessments of competence regarding the economic conditions provided for in the commitments in question."8  </w:t>
        <w:br/>
        <w:t xml:space="preserve">18. In the meeting of October 10, 2023, the Authority took note of the information provided by the Parties regarding the status of implementation of the commitments, concerning the second compliance reports submitted and the further elements acquired with specific requests for information. On January 30, 2024, the third compliance report from TIM/FiberCop was received, followed on February 1 by the compliance report from Fastweb. At the same time, TIM requested a hearing, which took place on February 12, 2024, in which it communicated that it had initiated the operation of transferring the fixed network to Optics Bidco S.p.A. – a purpose company under the exclusive control of KKR, which then transformed into Optics HoldCo – thus including the passive transport and transmission network (backbone). These last reports did not reveal, compared to 2023, critical elements regarding the actions taken by TIM/FiberCop and Fastweb for the implementation of their respective commitments.  </w:t>
        <w:br/>
        <w:t xml:space="preserve">19. Since the end of 2023, the situation has changed radically, following some significant events. On one hand, as mentioned, on July 1, 2024, the process of spinning off TIM's network infrastructure was completed. On the other hand, with resolution No. 339/23/CONS of December 20, 2023,  </w:t>
        <w:br/>
        <w:t>8 See closing provision of the I850 proceedings, of February 15, 2022, par. 135.</w:t>
      </w:r>
    </w:p>
    <w:p>
      <w:r>
        <w:rPr>
          <w:b/>
        </w:rPr>
        <w:t>[Pages 25–27]</w:t>
      </w:r>
    </w:p>
    <w:p>
      <w:r>
        <w:t xml:space="preserve">BULLETIN NO. 49 OF DECEMBER 23, 2024 27  </w:t>
        <w:br/>
        <w:t xml:space="preserve">AgCom concluded the evaluation procedure of the commitment proposal submitted by TIM pursuant to the European Electronic Communications Code, concerning co-investment in ultra-high-capacity networks, initiated with resolution No. 110/21/CONS. On this occasion, AgCom did not approve the commitments concerning TIM's co-investment offer, considering that it did not meet the conditions set out in the Communications Code. Therefore, the offer conditions for participation in the co-investment were not approved.  </w:t>
        <w:br/>
        <w:t xml:space="preserve">20. The sector regulator did not recognize the compatibility of the FiberCop project with the criteria established by the Communications Code for TIM to obtain a reduction in regulatory burdens. As a consequence, the co-investment project was formally abandoned by TIM, with a public announcement on January 3, 20249.  </w:t>
        <w:br/>
        <w:t xml:space="preserve">21. On July 17, 2024, just a few days after the completion of the sale of TIM's fixed network, the new FiberCop, controlled by KKR, submitted a request for the revocation of the commitments made binding by the Authority at the end of procedure I850. The request is motivated by the circumstance that the agreement subject to the procedure has ceased and by the structural changes in the relevant markets that occurred after the identification of the commitments.  </w:t>
        <w:br/>
        <w:t xml:space="preserve">22. According to FiberCop, as a result of the vertical disintegration of the fixed network, completed on July 1, 2024, TIM is no longer a vertically integrated operator and FiberCop is now a pure wholesaler. The separation between FiberCop and TIM has also resulted in the termination of the old co-investment agreement existing between the two companies, one of the main agreements examined by the Authority in procedure I850. In the new context, the two companies have commercial relations governed by a new contract, the Master Service Agreement10.  </w:t>
        <w:br/>
        <w:t xml:space="preserve">23. FiberCop also noted that Agcom's resolution on the analysis of fixed network access markets No. 114/24/CONS has changed the regulatory framework, resulting in several commitments being superseded by other subsequent regulatory obligations.  </w:t>
        <w:br/>
        <w:t xml:space="preserve">24. According to FiberCop, therefore, the scenario in which the commitments were approved has radically changed, both from a subjective perspective (with the ownership separation of the fixed network) and from an objective perspective, as the agreement subject to procedure I850 has ceased to exist.  </w:t>
        <w:br/>
        <w:t xml:space="preserve">25. Similarly, on July 22, 2024, TIM – in its new capacity as a company without a telecommunications network – also submitted a request for the revocation of the commitments, highlighting that, no longer holding any rights over the infrastructure network, it has no authority or power regarding the management of competitors' access to it, finding itself in a material impossibility to still contribute to compliance with the commitments of I850. These commitments are indeed focused on the offer of wholesale access services to the fixed network. As reiterated by FiberCop, TIM emphasized that the sale of the network has also led to the termination of the co-investment contract between TIM and FiberCop that was subject to analysis in the procedure.  </w:t>
        <w:br/>
        <w:t xml:space="preserve">26. Therefore, according to TIM and FiberCop, the agreement subject to the procedure on which the commitments imposed on TIM were presented, accepted, and made binding no longer exists, as the prerequisite that originally led to the Authority's intervention is missing.  </w:t>
        <w:br/>
        <w:t xml:space="preserve">9 See TIM press release of January 3, 2024, https://wdc.wholesale.telecomitalia.it/tw_news/2024/01/03/chiusura-del-procedimento-di-valutazione-della-proposta-di-impegni-presentata-da-tim-ai-sensi-degli-articoli-76-e-79-ccee-concernente-il-co-investimento-nelle-reti-ad-altissima-capacita-avviato-con-de/.  </w:t>
        <w:br/>
        <w:t>10 See Authority resolution of December 17, 2024 I874 – Master Service Agreement TIM-FiberCop.</w:t>
      </w:r>
    </w:p>
    <w:p>
      <w:r>
        <w:t xml:space="preserve">28 BULLETIN NO. 49 OF DECEMBER 23, 2024  </w:t>
        <w:br/>
        <w:t xml:space="preserve">III. EVALUATIONS  </w:t>
        <w:br/>
        <w:t xml:space="preserve">27. With the withdrawal of the co-investment offer by TIM, publicly announced in January 202411, and then with the sale of TIM's network to FiberCop under the indirect control of KKR in July 2024, the commitments made binding by the Authority at the closure of procedure I850 must be considered superseded in the perspective of mitigating the competitive impact of the agreement arising from the establishment of FiberCop. This is because the agreement investigated by the Authority in procedure I850 no longer exists.  </w:t>
        <w:br/>
        <w:t xml:space="preserve">28. In this regard, it is first necessary to consider that the supply contract between FiberCop and TIM established in the context of the agreement analyzed by the Authority was replaced in July 2024 by a new contract, called the Master Service Agreement. However, this new contract is no longer linked in any way to the old co-investment project, particularly due to the absence of that reciprocity constraint to the remaining agreements that made up the agreement and that had as a common denominator the project for the construction of the FiberCop network; it appears to constitute exclusively a tool for regulating the commercial relations between the two business entities arising from the split, (the new) FiberCop and TIM. Furthermore, this contract does not even have any purpose-related relationship or shared objectives with the surviving contract between FiberCop and Fastweb.  </w:t>
        <w:br/>
        <w:t xml:space="preserve">29. In this last regard, it is noted that the aforementioned service contract for the provision of access to the network in force between Fastweb and FiberCop, defined within an agreement that established the conditions for Fastweb's participation in the investment, together with FiberCop, in the development of the new fiber optic network12, is currently no longer logically connected to the set of agreements that formed the ceased agreement; it rather constitutes a commercial agreement between two operators for the provision of network inputs, partially comparable to other similar contracts that are in force in the market and that do not present those reciprocity relationships characteristic of a co-investment project such as that examined by the Authority in procedure I850. For this reason, the commitments made binding by the Authority towards Fastweb S.p.A., aimed at overcoming the competitive issues related to that now ceased agreement, also appear to be superseded.  </w:t>
        <w:br/>
        <w:t xml:space="preserve">30. Furthermore, it is important to consider that in January 2024 TIM, still vertically integrated but already in the process of completing the ownership separation of the fixed network, withdrew the co-investment offer, thereby eliminating the foundational core of the initiation of procedure I850, as well as the logical basis of the commitments made binding at the closure of the procedure.  </w:t>
        <w:br/>
        <w:t xml:space="preserve">31. Finally, the separation of the network is also relevant from a subjective perspective, considering that TIM, deprived of the availability of the network, is materially unable to fulfill the commitments.  </w:t>
        <w:br/>
        <w:t xml:space="preserve">32. By way of example, it suffices to consider that TIM's commitment 6 guaranteed, to operators who adhered to the co-investment offer, upward flexibility thresholds of the number of lines that could be activated, allowing them to obtain benefits in terms of prices and favorable economic conditions related to the co-investment offer. This commitment is now no longer materially feasible a) by TIM because it no longer possesses the network; b) by FiberCop because the co-investment offer to which the commitment was ontologically related no longer exists.  </w:t>
        <w:br/>
        <w:t xml:space="preserve">33. In general, therefore, the binding framework of commitments made by the Authority is no longer considered current due to the cessation of the agreement as originally identified in the initiation provision, a circumstance that eliminates the close interrelationship between the measures taken by the Parties and the need to mitigate the restrictive effects of the agreement.  </w:t>
        <w:br/>
        <w:t xml:space="preserve">34. In conclusion, the conditions for accepting the requests for revocation of the commitments are fully present: the agreement subject to the initiation has ceased; FiberCop and TIM, for different reasons concerning both objective and subjective aspects, find themselves in a material impossibility to continue the implementation of the commitments; the commitments no longer present any residual degree of relevance, as the existential link with the co-investment project of which they were to serve as a factor for mitigating the restrictive effects of competition has ceased.  </w:t>
        <w:br/>
        <w:t xml:space="preserve">IV. CONCLUSIONS  </w:t>
        <w:br/>
        <w:t xml:space="preserve">35. Based on the information presented above, it is deemed necessary to order the revocation of the commitments made binding by the Authority with resolution No. 30002 of February 15, 2022, against all Parties in the procedure.  </w:t>
        <w:br/>
        <w:t xml:space="preserve">36. The commitments have indeed been positively evaluated by the Authority as a tool for removing competitive concerns related to a hypothesis of restrictive agreement that is no longer in existence. Many of the aforementioned commitments, moreover, would no longer be materially feasible, as the prerequisite of the possibility, upstream, to adhere to the co-investment offer is missing.  </w:t>
        <w:br/>
        <w:t xml:space="preserve">THEREFORE, considering that the information presented by FiberCop S.p.A. and TIM S.p.A., together with additional elements acquired by the Authority, are such as to consider the conditions for the revocability of the commitments made binding by the Authority with resolution No. 30002 of February 15, 2022 to be present;  </w:t>
        <w:br/>
        <w:t xml:space="preserve">all of the above having been stated and considered:  </w:t>
        <w:br/>
        <w:t xml:space="preserve">RESOLVES  </w:t>
        <w:br/>
        <w:t xml:space="preserve">the revocation of the commitments made binding by the Authority with resolution No. 30002 of February 15, 2022, effective from the date of resolution of this provision.  </w:t>
        <w:br/>
        <w:t xml:space="preserve">This provision will be notified to the interested parties and published in the Bulletin of the Competition and Market Authority.  </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w:t>
      </w:r>
    </w:p>
    <w:p>
      <w:r>
        <w:rPr>
          <w:b/>
        </w:rPr>
        <w:t>[Pages 28–30]</w:t>
      </w:r>
    </w:p>
    <w:p>
      <w:r>
        <w:t xml:space="preserve">30 BULLETIN NO. 49 OF DECEMBER 23, 2024  </w:t>
        <w:br/>
        <w:t xml:space="preserve">8, paragraph 2, of the Decree of the President of the Republic of November 24, 1971, No. 1199, within the deadline of one hundred and twenty days from the date of notification of the provision itself.  </w:t>
        <w:br/>
        <w:t xml:space="preserve">THE SECRETARY GENERAL THE PRESIDENT  </w:t>
        <w:br/>
        <w:t>Guido Stazi Roberto Rustichelli</w:t>
      </w:r>
    </w:p>
    <w:p>
      <w:r>
        <w:t xml:space="preserve">BULLETIN NO. 49 OF DECEMBER 23, 2024 31  </w:t>
        <w:br/>
        <w:t xml:space="preserve">I874 - MASTER SERVICE AGREEMENT TIM-FIBERCOP  </w:t>
        <w:br/>
        <w:t xml:space="preserve">Provision No. 31415  </w:t>
        <w:br/>
        <w:t xml:space="preserve">THE COMPETITION AND MARKET AUTHORITY  </w:t>
        <w:br/>
        <w:t xml:space="preserve">IN ITS MEETING of December 17, 2024;  </w:t>
        <w:br/>
        <w:t xml:space="preserve">HEARD the Rapporteur Professor Elisabetta Iossa;  </w:t>
        <w:br/>
        <w:t xml:space="preserve">HAVING REGARD to Law No. 287 of October 10, 1990;  </w:t>
        <w:br/>
        <w:t xml:space="preserve">HAVING REGARD to Article 101 of the Treaty on the Functioning of the European Union (TFEU);  </w:t>
        <w:br/>
        <w:t xml:space="preserve">HAVING REGARD to Regulation No. 1/2003 of the Council of December 16, 2002;  </w:t>
        <w:br/>
        <w:t xml:space="preserve">HAVING REGARD to Law No. 287 of October 10, 1990;  </w:t>
        <w:br/>
        <w:t xml:space="preserve">HAVING REGARD to the Decree of the President of the Republic No. 217 of April 30, 1998;  </w:t>
        <w:br/>
        <w:t xml:space="preserve">HAVING REGARD to the reports from the companies Open Fiber S.p.A. dated June 21, 2024, subsequently supplemented with further elements on September 19, 2024, October 4, 2024, November 12, 2024, and December 4, 2024, Vodafone Italia S.p.A. dated August 8, 2024, Iliad Italia S.p.A. dated August 14, 2024, and the Italian Internet Provider Association dated October 14, 2024;  </w:t>
        <w:br/>
        <w:t xml:space="preserve">HAVING REGARD to the information provided by Sky Italia S.r.l. during the hearing held on March 5, 2024, by Retelit S.p.A. during the hearing held on July 2, 2024, and by Open Fiber S.p.A. during the hearing held on December 4, 2024;  </w:t>
        <w:br/>
        <w:t xml:space="preserve">HAVING REGARD to the information brought to the Authority's attention by FiberCop S.p.A. on June 26, 2024, July 15, 2024, August 5, 2024, and October 11, 2024, as well as the information received from Telecom Italia S.p.A. on November 25, 2024;  </w:t>
        <w:br/>
        <w:t xml:space="preserve">HAVING REGARD to the decision of the European Commission of May 30, 2024, case M.11386 – KKR/NETCO;  </w:t>
        <w:br/>
        <w:t xml:space="preserve">HAVING REGARD to the documentation on file;  </w:t>
        <w:br/>
        <w:t xml:space="preserve">CONSIDERING the following:  </w:t>
        <w:br/>
        <w:t xml:space="preserve">I. THE PARTIES  </w:t>
        <w:br/>
        <w:t xml:space="preserve">1. FiberCop S.p.A. (hereinafter, "FiberCop") is a company established in November 2020, as a vehicle for the realization of secondary fiber optic networks, also through the launch of a "co-investment" access service offer. Until June 30, 2024, FiberCop operated as a wholesale access service provider exclusively in reference to the secondary network. In this initial phase, the company was under the joint control of TIM, with a 58% shareholding, and Teemo Bidco (a purpose company controlled by the KKR fund) with 37.5%, while Fastweb S.p.A. held 4.5%. As of July 1, 2024, the company came under the exclusive indirect control of KKR*1, following the acquisition of ownership of TIM's fixed network infrastructure and is now active in the wholesale fixed access services market2.  </w:t>
        <w:br/>
        <w:t xml:space="preserve">2. Telecom Italia S.p.A. (hereinafter also "TIM") is a company historically active in the installation and provision of telecommunications infrastructure, as well as in offering related services. As of July 1, 2024, upon completion of the spin-off process, TIM is no longer the owner of the telephone network. Therefore, while it continues to provide retail services to end consumers, it sources wholesale access services from other operators, particularly from FiberCop, which has in turn become the owner of the fixed network following the transfer of the relevant business unit from TIM. Currently, there is no controlling shareholding; the entities with the largest shares are Vivendi SA, a French company active in telecommunications and media, with 23.75% and Cassa Depositi e Prestiti, with 9.81%. In 2023, the total revenue generated globally by the Telecom Group (thus, prior to the spin-off of the network) was approximately 16.3 billion euros, of which about 11.9 billion came from sales in Italy.  </w:t>
        <w:br/>
        <w:t xml:space="preserve">II. THE AGREEMENT BETWEEN FIBERCOP AND TELECOM ITALIA  </w:t>
        <w:br/>
        <w:t xml:space="preserve">3. Following the completion of the network spin-off operation in July 2024, the relations between FiberCop and TIM were governed by a new contract called the Master Service Agreement (hereinafter, MSA). The new contract replaced the previous agreement that existed between the vertically integrated TIM and the FiberCop that was then still majority-owned by TIM. Now that TIM has become a company active in the retail services market, the new service contract with the new FiberCop is functional for procuring upstream network access services, which were previously provided in-house by TIM's wholesale division and the old FiberCop.  </w:t>
        <w:br/>
        <w:t xml:space="preserve">4. On July 15, 2024, FiberCop submitted the final version of the MSA. This contract provides that wholesale access services, both passive and active, are to be exclusively provided by FiberCop for fifteen years, automatically renewable for another fifteen years. Other services will instead be provided by TIM to FiberCop. According to what FiberCop stated in the accompanying note submitted with the MSA, access is made available to TIM on non-discriminatory terms and conditions, with FiberCop committing to operate on a wholesale-only model.  </w:t>
        <w:br/>
        <w:t xml:space="preserve">5. The MSA has a duration of fifteen years from the date of signing (i.e., from the date of closing of the network transfer operation). However, before the expiration of the contract, TIM and FiberCop [omitted], taking into account specific parameters. Therefore, the actual duration is fifteen years, renewable for another fifteen years.  </w:t>
        <w:br/>
        <w:t xml:space="preserve">6. The services that TIM will acquire from FiberCop (FiberCop Services), based on the MSA, are as follows:  </w:t>
        <w:br/>
        <w:t xml:space="preserve">(a) Access services; (b) B2B services (these include in particular the IRU rights granted to TIM on the connections [omitted], in addition to co-location services, interconnection services for voice  </w:t>
        <w:br/>
        <w:t xml:space="preserve">* In this version, some data are omitted, as there were deemed to be elements of confidentiality or secrecy of the information.  </w:t>
        <w:br/>
        <w:t xml:space="preserve">1 As it appears, the capital of FiberCop is held by the company Optics HoldCo S.r.l. whose capital is in turn divided as follows: [omitted].  </w:t>
        <w:br/>
        <w:t>2 See European Commission decision, May 30, 2024, case M.11386 – KKR/NETCO.</w:t>
      </w:r>
    </w:p>
    <w:p>
      <w:r>
        <w:rPr>
          <w:b/>
        </w:rPr>
        <w:t>[Pages 31–33]</w:t>
      </w:r>
    </w:p>
    <w:p>
      <w:r>
        <w:t xml:space="preserve">BULLETIN NO. 49 OF DECEMBER 23, 2024 33  </w:t>
        <w:br/>
        <w:t xml:space="preserve">legacy and bandwidth services for legacy accesses); c) Network services (engineering, delivery, and assurance); d) Real estate services; e) Energy services. The exclusivity in favor of FiberCop lasts for the entire duration of the contract, namely for fifteen years, renewable for another fifteen only for the network access services under (a); for the others, the exclusivity lasts the first [omissis] years.  </w:t>
        <w:br/>
        <w:t xml:space="preserve">7. Regarding the services that FiberCop purchases from TIM, the MSA governs the following: (a) Data Center Services; (b) Corporate mobile services; (c) Corporate network services; (d) IT BSS – Communication and Collaboration Services for FiberCop employees; and (e) transport services to provide Bitstream to FiberCop customers, the sole interlocutor with third parties requesting access services. Furthermore, FiberCop will take over the lease contracts for certain properties that, after the operation, will remain within TIM's perimeter.  </w:t>
        <w:br/>
        <w:t xml:space="preserve">8. The services provided by TIM to FiberCop aim to ensure the operational continuity of FiberCop after the closing. For the services that TIM provides to FiberCop, there are no exclusives in favor of TIM, except for [omissis] for Data Center services and [omissis] for mobile phone services provided to FiberCop employees (which FiberCop considers compatible with the duration of the mobile phone contracts for companies).  </w:t>
        <w:br/>
        <w:t xml:space="preserve">9. For the entire duration of the MSA, TIM commits to: (i) purchase all services [omissis], as well as all other services [omissis] from FiberCop; (ii) not self-supply or purchase from others any [omissis]. For TIM, the provision of exclusivity for supply from FiberCop constitutes a guarantee of a continuous supply of wholesale services necessary for the marketing of services in the retail fixed network markets.  </w:t>
        <w:br/>
        <w:t xml:space="preserve">10. Furthermore, TIM enjoys a most favored nation (MFN) clause whereby, if FiberCop makes more favorable offers to other operators for the same access services sold to TIM, during the period in which the contract is in force, such conditions must also be applied to TIM.  </w:t>
        <w:br/>
        <w:t xml:space="preserve">11. The MSA provides, for active FTTH services (so-called VULA FTTH), a specific regulation regarding pricing, with the provision of a volume discount mechanism. Volume discounts will also be granted, under equal conditions, to other operators. The discount scheme is summarized in the following Figure 1:  </w:t>
        <w:br/>
        <w:t xml:space="preserve">Figure 1. MSA Discount Mechanism  </w:t>
        <w:br/>
        <w:t xml:space="preserve">[omissis]  </w:t>
        <w:br/>
        <w:t xml:space="preserve">12. In practice, discounts increase, for each additional customer, upon exceeding certain percentage thresholds of the ratio between activated lines and activatable lines, within a specific geographical area, reaching a maximum of two euros per line discount, compared to the price regulated by AGCOM, once the 12% threshold of such ratio is exceeded.  </w:t>
        <w:br/>
        <w:t xml:space="preserve">13. Finally, it is noted that clause 6.1.6 of the Master Service Agreement states that “[omissis]”.  </w:t>
        <w:br/>
        <w:t xml:space="preserve">14. In other words, under (a), TIM must adhere to the exclusivity in favor of FiberCop and will be [omissis] to procure from FiberCop for each [omissis], once FiberCop's fiber access service begins to be available in a specific area, where TIM purchases the access service from [omissis]. Furthermore, TIM and FiberCop must, pursuant to what is provided under (b), negotiate a plan for [omissis] also for the lines already active on the [omissis].  </w:t>
        <w:br/>
        <w:t xml:space="preserve">15. Finally, regarding the valuation of the IRU rights granted by FiberCop to TIM on dedicated fibers in the context of the transfer of TIM's fixed network, FiberCop emphasized that the transfer of the aforementioned IRUs was not at [omissis] but valued by subtracting from the purchase price offered by FiberCop for the network the value attributed to such IRUs. In practice, in exchange for these IRUs, TIM would have received a value [omissis] for the transfer of the network.  </w:t>
        <w:br/>
        <w:t xml:space="preserve">III. EVALUATIONS  </w:t>
        <w:br/>
        <w:t xml:space="preserve">a. The relevant markets  </w:t>
        <w:br/>
        <w:t xml:space="preserve">i. The market for wholesale access services to the fixed network  </w:t>
        <w:br/>
        <w:t xml:space="preserve">16. FiberCop will operate in the market for wholesale local access services at a fixed location. This market is identified by the demand and supply of wholesale local access services at a fixed location, provided through the use of physical carriers in copper, fiber optic, and wireless (FWA). In particular, FiberCop will provide access services to the network, both active and passive. In the market for wholesale access services to the fixed network, inputs necessary to prepare an offer of fixed telecommunications services aimed at end customers are marketed, to the extent that it is not possible to serve end customers without having access to the local network.  </w:t>
        <w:br/>
        <w:t xml:space="preserve">17. Currently, the offer of access services is mainly expressed by three operators (FiberCop, Open Fiber, and Fastweb). Considering the market in its entire commodity and geographical extent, thus including both passive and active services and taking into account all network technologies (copper, copper-fiber, fiber, FWA), FiberCop holds a leading position:  </w:t>
        <w:br/>
        <w:t xml:space="preserve">Table 1. Market shares of wholesale access services (total, in value)  </w:t>
        <w:br/>
        <w:t xml:space="preserve">2021 2022  </w:t>
        <w:br/>
        <w:t xml:space="preserve">FiberCop [70 – 75]% [65 – 70]%  </w:t>
        <w:br/>
        <w:t xml:space="preserve">Open Fiber [15 – 20]% [20 – 25]%  </w:t>
        <w:br/>
        <w:t xml:space="preserve">Fastweb [5 – 10]% [5 – 10]%  </w:t>
        <w:br/>
        <w:t xml:space="preserve">Source: Authority's processing of AGCOM data  </w:t>
        <w:br/>
        <w:t xml:space="preserve">18. From a geographical perspective, it is important to note that FiberCop is present with its offer throughout the national territory, with various access technologies. The MSA is also valid for the entire national territory. For these reasons, the competitive assessment of the aforementioned agreement appears to be able to be conducted with reference to the entire national scope. However, considering that competitive dynamics show some elements of peculiarity in relation to sub-national territorial areas, which AGCOM has taken into account in its most recent market analysis intervention3, it currently does not seem possible to exclude that such heterogeneity may also be relevant in assessing the effects of the agreement under examination.  </w:t>
        <w:br/>
        <w:t xml:space="preserve">19. As mentioned, following the transfer of fixed network infrastructures, TIM is no longer present in the wholesale access services offer, as it has now moved to the demand side.  </w:t>
        <w:br/>
        <w:t xml:space="preserve">20. Telecommunications operators require network inputs whether they intend to serve only residential customers or whether they direct their offer to business customers.  </w:t>
        <w:br/>
        <w:t>3 See Authority Resolution No. 114/24/CONS of April 30, 2024.</w:t>
      </w:r>
    </w:p>
    <w:p>
      <w:r>
        <w:t xml:space="preserve">BULLETIN NO. 49 OF DECEMBER 23, 2024 35  </w:t>
        <w:br/>
        <w:t xml:space="preserve">and the Public Administration. The Commission's Recommendation4 on markets susceptible to ex ante regulation distinguishes access services into two markets:  </w:t>
        <w:br/>
        <w:t xml:space="preserve">˗ Market 1 of wholesale local access services at a fixed location;  </w:t>
        <w:br/>
        <w:t xml:space="preserve">˗ Market 2 of wholesale dedicated capacity services.  </w:t>
        <w:br/>
        <w:t xml:space="preserve">21. In summary, Market 1 includes shared capacity access services, primarily used to serve residential customers. In Market 2, on the other hand, connections are offered, with copper or fiber carriers, both passive and active, with dedicated capacity, used to connect the user premises of business clients.  </w:t>
        <w:br/>
        <w:t xml:space="preserve">22. In the access Market 2, compared to Market 1, there is a greater competitive dynamic. Over the years, in fact, some operators have established dedicated connection networks owned by alternatives to the incumbent. In any case, FiberCop is still the market leader in most of the national territory:  </w:t>
        <w:br/>
        <w:t xml:space="preserve">Table 2. Market shares (with self-production) in Market 2  </w:t>
        <w:br/>
        <w:t xml:space="preserve">2021 2022  </w:t>
        <w:br/>
        <w:t xml:space="preserve">FiberCop 59.1% 58.3%  </w:t>
        <w:br/>
        <w:t xml:space="preserve">Fastweb 21.3% 17.0%  </w:t>
        <w:br/>
        <w:t xml:space="preserve">WindTre 9.7% 12.0%  </w:t>
        <w:br/>
        <w:t xml:space="preserve">Colt 5.0% 3.6%  </w:t>
        <w:br/>
        <w:t xml:space="preserve">Others 4.9% 9.0%  </w:t>
        <w:br/>
        <w:t xml:space="preserve">5  </w:t>
        <w:br/>
        <w:t xml:space="preserve">Source: Table V.14 of Document V of AGCOM Resolution No. 114/24/CONS.  </w:t>
        <w:br/>
        <w:t xml:space="preserve">ii. The markets for retail fixed network telecommunications services  </w:t>
        <w:br/>
        <w:t xml:space="preserve">23. Unlike FiberCop, TIM is active on the supply side in the downstream market for retail fixed telecommunications services. Therefore, the agreement must be assessed in light of the possible effects on competition also with reference to this area. In this regard, although the competitive assessment of the agreement under examination appears to be able to be conducted with reference to TIM's position in the broader market context, relating to the overall offer of retail fixed telecommunications services, it should be noted that in its previous decisions6 the Authority has defined three distinct markets depending on the specific characteristics of demand: (i) the market for services of  </w:t>
        <w:br/>
        <w:t xml:space="preserve">4 See Commission Recommendation (EU) 2020/2245 of December 18, 2020, regarding the relevant markets for products and services in the electronic communications sector that may be subject to ex ante regulation under Directive (EU) 2018/1972 of the European Parliament and of the Council establishing the European Electronic Communications Code.  </w:t>
        <w:br/>
        <w:t xml:space="preserve">5 The shares refer to the so-called "market 2B" as defined by AGCOM in its resolution on the analysis of fixed network access markets No. 114/24/CONS. It includes the entire national territory except for the cities of Milan, Turin, Barletta, Cornaredo, and Basiglio, which instead make up "market 2A" (municipalities with no conditions for the imposition of regulatory obligations). In these municipalities, therefore, FiberCop does not present a competitive position of significant market power and, overall, the competitive dynamic is more pronounced and mature, with FiberCop holding a share of about 25% in 2022 and Fastweb 15%. The division of market 2 is carried out by the sector regulator solely based on the need to diversify the degree of regulatory obligations required, without this leading to the definition of local geographical markets. Data drawn from Table V.11 of Document V of AGCOM Resolution No. 114/24/CONS.  </w:t>
        <w:br/>
        <w:t>6 See most recently C12659 Swisscom Italia/Vodafone Italia, decision No. 31320 of September 10, 2024.</w:t>
      </w:r>
    </w:p>
    <w:p>
      <w:r>
        <w:rPr>
          <w:b/>
        </w:rPr>
        <w:t>[Pages 34–36]</w:t>
      </w:r>
    </w:p>
    <w:p>
      <w:r>
        <w:t xml:space="preserve">36 BULLETIN NO. 49 OF DECEMBER 23, 2024  </w:t>
        <w:br/>
        <w:t xml:space="preserve">retail telecommunications on fixed networks for residential customers; (ii) the market for retail telecommunications services on fixed networks for business customers; (iii) the market for retail telecommunications services on fixed networks for the Public Administration. In all the markets identifiable based on the type of clientele, TIM is the main operator.  </w:t>
        <w:br/>
        <w:t xml:space="preserve">24. TIM currently holds the highest share of active lines, amounting to 38.9%:  </w:t>
        <w:br/>
        <w:t xml:space="preserve">Table 3. Market Shares in Active Lines of Retail Services  </w:t>
        <w:br/>
        <w:t xml:space="preserve">Lines per Operator 03/2024 (%)  </w:t>
        <w:br/>
        <w:t xml:space="preserve">TIM 38.9  </w:t>
        <w:br/>
        <w:t xml:space="preserve">Vodafone 15.8  </w:t>
        <w:br/>
        <w:t xml:space="preserve">Wind Tre 14.3  </w:t>
        <w:br/>
        <w:t xml:space="preserve">Fastweb 13.3  </w:t>
        <w:br/>
        <w:t xml:space="preserve">Tiscali 3.4  </w:t>
        <w:br/>
        <w:t xml:space="preserve">Eolo 3.3  </w:t>
        <w:br/>
        <w:t xml:space="preserve">Sky Italia 3.3  </w:t>
        <w:br/>
        <w:t xml:space="preserve">Others 7.6  </w:t>
        <w:br/>
        <w:t xml:space="preserve">Source: AGCOM Communications Observatory, March 2024.  </w:t>
        <w:br/>
        <w:t xml:space="preserve">25. The conditions under which competitive comparison takes place appear homogeneous even in the downstream markets of retail telecommunications services. The offers from operators indeed present a national homogeneity and are not modulated according to certain characteristics of demand in a specific local area.  </w:t>
        <w:br/>
        <w:t xml:space="preserve">b. The Qualification of the Case  </w:t>
        <w:br/>
        <w:t xml:space="preserve">26. Following the spin-off of the fixed network, FiberCop and TIM have become two independent companies in terms of equity and ownership, each active in offering services required in distinct, albeit closely related, markets. The service contract concluded between FiberCop and TIM specifically concerns the two leading operators in the wholesale fixed network access services market and the retail fixed network telecommunications services market, respectively. Some provisions of the MSA may therefore be restrictive of competition in both mentioned areas, considering the competitive position expressed by the Parties and the strength of the contractual link defined by the MSA.  </w:t>
        <w:br/>
        <w:t>27. The agreement between the Parties aimed at regulating the relationships between the two former internal wholesale and retail divisions of TIM therefore constitutes an agreement assessable under Article 101 TFEU.</w:t>
      </w:r>
    </w:p>
    <w:p>
      <w:r>
        <w:t xml:space="preserve">BULLETIN NO. 49 OF DECEMBER 23, 2024 37  </w:t>
        <w:br/>
        <w:t xml:space="preserve">c. Potentially Restrictive Aspects  </w:t>
        <w:br/>
        <w:t xml:space="preserve">28. Initially, it is noted that, as requested by the Parties themselves, the Commission's Decision7 did not consider the MSA signed between FiberCop and TIM as ancillary to the concentration that led to the network transfer8.  </w:t>
        <w:br/>
        <w:t xml:space="preserve">29. In any case, it seems that a contractual agreement between FiberCop and TIM is necessary for both companies to ensure business continuity and was necessary to allow the spin-off and transfer of the network. For its part, FiberCop must indeed rely on sources of incoming resources to effectively plan and implement its investment plans in networks. TIM also has the need for a security element regarding the continuity of wholesale network service supplies now that it no longer has a proprietary endowment of infrastructural resources, with a view to preserving the value of its future commercial offers in the retail services market.  </w:t>
        <w:br/>
        <w:t xml:space="preserve">30. However, the MSA contains some clauses and provisions that could be excessive compared to the aforementioned needs for business continuity and, above all, could lead to unjustified restrictive effects on competition, also in light of the significant competitive position that the Parties each occupy in their respective market of competence.  </w:t>
        <w:br/>
        <w:t xml:space="preserve">31. As a first concern, it immediately emerges that the duration of the exclusive supply in favor of FiberCop is very long, effectively reaching up to thirty years, a time therefore excessive compared to the need to ensure the continuity of wholesale access service supplies.  </w:t>
        <w:br/>
        <w:t xml:space="preserve">32. The (effective) duration of thirty years of the exclusive supply risks binding approximately 40% of the total fixed telephony service demand in favor of FiberCop (and to the detriment of the competitive growth opportunities of FiberCop's competitors). It is necessary to assess whether the duration of the exclusivity suitable for not prejudicing competition includes a time frame shorter than thirty years; and this also considering the fact that the MSA contract insists between the first operator of retail telephony services (TIM is also the first operator in offering services for business and PA clients, as well as for residential customers) and the market leader in the wholesale access service offer (FiberCop).  </w:t>
        <w:br/>
        <w:t xml:space="preserve">33. A second critical factor could arise from the provision of volume discounts. While on one hand these discounts are also offered to other operators on non-discriminatory bases, on the other hand it is noted that the market share thresholds set by the MSA to access the discounts could only be achievable by TIM. It is also noteworthy that, in order to obtain the discounts, the operator must choose an active access service, the VULA FTTH, precisely at a time when FiberCop's offer of passive services (Gpon and semi-Gpon) is no longer subject to price control with a cost orientation but only to criteria of fairness and reasonableness9.  </w:t>
        <w:br/>
        <w:t xml:space="preserve">34. On this point, it is believed that the availability of quality passive wholesale access service offers at competitive prices constitutes a factor that ensures a greater degree of competition7. In fact, it is noted that the very possibility of procuring passive access services at competitive prices has, for example, allowed an operator like Fastweb, over the years, to build its own offer of network access services, predominantly of an active nature, in competition with TIM first, and now with FiberCop and Open Fiber.  </w:t>
        <w:br/>
        <w:t xml:space="preserve">35. For these reasons, it is deemed necessary to evaluate the effects of a contractual provision that, for such a long period, allows TIM to benefit from significant discounts on network resource supplies, which could be denied to smaller operators and new entrants, with the risk of a sclerosis of competitive dynamics in the retail fixed network services markets, which are already structurally not particularly vibrant.  </w:t>
        <w:br/>
        <w:t xml:space="preserve">36. Furthermore, the investigation may verify whether volume discounts, by incentivizing the main retail operators to activate a large part of their fiber connection volumes on FiberCop's network, are suitable to amplify the potential exclusionary effects on market outlets for FiberCop's competitors attributable to the exclusivity clause. Likewise, it is necessary to conduct an investigative assessment of the MSA provision that automatically extends [omitted] in favor of FiberCop also to the real estate units [omitted] once such an area has been covered by FiberCop's new fiber optic network. This provision obliges TIM to negotiate [omitted] already established [omitted], once those real estate units have been covered by FiberCop's network.  </w:t>
        <w:br/>
        <w:t xml:space="preserve">37. This is also in relation to the doubts that may arise regarding the existence of a necessary link between such types of clauses, which fossilize TIM's freedom of choice of supplier [omitted], and the need to ensure the continuity of supplies and commercial offers of TIM. Such provisions of the MSA could be suitable to unduly compress the competitiveness of other operators active in the wholesale access services market, reserving for FiberCop for a long time a significant portion of the potentially contestable demand for network access services.  </w:t>
        <w:br/>
        <w:t xml:space="preserve">38. The most favored nation (MFN) clause enjoyed by TIM could also be critical to the extent that it could result in FiberCop being unable to grant improved access supply conditions compared to those guaranteed to TIM. In this way, TIM could have secured an undue advantage over its competitors, with the guarantee of always having the lowest access supply cost.  </w:t>
        <w:br/>
        <w:t xml:space="preserve">39. Finally, it is also necessary to evaluate the provisions regarding the granting of IRU rights on fiber optic connections dedicated to business customers. In fact, TIM could use such rights to unduly retain production capacity and preclude access to such infrastructures by other competing operators intending to serve those customers.  </w:t>
        <w:br/>
        <w:t xml:space="preserve">40. Therefore, in conclusion, it is believed that the long contractual duration of the MSA and the exclusive supply extended also [omitted] that FiberCop will realize, together with the binding mechanism due to the volume discount, could crystallize the leading positions of FiberCop and TIM in their respective markets, with risks of foreclosure concerning other wholesale operators, to whom the substantial demand for TIM accesses would be denied for a long time, and unjustified competitive advantages over TIM's competitors in the retail services market.  </w:t>
        <w:br/>
        <w:t>41. TIM would have access, for the entire duration of the MSA, to access service price levels lower than those that more dynamically competitive operators, namely new entrants and smaller operators seeking to pursue a growth strategy, could aim for.</w:t>
      </w:r>
    </w:p>
    <w:p>
      <w:r>
        <w:rPr>
          <w:b/>
        </w:rPr>
        <w:t>[Pages 37–39]</w:t>
      </w:r>
    </w:p>
    <w:p>
      <w:r>
        <w:t xml:space="preserve">BULLETIN NO. 49 OF DECEMBER 23, 2024 39  </w:t>
        <w:br/>
        <w:t xml:space="preserve">in the retail market but do not have the customer base capable of accessing the same level of discounts.  </w:t>
        <w:br/>
        <w:t xml:space="preserve">42. For all the reasons stated above, it is believed that the assessment of the competitive effects of the MSA should be developed in the context of an investigative procedure for possible violations of Article 101 TFEU.  </w:t>
        <w:br/>
        <w:t xml:space="preserve">d. The applicability of European Community law  </w:t>
        <w:br/>
        <w:t xml:space="preserve">43. The hindrance to trade within the European Union must be interpreted taking into account the direct or indirect, real or potential influence on trade flows between Member States. According to community guidelines, in fact, “agreements that extend throughout the territory of a Member State have, by their nature, the effect of consolidating the compartmentalization of markets at the national level, thereby hindering the economic integration desired by the Treaty”10.  </w:t>
        <w:br/>
        <w:t xml:space="preserve">44. In this regard, it is worth considering that the agreement in question concerns the entire national territory as it is likely to limit production and preclude or restrict access to the national market for wholesale local access services at a fixed location and in the related market of retail telecommunications services over fixed networks, involving operators participated in and controlled by entities of a supranational dimension, also established in other countries. Therefore, the behaviors described above are potentially capable of hindering trade between Member States of the Union and could constitute violations of Article 101 TFEU.  </w:t>
        <w:br/>
        <w:t xml:space="preserve">CONSIDERING, therefore, that the described contract called Master Service Agreement between FiberCop and TIM contains provisions likely to create a restrictive agreement on competition, having as its object and/or effect the coordination of the commercial activities of FiberCop S.p.A. and Telecom Italia S.p.A., in violation of Article 101 TFEU;  </w:t>
        <w:br/>
        <w:t xml:space="preserve">RESOLVES  </w:t>
        <w:br/>
        <w:t xml:space="preserve">a) the initiation of the investigation, pursuant to Article 14 of Law No. 287/1990, against FiberCop S.p.A. and Telecom Italia S.p.A. to ascertain the existence of violations of Article 101 TFEU;  </w:t>
        <w:br/>
        <w:t xml:space="preserve">b) the setting of a sixty-day deadline, starting from the notification of this provision, for the exercise by the legal representatives of the Parties, or by persons delegated by them, of the right to be heard, specifying that the request for a hearing must be received by the Directorate of Digital Platforms and Communications of the Competition Department-1 of this Authority at least fifteen days before the expiration of the aforementioned deadline;  </w:t>
        <w:br/>
        <w:t xml:space="preserve">c) that the person responsible for the procedure is Dr. Elia Ferrara;  </w:t>
        <w:br/>
        <w:t>10 See Commission Communication 2004/C 101/07, Guidelines on the notion of hindrance to trade between Member States under Articles 81 and 82 of the Treaty, OJCE C 101/81 of April 27, 2004 (point 78).</w:t>
      </w:r>
    </w:p>
    <w:p>
      <w:r>
        <w:t xml:space="preserve">40 BULLETIN NO. 49 OF DECEMBER 23, 2024  </w:t>
        <w:br/>
        <w:t xml:space="preserve">d) that the acts of the procedure may be viewed at the Directorate of Digital Platforms and Communications of the Competition Department-1 of this Authority by the legal representatives of the Party or by persons delegated by it;  </w:t>
        <w:br/>
        <w:t xml:space="preserve">e) that the procedure must be concluded by January 31, 2026.  </w:t>
        <w:br/>
        <w:t xml:space="preserve">This provision will be notified to the interested parties and published in the bulletin of the Competition and Market Authority.  </w:t>
        <w:br/>
        <w:t xml:space="preserve">THE SECRETARY GENERAL THE PRESIDENT  </w:t>
        <w:br/>
        <w:t>Guido Stazi Roberto Rustichelli</w:t>
      </w:r>
    </w:p>
    <w:p>
      <w:r>
        <w:t xml:space="preserve">BULLETIN NO. 49 OF DECEMBER 23, 2024 41  </w:t>
        <w:br/>
        <w:t xml:space="preserve">CONCENTRATION OPERATIONS  </w:t>
        <w:br/>
        <w:t xml:space="preserve">C12685 - FIBONACCI BIDCO/BRANCH OF THE COMPANY ILLIMITY BANK  </w:t>
        <w:br/>
        <w:t xml:space="preserve">Provision No. 31407  </w:t>
        <w:br/>
        <w:t xml:space="preserve">THE COMPETITION AND MARKET AUTHORITY  </w:t>
        <w:br/>
        <w:t xml:space="preserve">IN ITS MEETING of December 3, 2024;  </w:t>
        <w:br/>
        <w:t xml:space="preserve">HEARD the Rapporteur, Professor Elisabetta Iossa;  </w:t>
        <w:br/>
        <w:t xml:space="preserve">HAVING REGARD TO Regulation (EC) No. 139/2004;  </w:t>
        <w:br/>
        <w:t xml:space="preserve">HAVING REGARD TO Law No. 287 of October 10, 1990;  </w:t>
        <w:br/>
        <w:t xml:space="preserve">HAVING REGARD TO Presidential Decree No. 217 of April 30, 1998;  </w:t>
        <w:br/>
        <w:t xml:space="preserve">HAVING REGARD TO the communication from the company Fibonacci S.p.A., received on November 12, 2024;  </w:t>
        <w:br/>
        <w:t xml:space="preserve">HAVING REGARD TO the documentation on file;  </w:t>
        <w:br/>
        <w:t xml:space="preserve">CONSIDERING the following  </w:t>
        <w:br/>
        <w:t xml:space="preserve">I. THE PARTIES  </w:t>
        <w:br/>
        <w:t xml:space="preserve">a) The buyer  </w:t>
        <w:br/>
        <w:t xml:space="preserve">1. Fibonacci Bidco S.p.A. (hereinafter, “Fibonacci”) is a holding company that currently does not carry out any economic activity and is indirectly and wholly controlled by the Apax Fund, an investment fund assisted by Apax Partners LLP (hereinafter, “AP”).  </w:t>
        <w:br/>
        <w:t xml:space="preserve">AP is the parent company of several entities that provide assistance services for investments in private equity funds (hereinafter, “AP Funds”) in various industrial sectors, including those of technology services, software provision, telecommunications, medical technologies, pharmaceuticals, healthcare services, retail, marketing services, and e-commerce.  </w:t>
        <w:br/>
        <w:t xml:space="preserve">In 2023, globally, the portfolio companies in which the AP Funds held a controlling interest generated revenues of [10-20]* billion euros, of which approximately [6-7] billion euros in Europe and [1-2] billion euros in Italy.  </w:t>
        <w:br/>
        <w:t xml:space="preserve">b) The seller  </w:t>
        <w:br/>
        <w:t xml:space="preserve">2. AltermAInd S.r.l. (hereinafter, “AltermAInd” or “Target” and, together with Fibonacci, the “Parties”), is a company being established by Illimity Bank S.p.A.11 (hereinafter, “Illimity” or the “Seller”) in which it will confer its Business Branch dedicated to the captive provision of information communication technology services for the banking sector.  </w:t>
        <w:br/>
        <w:t xml:space="preserve">1 * In this version, some data are omitted, as there were deemed to be elements of confidentiality or secrecy of the information.  </w:t>
        <w:br/>
        <w:t>1 Illimity Bank S.p.A. is a digital bank listed in the STAR segment of the Italian Stock Exchange and the holding company of the Illimity Group, active in the credit sector.</w:t>
      </w:r>
    </w:p>
    <w:p>
      <w:r>
        <w:rPr>
          <w:b/>
        </w:rPr>
        <w:t>[Pages 40–42]</w:t>
      </w:r>
    </w:p>
    <w:p>
      <w:r>
        <w:t xml:space="preserve">42 BULLETIN NO. 49 OF DECEMBER 23, 2024  </w:t>
        <w:br/>
        <w:t xml:space="preserve">The revenue attributable to this Business Unit is approximately [35-100] million euros2, which will be entirely generated in Italy.  </w:t>
        <w:br/>
        <w:t xml:space="preserve">II. DESCRIPTION OF THE OPERATION  </w:t>
        <w:br/>
        <w:t xml:space="preserve">3. The notified operation (hereinafter, "Operation") consists of the acquisition, for consideration, by Fibonacci of [50-55%] of the share capital of the newly established company, which will encompass the described Business Unit, while the remaining [45-50%] of the shares will be held by Illimity. More specifically, pursuant to the provisions of the share purchase agreement (hereinafter "Contract"), the establishment of AltermAInd S.r.l. by Illimity is planned, along with the transfer of the assets that are part of the Business Unit dedicated to IT services, which are currently subject to outsourcing. [Omissis]. The shareholder agreements (hereinafter "SHA") signed between the Seller and the Buyer reserve veto rights for the Seller limited to specific issues merely functional to preserving the value of the transferred business and the minority stake.  </w:t>
        <w:br/>
        <w:t xml:space="preserve">The Buyer will therefore hold exclusive control of the Target.  </w:t>
        <w:br/>
        <w:t xml:space="preserve">Simultaneously with the completion of the share purchase, a shareholder agreement and a multi-year outsourcing and IT services agreement3 will also be signed, allowing the Seller to continue to benefit [omissis], along with the group companies to which Illimity belongs, from the services currently provided by the Target. The nature of the assets transferred to the newly established company, in line with the strategic plan, will allow the Target to access the market and immediately provide additional services to third parties, different from those rendered exclusively to Illimity.  </w:t>
        <w:br/>
        <w:t xml:space="preserve">4. The Buyer and Seller have signed non-competition and non-solicitation clauses for a period of [omissis].  </w:t>
        <w:br/>
        <w:t xml:space="preserve">In particular, the Seller, also in relation to the companies for which it exercises management and coordination activities, undertakes not to: (i) engage in activities in competition with those carried out by the Target as of the date of signing the share purchase agreement, [omissis]; (ii) solicit and hire the employees or current collaborators of the Target; and (iii) solicit any supplier or business partner to terminate commercial relationships, to reduce purchase or sales volumes, or to refrain from concluding potential agreements with the Target Company.  </w:t>
        <w:br/>
        <w:t xml:space="preserve">2 It is noted that the Target, during 2023, provided services exclusively internally to Illimity for the purpose of calculating the revenue of the Business Unit, which was estimated by the Seller considering what it will correspond based on the service contract (multi-year outsourcing and IT services agreement) signed between the Parties. This is in line with what is provided for in paragraph 163 of the "Consolidated Communication of the Commission on the criteria for jurisdictional competence pursuant to Regulation (EC) No. 139/2004," which states that, for the calculation of the revenue of a business unit that previously had only internal revenues, "[...] particularly for operations involving the outsourcing of services through the transfer of a business unit. [...]. If the previously internal revenue does not seem to correspond to a market valuation of the activities in question (and, therefore, to the future expected revenue in the market), the revenues expected based on an agreement with the previous parent company may be an adequate substitute."  </w:t>
        <w:br/>
        <w:t>3 The service contract has a multi-year duration, with the option for Illimity to withdraw from the Contract after a specific period from the effective date of the Operation.</w:t>
      </w:r>
    </w:p>
    <w:p>
      <w:r>
        <w:t xml:space="preserve">BULLETIN NO. 49 OF DECEMBER 23, 2024 43  </w:t>
        <w:br/>
        <w:t xml:space="preserve">5. The multi-year outsourcing and IT services agreement responds to the strategy of outsourcing a function of Illimity's IT system4, [omissis].  </w:t>
        <w:br/>
        <w:t xml:space="preserve">III. QUALIFICATION OF THE OPERATION  </w:t>
        <w:br/>
        <w:t xml:space="preserve">6. The Operation constitutes a concentration pursuant to Article 5, paragraph 1, letter b), of Law No. 287/1990, as it involves the acquisition of exclusive control of parts of a business (Business Unit)5.  </w:t>
        <w:br/>
        <w:t xml:space="preserve">The Operation falls within the scope of application of Law No. 287/1990, as the conditions set out in Article 1 of Regulation (EC) No. 139/2004 do not apply, and is subject to the obligation of prior notification provided for by Article 16, paragraph 1, of the same law, as the total revenue generated, in the last financial year at the national level, by the group of companies involved exceeded 567 million euros and the total revenue generated, in the last financial year at the national level, individually by at least two of the companies involved, exceeded 35 million euros.  </w:t>
        <w:br/>
        <w:t xml:space="preserve">7. The non-competition and non-solicitation agreements can be qualified as ancillary to the Operation to the extent that they contain restrictions directly related to the realization of the Operation and necessary for it. In particular, the non-competition agreement can be considered ancillary to the Operation to the extent that it is limited to the markets (product and geographic) affected by the concentration. Furthermore, it is necessary that the non-competition and non-solicitation agreements do not exceed a duration of two years from the Operation, as in this case, the value of the transferred company must be protected only in terms of goodwill and not also of know-how, given that the Buyer already operates in the same markets6.  </w:t>
        <w:br/>
        <w:t xml:space="preserve">8. The outsourcing and IT services agreement signed between the Parties can be qualified as ancillary to the Operation, to the extent that it does not exceed a duration of five years, does not provide for exclusivity clauses, or grant privileged supplier status7.  </w:t>
        <w:br/>
        <w:t xml:space="preserve">IV. EVALUATION OF THE CONCENTRATION  </w:t>
        <w:br/>
        <w:t xml:space="preserve">Relevant markets  </w:t>
        <w:br/>
        <w:t xml:space="preserve">9. Due to the activities carried out by the companies involved in the Operation, it concerns:  </w:t>
        <w:br/>
        <w:t xml:space="preserve">4 The Seller, at the time of notification, declared compliance with the provisions of Part I, Title IV, Chapter 3, Section IV and following of Bank of Italy Circular No. 285 of December 17, 2013, (II) the "Guidelines on outsourcing" published by the European Banking Authority on February 25, 2019, and (III) Regulation (EU) 2022/2554 of the European Parliament and of the Council of December 14, 2022, on digital operational resilience for the financial sector and related technical standards.  </w:t>
        <w:br/>
        <w:t xml:space="preserve">5 Pursuant to the Consolidated Communication of the Commission on the criteria for jurisdictional competence under Regulation (EC) No. 139/2004 of the Council regarding the control of concentrations between enterprises, paragraphs 24, 26, 97, 100.  </w:t>
        <w:br/>
        <w:t xml:space="preserve">6 See Communication from the Commission on restrictions directly connected and necessary to concentration operations (2005/C 56/03), in OJCE of March 5, 2005.  </w:t>
        <w:br/>
        <w:t>7 See, ibidem.</w:t>
      </w:r>
    </w:p>
    <w:p>
      <w:r>
        <w:t xml:space="preserve">44 BULLETIN NO. 49 OF DECEMBER 23, 2024  </w:t>
        <w:br/>
        <w:t xml:space="preserve">i) the market for information technology services (hereinafter, "IT");  </w:t>
        <w:br/>
        <w:t xml:space="preserve">ii) the market for the development and provision of business software.  </w:t>
        <w:br/>
        <w:t xml:space="preserve">In relation to the aforementioned markets, it is noted that the Target is already operating in the IT services market (point i), limiting itself to providing its services to the Seller (captive) and with the prospect in the coming years of offering, limited to the consulting segment, its services to third parties.  </w:t>
        <w:br/>
        <w:t xml:space="preserve">While regarding the production and marketing of management software (point ii), the Target's presence in this market would only be configured starting from [omissis], following the sale of licenses related to its proprietary software products, which will be developed using resources [omissis]. From a prudent perspective, the definition of the relevant market will therefore also take into account the forecasts of entry into this area.  </w:t>
        <w:br/>
        <w:t xml:space="preserve">(i) the IT services market  </w:t>
        <w:br/>
        <w:t xml:space="preserve">10. With reference to the IT services market, it is preliminarily observed that in the decision-making practice of the European Commission8 and the Authority9, this market has generally been considered segmentable based on the functionality of the services offered and the industrial sectors affected by the provision of such services.  </w:t>
        <w:br/>
        <w:t xml:space="preserve">11. In this case, taking into account the activities carried out by the Parties, the IT services market can be divided, based on the functionality of the service10, into the following six segments: (i) consulting; (ii) application implementation and managed services; (iii) infrastructure implementation and managed services; (iv) business processing services; (v) infrastructure as a service; and (vi) hardware support.  </w:t>
        <w:br/>
        <w:t xml:space="preserve">Furthermore, the IT services market can be segmented by industrial sector11 into: (i) banking and credit securities; (ii) communication; (iii) media; (iv) education; (v) healthcare; (vi) government; (vii) insurance; (viii) manufacturing and natural resources; (ix) retail; (x) transportation; (xi) public service; and (xii) wholesale trade.  </w:t>
        <w:br/>
        <w:t xml:space="preserve">In any case, for the purposes of this evaluation, the exact definition of the product market can be left open, since - with reference to the identified industrial sector (banking) - the Operation does not raise concerns from the perspective of competition protection either in the IT services market or in any of the segments identified based on the functionality of the service.  </w:t>
        <w:br/>
        <w:t xml:space="preserve">12. From a geographical perspective, the IT services market can be considered, conservatively, to coincide with the national territory, given that the Authority12, in its precedents, has noted the homogeneity of competitive conditions in the national territory and the absence of significant imports of IT services, leaning towards a national market dimension.  </w:t>
        <w:br/>
        <w:t xml:space="preserve">8 See, among others, European Commission decisions M.9205 - IBM/Red Hat, of June 27, 2019, and M.7458 - IBM/INF Business of Deutsche Lufthansa of December 15, 2014.  </w:t>
        <w:br/>
        <w:t xml:space="preserve">9 See, among others, C12564 - Fibonacci Bidco/OCS, decision No. 30790 of September 26, 2023, in Bulletin No. 39/2023, C12516 - Lutech/Atos Italia, decision No. 30515 of March 14, 2023, in Bulletin No. and C12466 - Engineering Ingegneria Informatica/BE Shaping the Future, decision No. 30278 of August 4, 2022, in Bulletin No. .  </w:t>
        <w:br/>
        <w:t xml:space="preserve">10 See C12564 - Fibonacci Bidco/OCS, cit...  </w:t>
        <w:br/>
        <w:t xml:space="preserve">11 See, ibidem.  </w:t>
        <w:br/>
        <w:t>12 See C12654 - Digital Value/Infordata decision No. 31305 of July 30, 2024, in Bulletin No. 33/2024.</w:t>
      </w:r>
    </w:p>
    <w:p>
      <w:r>
        <w:rPr>
          <w:b/>
        </w:rPr>
        <w:t>[Pages 43–45]</w:t>
      </w:r>
    </w:p>
    <w:p>
      <w:r>
        <w:t xml:space="preserve">BULLETIN NO. 49 OF DECEMBER 23, 2024 45  </w:t>
        <w:br/>
        <w:t xml:space="preserve">although there is a trend towards the internationalization of demand and supply, as noted by the European Commission13. For the purposes of this assessment, the exact definition of the geographic market can therefore be left open since, even adopting the narrowest definition (national market), the aggregate share in the IT services market is less than 10%.  </w:t>
        <w:br/>
        <w:t xml:space="preserve">(ii) the market for the development and provision of enterprise software  </w:t>
        <w:br/>
        <w:t xml:space="preserve">13. Regarding the development and provision of enterprise software, considered as a distinct product market, it is observed that the Target company will generate only a marginal part of its revenue from the sale of licenses for its proprietary software products in [omitted], placing this activity within the market for Enterprise Application System Software (hereinafter, “EAS”), that is, in the market for software that supports the main business functions of companies. In its previous decisions14, the European Commission has considered that the market for EAS software solutions could be segmented15 into: (i) enterprise resource planning; (ii) customer relationship management; (iii) supply chain management; (iv) project and portfolio management; and (v) analytical platforms.  </w:t>
        <w:br/>
        <w:t xml:space="preserve">To date, the described classification can be updated by dividing software solutions according to the following model: (i) enterprise resource planning; (ii) customer relationship management; (iii) supply chain management; (iv) project and portfolio management; (v) analytical platforms; (vi) other application software; (vii) email and authoring; and (viii) content services.  </w:t>
        <w:br/>
        <w:t xml:space="preserve">The European Commission has also analyzed the possibility that the various EAS segments should be further subdivided by industry16, generally leaving open the possibility that each sector constitutes a distinct product market.  </w:t>
        <w:br/>
        <w:t xml:space="preserve">In this specific case, the future line of business to be developed by the Target will operate in the “Other application software” segment17; however, for the purposes of this assessment, it is believed that the exact product market delineation can be left open, considering that the Operation does not raise concerns from a competition protection perspective.  </w:t>
        <w:br/>
        <w:t xml:space="preserve">14. With reference to the geographic definition, in this case, the breadth of the EAS software solutions market can conservatively be considered to be of national size, given that the Target company expects to generate all of its revenues in Italy.  </w:t>
        <w:br/>
        <w:t xml:space="preserve">13 See European Commission decision M.7458 - IBM/INF Business of Deutsche Lufthansa, cited; paragraphs 31-33 and, among others, C12317 - Italian Investment Fund SGR-Elettra One/Maticmind, provision no. 28342 of September 8, 2020, in Bulletin no. 38/2020.  </w:t>
        <w:br/>
        <w:t xml:space="preserve">14 See Commission decision M.10060 - Francisco Partners/Marlin Equity Partners/Conan Holdco, of February 11, 2021, paragraph 12.  </w:t>
        <w:br/>
        <w:t xml:space="preserve">15 For the segmentation of the EAS software solutions market, the Commission refers to the classification prepared by Gartner.  </w:t>
        <w:br/>
        <w:t xml:space="preserve">16 See European Commission decision M.7334 - Oracle/Micros, of August 29, 2014, paragraph 9.  </w:t>
        <w:br/>
        <w:t>17 By way of example, this segment includes the following: virtual assistants, document acquisition software or intelligent document processing, computer-assisted applications, digital content creation, e-discovery.</w:t>
      </w:r>
    </w:p>
    <w:p>
      <w:r>
        <w:t xml:space="preserve">46 BULLETIN NO. 49 OF DECEMBER 23, 2024  </w:t>
        <w:br/>
        <w:t xml:space="preserve">The effects of the Operation  </w:t>
        <w:br/>
        <w:t xml:space="preserve">(i) the IT services market  </w:t>
        <w:br/>
        <w:t xml:space="preserve">15. Even if one were to consider the hypothesis of the relevant market based on the industrial sectors where the greatest overlaps exist, there would be no competitive issues. In particular, it is noted that in 2023 the aggregate market shares of IT services, including the activities of upcoming development, are equal to [1-5%] in the banking and credit securities sector, in a competitive context characterized by qualified operators of significant size (Accenture, Engineering Group, Capgemini, Reply, KPMG), which hold market shares between 5% and 10%, with values even higher in certain segments.  </w:t>
        <w:br/>
        <w:t xml:space="preserve">16. Similar considerations regarding the reduced horizontal overlap between the activities of the Parties are reached by adopting the classification by functionality and prudentially analyzing, also for the banking and credit securities sector, the four different segments in which the Target, the Acquirer, and the other portfolio companies controlled by the AP Funds are active.  </w:t>
        <w:br/>
        <w:t xml:space="preserve">It should be noted that in the implementation of applications and managed services, where the highest joint revenue values are recorded, in 2023 the Target held a market share of [1-5%] and the AP Funds18 [5-10%]. Therefore, as a result of the Operation, the companies involved will have an overall market share of [5-10%].  </w:t>
        <w:br/>
        <w:t xml:space="preserve">17. Regarding the other segments of IT services, the horizontal overlaps are even more modest.  </w:t>
        <w:br/>
        <w:t xml:space="preserve">Indeed, the combined share in the business processing segment is equal to [1-5%], with pre-merger market shares of [1-5%] for the Target and [1-5%] for the AP Funds, while for the infrastructure implementation and managed services segment, the Target holds a small market share of [1-5%] while the AP Funds have a share of [1-5%], resulting in a post-merger share of [1-5%], in a market where structured multinational operators such as IBM, Almaviva, and Engineering are active.  </w:t>
        <w:br/>
        <w:t xml:space="preserve">Finally, with reference to the consulting segment, the only one of the four segments for which market access is anticipated, the prudential assessment also took into account the prospective revenue derived from the entry of the Target. Even in this case, the aggregate prospective share is marginal, equal to [1-5%].  </w:t>
        <w:br/>
        <w:t xml:space="preserve">(ii) the market for the production and marketing of management software  </w:t>
        <w:br/>
        <w:t xml:space="preserve">18. In the market for the production and marketing of management software, even considering prudently the relevant market as the provision of EAS products aimed at the banking sector in Italy, while evaluating the prospective revenue projections of the Target in the only segment in which it will operate in the future (Other application software), the joint share of the companies involved is negligible, being approximately [1-5%] of the market.  </w:t>
        <w:br/>
        <w:t xml:space="preserve">19. Therefore, for the reasons stated above, due to the marginality of the shares held by the Target in each of the considered markets and in light of the negligible horizontal and vertical overlaps between the Parties, it can be concluded that the Operation does not appear to be likely to result in a significant change in the structure of that market in the segments where overlaps exist.  </w:t>
        <w:br/>
        <w:t xml:space="preserve">CONSIDERING, therefore, that the Operation does not significantly impede effective competition in the relevant market pursuant to Article 6, paragraph 1, of Law No. 287/1990 and does not lead to the establishment or strengthening of a dominant position;  </w:t>
        <w:br/>
        <w:t xml:space="preserve">CONSIDERING, furthermore, that the non-competition and non-solicitation clauses described above and the outsourcing and IT service provision agreement can be considered ancillary to the Operation only to the extent indicated and that the Authority reserves the right to assess, where the conditions exist, the aforementioned clauses that may be realized beyond those limits;  </w:t>
        <w:br/>
        <w:t xml:space="preserve">RESOLVES  </w:t>
        <w:br/>
        <w:t xml:space="preserve">not to initiate the investigation referred to in Article 16, paragraph 4, of Law No. 287/1990.  </w:t>
        <w:br/>
        <w:t xml:space="preserve">The above conclusions will be communicated, pursuant to Article 16, paragraph 4, of Law No. 287/1990, to the companies involved and to the Minister of Enterprises and Made in Italy.  </w:t>
        <w:br/>
        <w:t xml:space="preserve">This provision will be published in the Bulletin of the Antitrust Authority.  </w:t>
        <w:br/>
        <w:t xml:space="preserve">THE SECRETARY GENERAL THE PRESIDENT  </w:t>
        <w:br/>
        <w:t>Guido Stazi Roberto Rustichelli</w:t>
      </w:r>
    </w:p>
    <w:p>
      <w:r>
        <w:rPr>
          <w:b/>
        </w:rPr>
        <w:t>[Pages 46–48]</w:t>
      </w:r>
    </w:p>
    <w:p>
      <w:r>
        <w:t xml:space="preserve">48 BULLETIN NO. 49 OF DECEMBER 23, 2024  </w:t>
        <w:br/>
        <w:t xml:space="preserve">C12686 - SNAM/EDISON STORAGE  </w:t>
        <w:br/>
        <w:t xml:space="preserve">Provision No. 31410  </w:t>
        <w:br/>
        <w:t xml:space="preserve">THE ANTITRUST AUTHORITY  </w:t>
        <w:br/>
        <w:t xml:space="preserve">IN ITS MEETING of December 11, 2024;  </w:t>
        <w:br/>
        <w:t xml:space="preserve">HEARD the Rapporteur, Professor Elisabetta Iossa;  </w:t>
        <w:br/>
        <w:t xml:space="preserve">HAVING REGARD TO Regulation (EC) No. 139/2004;  </w:t>
        <w:br/>
        <w:t xml:space="preserve">HAVING REGARD TO Law No. 287 of October 10, 1990;  </w:t>
        <w:br/>
        <w:t xml:space="preserve">HAVING REGARD TO Presidential Decree No. 217 of April 30, 1998;  </w:t>
        <w:br/>
        <w:t xml:space="preserve">HAVING REGARD TO the communication from Snam S.p.A., received on November 14, 2024;  </w:t>
        <w:br/>
        <w:t xml:space="preserve">HAVING REGARD TO the documentation on file;  </w:t>
        <w:br/>
        <w:t xml:space="preserve">CONSIDERED the following:  </w:t>
        <w:br/>
        <w:t xml:space="preserve">I. THE PARTIES  </w:t>
        <w:br/>
        <w:t xml:space="preserve">1. Snam S.p.A. (hereinafter, "Snam") is the holding company of an industrial group primarily active in Italy, where it operates as the manager of natural gas infrastructure and is particularly involved in the import, transport, and storage of gas. In the gas supply chain, Snam holds controlling interests in management companies related to: (i) primary high-pressure transport infrastructure in Italy, assuming the role of Transmission System Operator, through the companies Snam Rete Gas S.p.A. and Infrastrutture Trasporto Gas S.p.A.; (ii) regasification activities, where it exclusively or jointly controls all four regasification terminals in Italy1; (iii) the operation of the international Trans Mediterranean Pipeline for the import of gas from Algeria to Italy (through the company Sea Corridor S.r.l.), as well as the international Tag Pipeline for the import of gas from Eastern Europe to Italy (through the Austrian company TAG GmbH); (iv) ten (of which nine are currently active) natural gas storage sites in Italy (out of a total of 13 currently active sites) through the company Stogit S.p.A. ("Stogit"). Snam is under the control of Cassa Depositi e Prestiti S.p.A. ("CDP"), which is part of the financial group active in public and private investment. In 2023, Snam's revenue in Italy amounted to approximately [20-30]* billion euros.  </w:t>
        <w:br/>
        <w:t xml:space="preserve">1 Currently, there are four operational regasifiers in Italy: the onshore facility at Panigaglia (La Spezia), fully controlled by Snam; the offshore regasifier near Livorno, jointly controlled by Snam and First Sentier Investors; the recent Floating Storage and Regasification Unit (i.e., a regasification ship) in the port of Piombino, fully controlled by Snam (a second Floating Storage and Regasification Unit, jointly controlled by Snam and BW Singapore, will be operational near Ravenna in the early months of 2025); the facility on the artificial island of Porto Viro (Rovigo).  </w:t>
        <w:br/>
        <w:t>* In this version, some data are omitted as there are elements of confidentiality or secrecy of information.</w:t>
      </w:r>
    </w:p>
    <w:p>
      <w:r>
        <w:t xml:space="preserve">BULLETIN NO. 49 OF DECEMBER 23, 2024 49  </w:t>
        <w:br/>
        <w:t xml:space="preserve">2. Edison Stoccaggio S.p.A. (hereinafter, "Edison Stoccaggio") is active in providing gas storage services in Italy, where it manages three sites2. Edison Stoccaggio is controlled, through Edison S.p.A. (hereinafter, "Edison"), by Electricité de France S.A. (hereinafter, "EdF"), the parent company of the eponymous group active worldwide in the electricity supply chain and throughout the natural gas supply chain, including extraction, management of import/transmission infrastructure, distribution, and retail sale of gas. In Italy, the EdF group operates through Edison in managing import infrastructure and in the marketing of gas. In 2023, Edison Stoccaggio's revenue in Italy amounted to approximately [35-100] million euros.  </w:t>
        <w:br/>
        <w:t>2 One of which, that of San Potito and Cotignola, is managed together with Blugas Infrastrutture S.r.l., which holds 10% of the concession, while the remaining 90% is owned by Edison Stoccaggio.</w:t>
      </w:r>
    </w:p>
    <w:p>
      <w:r>
        <w:t xml:space="preserve">50 BULLETIN NO. 49 OF DECEMBER 23, 2024  </w:t>
        <w:br/>
        <w:t xml:space="preserve">II. DESCRIPTION OF THE OPERATION  </w:t>
        <w:br/>
        <w:t xml:space="preserve">3. The operation in question (hereinafter, "Operation") consists of Snam's acquisition of 100% of the shares of Edison Stoccaggio. As a result of the Operation, Snam will hold the entire share capital, and therefore the exclusive control, of Edison Stoccaggio.  </w:t>
        <w:br/>
        <w:t xml:space="preserve">III. QUALIFICATION OF THE OPERATION  </w:t>
        <w:br/>
        <w:t xml:space="preserve">4. The Operation, as it involves the acquisition of control of a company, constitutes a concentration pursuant to Article 5, paragraph 1, letter b), of Law No. 287/1990. It falls within the scope of application of Law No. 287/1990,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interested companies exceeded 567 million euros and the total revenue generated individually, in the last financial year at the national level, by at least two of the interested companies exceeded 35 million euros.  </w:t>
        <w:br/>
        <w:t xml:space="preserve">IV. THE RELEVANT REGULATORY FRAMEWORK  </w:t>
        <w:br/>
        <w:t xml:space="preserve">5. The infrastructure in the natural gas sector is governed by Legislative Decree No. 164/2000 (hereinafter, "Decree Letta"), which prescribes the obligation to ensure access to network infrastructure on fair and non-discriminatory terms to any user who requests it, according to criteria defined by the Regulatory Authority for Energy Networks and Environment (hereinafter, "ARERA"). In particular, the storage activity is subject to a detailed regulation that governs access, recognized revenues, and quality.  </w:t>
        <w:br/>
        <w:t xml:space="preserve">6. Access to storage capacity must occur under transparent and non-discriminatory conditions defined by ARERA Resolution No. 67/2019/R/GAS of February 26, 2019, concerning Regulation on ensuring free access to the natural gas storage service ("RAST").  </w:t>
        <w:br/>
        <w:t xml:space="preserve">7. The Decree Letta also provides that storage tariffs, periodically determined by ARERA, are set to ensure a fair return on invested capital and to allow for the development of infrastructure. ARERA regulates storage tariffs through Resolution No. 419/2019/R/GAS of October 23, 2019, concerning tariff regulation for the natural gas storage service for the fifth regulatory period 2020-2025 ("RTSG"). The RTSG defines the criteria for determining the so-called recognized revenues for the natural gas storage service, which take into account the remuneration of invested capital, asset depreciation, and operating expenses calculated based on actual costs for providing the storage service. Any cost efficiencies are partially returned to the system through a so-called profit-sharing mechanism3. The recognized revenues then determine the so-called regulated tariff, which is calculated by relating the recognized revenues to the available storage capacity and which determines the total revenues of the storage company derived from the sale of its services.  </w:t>
        <w:br/>
        <w:t xml:space="preserve">8. Regarding quality, in Resolution No. 419/2019/R/gas, ARERA introduced the Quality Regulation for the Natural Gas Storage Service ("RQSG"), under which storage companies are required to operate ensuring: (i) service safety (i.e., provision of the service without risks to persons or property); (ii) service continuity (i.e., absence of interruptions/reductions in capacity at storage hubs), and (iii) commercial quality (i.e., timely and correct execution of the services requested by users according to regulatory provisions). Furthermore, storage companies are required to draft and make public the so-called Storage Codes, technical and regulatory documents, drafted by the storage companies, which establish the contractual, operational, and commercial conditions that storage companies and users must comply with. The Storage Codes are prepared based on criteria defined by ARERA and approved by the same.  </w:t>
        <w:br/>
        <w:t xml:space="preserve">V. EVALUATION OF THE OPERATION  </w:t>
        <w:br/>
        <w:t xml:space="preserve">9. Storage can be carried out in deep geological structures suitable for receiving, storing, and releasing gas. The functionalities of a storage site are made possible by the construction of various infrastructures for the injection and delivery of gas (i.e., wells, treatment and compression plants) and for its interconnection to the national gas transport network, the so-called gas pipelines. Snam, in addition to being the main operator in the gas import infrastructure market, also operates, through its subsidiary Snam Rete Gas, in the gas transport and dispatching market as the operator of the national transport network and manager of almost all high-pressure gas pipeline infrastructure in Italy, to which the storage infrastructures are connected.  </w:t>
        <w:br/>
        <w:t xml:space="preserve">10. Due to the operations of the Parties, the market affected by the Operation is solely that of gas storage: the acquired company (Edison Stoccaggio) is an infrastructure operator active solely in gas storage in Italy; in this sector, the acquiring company (Snam) also operates through its subsidiary Stogit. The other markets in which Snam is active do not position upstream or downstream of the storage market (storage companies are neither customers of import infrastructure managers nor suppliers of transport operators). The practice  </w:t>
        <w:br/>
        <w:t>3 The regulatory framework aims to incentivize storage companies to achieve savings in terms of operating costs ("OPEX"): if the actual OPEX is lower than the recognized OPEX, the profit-sharing mechanism provides that the difference between these OPEX levels is returned to final consumers: in part (i.e., 50%) through the reduction of recognized OPEX for the operator in the first year of the new regulatory period, and for the remaining part (i.e., 50%) through the application of a so-called X factor that gradually reduces the recognized OPEX in the subsequent years of the same regulatory period.</w:t>
      </w:r>
    </w:p>
    <w:p>
      <w:r>
        <w:rPr>
          <w:b/>
        </w:rPr>
        <w:t>[Pages 49–51]</w:t>
      </w:r>
    </w:p>
    <w:p>
      <w:r>
        <w:t xml:space="preserve">BULLETIN NO. 49 OF DECEMBER 23, 2024 51  </w:t>
        <w:br/>
        <w:t xml:space="preserve">The Authority's decision-making does not support the existence of non-horizontal relationships between the storage market and the market for gas import infrastructure and between the storage market and the market for gas transport and dispatching infrastructure4.  </w:t>
        <w:br/>
        <w:t xml:space="preserve">V.1. The relevant market  </w:t>
        <w:br/>
        <w:t xml:space="preserve">V.1.1. The commodity profile  </w:t>
        <w:br/>
        <w:t xml:space="preserve">11. The activity of natural gas storage consists of the process of preserving it in specific reservoirs: in Italy, all currently operational storage sites are located in depleted gas fields. The objective of storage is to decouple the use of gas from the timing and methods of procurement and to ensure supply flexibility for service users (the so-called shippers, such as gas sales companies) in response to variations in demand. The demand for gas is, in fact, not constant over time and is characterized by significant modulation between summer and winter and from day to day. It is particularly possible to distinguish between programmable modulation needs, concerning the modulation of expected demand (mainly represented by the seasonal modulation of residential and commercial customers) and modulation needs for daily balancing, concerning the modulation of unpredictable demand and deviations of actual demand from expected demand (also relevant for thermoelectric and industrial customers).  </w:t>
        <w:br/>
        <w:t xml:space="preserve">12. Storage makes it possible to purchase and store gas during the so-called injection period (i.e., the period of gas injection into the reservoirs for preservation, which generally runs from April 1 to October 31 each year), when the demand for gas and the relative cost of the raw material are lower, in order to use it during the so-called delivery period (i.e., the period of gas extraction from the reservoirs for use, which generally runs from November 1 to March 31), when the demand for gas is higher and so is the cost of the raw material.  </w:t>
        <w:br/>
        <w:t xml:space="preserve">13. Storage is divided into different types based on the purpose pursued by the system. To ensure the security of the national system and to address situations of lack or reduction of gas supplies or gas system crises, storage companies are required to reserve part of their capacity for so-called strategic storage. Strategic storage, offered under regulated conditions, can only be provided with authorization from the Ministry of Economic Development to address emergency situations in the national natural gas system.  </w:t>
        <w:br/>
        <w:t xml:space="preserve">14. To meet the technical needs of the system, storage companies reserve part of their capacity for so-called storage for the operational balancing of the transport network, which is allocated based on requests from transport companies and is functional to allow them to constantly maintain equilibrium in the overall gas flows, both incoming and outgoing from the network, and for so-called mining storage, necessary for technical and economic reasons to ensure the optimal operation of natural gas field development in Italian territory. This storage is allocated based on requests from holders of natural gas exploration concessions and has the sole purpose of ensuring national productions a supply flexibility comparable to that characteristic of import contracts, as well as taking into account the technical risks of production stoppage.  </w:t>
        <w:br/>
        <w:t>4 See C12412 - F2i SGR/Ital Gas Storage, decision No. 29914 of November 25, 2021, in Bulletin No. 49/2021; C11695 - Cassa Depositi e Prestiti/Snam, decision No. 23824 of August 8, 2012, in Bulletin No. 32/2012.</w:t>
      </w:r>
    </w:p>
    <w:p>
      <w:r>
        <w:t xml:space="preserve">52 BULLETIN NO. 49 OF DECEMBER 23, 2024  </w:t>
        <w:br/>
        <w:t xml:space="preserve">15. Finally, the so-called modulation storage is allocated to shippers to meet the modulation of daily, seasonal, and peak consumption patterns of end customers. Modulation storage involves the provision of combined performance of space, injection, and delivery (so-called bundled service) to be used during the thermal year5. Modulation storage is further divided into: (i) peak service, which provides variable delivery capacity on different days of the thermal year, (ii) uniform service, which provides constant delivery capacity on days of the thermal year and can also be allocated on a multi-year basis, i.e., with the possibility of using the service over a two-year period, and (iii) short-term services, which provide for the availability of space and/or injection and/or delivery capacity for periods shorter than the entire thermal year6. Modulation storage also provides the possibility of injecting or delivering stored gas in reverse flow, i.e., through injection during the delivery period and vice versa. Modulation storage is the only type allocated through competitive procedures, open to all interested shippers and regulated by ARERA in the RAST. Peak and uniform modulation capacities are allocated based on competitive procedures held monthly, starting from a date set by MASE (which usually falls between March and April, just before the contractual year begins on April 1 and the start of the injection phase). In this first auction, storage companies make their capacity available net of that reserved for other types of storage (strategic, mining, balancing). Any remaining unsold capacity is subsequently offered until the entire storage capacity is allocated or until the end of the injection phase. The schedule for auctions following the first, concerning any unallocated capacities, is defined by storage companies based on the guidelines established by ARERA.  </w:t>
        <w:br/>
        <w:t xml:space="preserve">16. In Italy, natural gas storage is carried out under 15 concessions, located throughout the peninsula: Stogit manages ten of these concessions, Edison Stoccaggi manages three7 while Ital Gas Storage S.p.A. (“IGS”) and Thaleia S.p.A. (“Thaleia”) each manage one. Of these concessions, only 13 host currently operational storage facilities: the two sites that are not currently operational are those of Alfonsine (managed by Stogit), which will come into operation starting [omitted], and Cugno le Macine (managed by Thaleia), which is still under construction. Therefore, with reference to only the currently operational sites, Stogit manages nine, Edison Stoccaggio three, and IGS one.  </w:t>
        <w:br/>
        <w:t xml:space="preserve">17. In its previous decisions8, the Authority has considered the storage activity as belonging to the same market as the so-called flexibility services, i.e., those solutions that, along with storage services, serve to balance gas demand (e.g., multi-year import contracts, wholesale gas purchases, transactions at the Virtual Trading Point “PSV” or at the gas exchange), while not denying the possibility of identifying distinct product markets. In some recent decisions regarding the Italian market, the European Commission has concluded that storage represents a distinct market, but not further segmentable based on the characteristics of the sites9.  </w:t>
        <w:br/>
        <w:t xml:space="preserve">18. The Parties believe that the storage activity falls within the broader market of flexibility services, as it is one of the various ways through which shippers can procure the necessary natural gas, such as transactions at the PSV or at the gas exchange or the so-called renaming of flows, which allows shippers to modulate the gas flows entering and exiting the national network, which can daily reschedule the volume of gas injected into the system on an hourly basis to respond to sudden demand fluctuations.  </w:t>
        <w:br/>
        <w:t xml:space="preserve">19. However, in this specific case, considering that both Stogit and Edison Stoccaggio are purely infrastructural operators active only in storage activities, that the Parties have not provided data and information regarding their position in the broader market of flexibility services, and that the European Commission's assessments in the recent case M.9641 - Snam/FSI/OLT, supported by evidence collected during a market investigation, have leaned in this direction, it can currently be assumed that the commodity perimeter of the relevant market can be traced solely to storage services. Any further insights may be made during the investigation.  </w:t>
        <w:br/>
        <w:t xml:space="preserve">V.1.2. The geographical profile  </w:t>
        <w:br/>
        <w:t xml:space="preserve">20. Regarding the definition of the geographical market, the Authority's and the European Commission's precedents concerning Italian storage indicate a national perimeter10. The Parties have argued that the market perimeter should instead be defined on a supranational basis, due to the integration of infrastructures at the European level and the possibility for shippers located in other Member States to store gas in Italy to then transport it across borders and vice versa for shippers operating in Italy to store gas in storage facilities located in other European States. In line with the Authority's and the European Commission's practice11 and due to the high costs associated with transporting gas in international pipelines, in this case, it is believed that the geographical perimeter of the relevant market can be considered national.  </w:t>
        <w:br/>
        <w:t xml:space="preserve">V.1.3. The position of the Parties in the national storage market  </w:t>
        <w:br/>
        <w:t xml:space="preserve">21. Table 1 shows the shares held by the Parties and by IGS in the market for storage services only, calculated based on the storage capacity of the infrastructures managed during the thermal year 2023/2024. As of now, the offer of storage services is already characterized by Stogit's dominant position, which, with the acquisition of Edison Stoccaggio, will increase its share from about [90-95%] to about [95-100%], effectively becoming the monopolistic operator.  </w:t>
        <w:br/>
        <w:t xml:space="preserve">9 See M.9641 - Snam/FSI/OLT, decision of February 11, 2020; M.10619 - Snam/Eni/JV, decision of October 13, 2022.  </w:t>
        <w:br/>
        <w:t xml:space="preserve">10 See C12412 - F2i SGR/Ital Gas Storage, cited; C11695 - Cassa Depositi e Prestiti/Snam, cited; European Commission, case M.9641 - Snam/FSI/OLT.  </w:t>
        <w:br/>
        <w:t>11 In the context of case M.9641 - Snam/FSI/OLT, the assessment of the geographical perimeter of the relevant market was based on the results of a market investigation, which confirmed that the storage market can be considered national.</w:t>
      </w:r>
    </w:p>
    <w:p>
      <w:r>
        <w:rPr>
          <w:b/>
        </w:rPr>
        <w:t>[Pages 52–54]</w:t>
      </w:r>
    </w:p>
    <w:p>
      <w:r>
        <w:t xml:space="preserve">54 BULLETIN NO. 49 OF DECEMBER 23, 2024  </w:t>
        <w:br/>
        <w:t xml:space="preserve">Table 1: Storage Capacity in Italy12  </w:t>
        <w:br/>
        <w:t xml:space="preserve">Thermal Year 2023/2024  </w:t>
        <w:br/>
        <w:t xml:space="preserve">Company  </w:t>
        <w:br/>
        <w:t xml:space="preserve">Site Share  </w:t>
        <w:br/>
        <w:t xml:space="preserve">Capacity (Msmc)  </w:t>
        <w:br/>
        <w:t xml:space="preserve">(%)  </w:t>
        <w:br/>
        <w:t xml:space="preserve">Snam [15,000-20,000] [90-95]  </w:t>
        <w:br/>
        <w:t xml:space="preserve">Fiume Trieste [1,000-5,000] [25-30]  </w:t>
        <w:br/>
        <w:t xml:space="preserve">Minerbio [1,000-5,000] [15-20]  </w:t>
        <w:br/>
        <w:t xml:space="preserve">Sergnano [1,000-5,000] [10-15]  </w:t>
        <w:br/>
        <w:t xml:space="preserve">Settala [1,000-5,000] [10-15]  </w:t>
        <w:br/>
        <w:t xml:space="preserve">Ripalta [1,000-5,000] [5-10]  </w:t>
        <w:br/>
        <w:t xml:space="preserve">Bordolano [1,000-5,000] [5-10]  </w:t>
        <w:br/>
        <w:t xml:space="preserve">Cortemaggiore [500-1,000] [5-10]  </w:t>
        <w:br/>
        <w:t xml:space="preserve">Sabbioncello [500-1,000] [1-5]  </w:t>
        <w:br/>
        <w:t xml:space="preserve">Brugherio [100-500] [1-5]  </w:t>
        <w:br/>
        <w:t xml:space="preserve">Edison Stoccaggio [1,000-5,000] [5-10]  </w:t>
        <w:br/>
        <w:t xml:space="preserve">Collalto [500-1,000] [1-5]  </w:t>
        <w:br/>
        <w:t xml:space="preserve">S. Potito and Cotignola [100-500] [1-5]  </w:t>
        <w:br/>
        <w:t xml:space="preserve">Cellino [100-500] [&lt;1]  </w:t>
        <w:br/>
        <w:t xml:space="preserve">IGS [100-500] [1-5]  </w:t>
        <w:br/>
        <w:t xml:space="preserve">Cornegliano [100-500] [1-5]  </w:t>
        <w:br/>
        <w:t xml:space="preserve">Total [15,000-20,000] 100  </w:t>
        <w:br/>
        <w:t xml:space="preserve">Source: Snam  </w:t>
        <w:br/>
        <w:t xml:space="preserve">22. In evaluating the Operation, it should be noted that some of the typical levers of a competitive market are not available to the incumbent as they are subject to pervasive regulation aimed at protecting, on one hand, the security of the national system (strategic, mining, and balancing storage) and supplies to residential customers (modulation storage) and, on the other hand, the financial balance of storage companies through the valorization of existing infrastructures and the product delivered. For example, storage companies are unable to influence the delivery prices of various services, which are set by the regulator or determined ex post by the market, as in the case of modulation storage (in the latter case, the difference between the delivery price of the service resulting from the auctions and the regulated tariff set by ARERA is compensated, if negative, or returned, if positive, to the national system through the Fund for Energy and Environmental Services).  </w:t>
        <w:br/>
        <w:t xml:space="preserve">23. Nevertheless, although it takes place in a heavily regulated market, the Operation results in the elimination of the only current competitor of Stogit and raises Snam's market share from [90-95%] to [95-100%], with an increase of [5-10%]; post-Operation, Snam, through its subsidiary Stogit, will assume the role of monopolist in the storage market in Italy.  </w:t>
        <w:br/>
        <w:t xml:space="preserve">24. Therefore, a thorough competitive assessment of the market in question is necessary to verify the effects of the Operation on the services offered to shippers purchasing storage capacity in the Italian market, taking into due consideration the fact that competition in this market is already particularly weakened pre-Operation by the existence of a super-dominant operator.  </w:t>
        <w:br/>
        <w:t xml:space="preserve">25. For example, some shippers have pointed out that the Operation could impact the quality of peak modulation storage. In fact, although the minimum quality standards of the service provided are established by sector regulations13, for the same service, the quality of peak modulation provided by Edison Stoccaggio appears to be higher than that of Stogit due to a higher level of flexibility; this is because the service provided by Edison Stoccaggio allows for injecting and delivering gas in a manner more adaptable to the needs of the shipper, especially in the early months of the delivery period, also due to a superior ratio between injection/delivery capacity and allocated space. Thus, there is a possibility that, post-Operation and with respect to the storage sites subject to acquisition, Snam may decide not to offer peak modulation at the same quality level currently guaranteed by Edison Stoccaggio, considering that Snam's incentives to invest in its own infrastructures to enhance the quality of the service offered may decrease due to the absence of the only current competitor. In this context, in order to compensate for the flexibility previously guaranteed by Edison Stoccaggio and no longer available post-Operation, former customers of Edison Stoccaggio transferred to Snam may be induced to resort to the short-term14 services offered by Stogit.  </w:t>
        <w:br/>
        <w:t xml:space="preserve">CONSIDERING it necessary to proceed with further investigative deepening in order to assess whether the operation in question is likely to significantly hinder effective competition, pursuant to Article 6, paragraph 1, of Law No. 287/1990, also due to the strengthening of Snam's dominant position in the gas storage market;  </w:t>
        <w:br/>
        <w:t xml:space="preserve">13 In Resolution No. 419/2019/R/gas, ARERA introduced the Quality Regulation for Natural Gas Storage Service (“RQSG”), according to which storage companies are required to operate ensuring: (i) service security (i.e. provision of the service without risks to persons or property); (ii) service continuity (i.e. absence of interruptions/reductions in capacity at storage hubs), and (iii) commercial quality (i.e. timely and correct execution of the services requested by users according to regulatory provisions).  </w:t>
        <w:br/>
        <w:t>14 A particular type of short-term service is that derived from so-called primary capacity, i.e. storage capacity not allocated in previous procedures and/or obtained through the optimization of storage during the thermal year. When available, storage companies auction this primary capacity as a short-term service; the proceeds from the sale of this service are regulated by a profit-sharing mechanism after which the storage company can retain a portion. In other words, the revenues from the auctions of short-term service deliveries fall outside the compensation mechanisms from/to the Fund for Energy and Environmental Services that apply to the delivery of seasonal modulation storage. Therefore, from the sale of such services, Snam obtains additional revenues compared to those recognized in tariff settings and thus has concrete incentives to increase their sale and gain new customers.</w:t>
      </w:r>
    </w:p>
    <w:p>
      <w:r>
        <w:t xml:space="preserve">56 BULLETIN NO. 49 OF DECEMBER 23, 2024  </w:t>
        <w:br/>
        <w:t xml:space="preserve">RESOLUTION  </w:t>
        <w:br/>
        <w:t xml:space="preserve">a) the initiation of the investigation, pursuant to Article 16, paragraph 4, of Law No. 287/1990, against the companies Snam S.p.A. and Edison Stoccaggio S.p.A.;  </w:t>
        <w:br/>
        <w:t xml:space="preserve">b) the setting of a ten-day deadline, starting from the date of notification of this provision, for the exercise by the legal representatives of the Parties, or by persons delegated by them, of the right to be heard, pursuant to Article 14, paragraph 1, of Law No. 287/1990, specifying that the request for a hearing must be received by the Directorate of Transport, Energy and Environment of the Competition Department 2 of this Authority at least three days before the expiration of the aforementioned deadline;  </w:t>
        <w:br/>
        <w:t xml:space="preserve">c) that the person responsible for the procedure is Dr. Matteo Aggio;  </w:t>
        <w:br/>
        <w:t xml:space="preserve">d) that the documents of the procedure can be viewed at the Directorate of Transport, Energy and Environment of the Competition Department 2 of this Authority by the legal representatives of the parties or by persons delegated by them;  </w:t>
        <w:br/>
        <w:t xml:space="preserve">e) that the procedure must be concluded within ninety days from the date of resolution of this provision.  </w:t>
        <w:br/>
        <w:t xml:space="preserve">This provision will be notified to the interested parties and published in the Bulletin of the Competition and Market Authority.  </w:t>
        <w:br/>
        <w:t xml:space="preserve">THE SECRETARY GENERAL THE PRESIDENT  </w:t>
        <w:br/>
        <w:t>Guido Stazi Roberto Rustichelli</w:t>
      </w:r>
    </w:p>
    <w:p>
      <w:r>
        <w:rPr>
          <w:b/>
        </w:rPr>
        <w:t>[Pages 55–57]</w:t>
      </w:r>
    </w:p>
    <w:p>
      <w:r>
        <w:t xml:space="preserve">BULLETIN NO. 49 OF DECEMBER 23, 2024 57  </w:t>
        <w:br/>
        <w:t xml:space="preserve">C12688 - ITALGAS/2I RETE GAS  </w:t>
        <w:br/>
        <w:t xml:space="preserve">Provision No. 31413  </w:t>
        <w:br/>
        <w:t xml:space="preserve">THE AUTHORITY FOR THE GUARANTEE OF COMPETITION AND THE MARKET  </w:t>
        <w:br/>
        <w:t xml:space="preserve">IN ITS MEETING of December 17, 2024;  </w:t>
        <w:br/>
        <w:t xml:space="preserve">HEARD the Rapporteur, Professor Elisabetta Iossa;  </w:t>
        <w:br/>
        <w:t xml:space="preserve">HAVING REGARD TO Regulation (EC) No. 139/2004;  </w:t>
        <w:br/>
        <w:t xml:space="preserve">HAVING REGARD TO Law No. 287 of October 10, 1990;  </w:t>
        <w:br/>
        <w:t xml:space="preserve">HAVING REGARD TO Presidential Decree No. 217 of April 30, 1998;  </w:t>
        <w:br/>
        <w:t xml:space="preserve">HAVING REGARD TO the communication from Italgas S.p.A., received on November 20, 2024;  </w:t>
        <w:br/>
        <w:t xml:space="preserve">HAVING REGARD TO the observations from Advanced Capital Soc. Part. Shares and Stocks, received on November 25, 2024, from ASSOGAS - National Association of Private Gas and Energy Services Industries, received on November 28, 2024, from ACEA S.p.A., received on November 28, 2024, from Ascopiave S.p.A., received on November 28, 2024, from Hera S.p.A., received on November 29, 2024, from ANIMA - Federation of National Associations of Mechanical Engineering and Related Industries, received on December 3, 2024;  </w:t>
        <w:br/>
        <w:t xml:space="preserve">HAVING REGARD TO the documentation on file;  </w:t>
        <w:br/>
        <w:t xml:space="preserve">CONSIDERED the following:  </w:t>
        <w:br/>
        <w:t xml:space="preserve">I. THE PARTIES  </w:t>
        <w:br/>
        <w:t xml:space="preserve">1. Italgas S.p.A. (hereinafter, "Italgas" or "Italgas Group") is an Italian holding company primarily active in Italy (and, to a lesser extent, in Greece) in the natural gas distribution sector for civil and industrial uses, in numerous territorial areas corresponding to the concession areas awarded to it1. Italgas also operates in the water sector as a distributor of water services in five municipalities in Campania (Caserta, Baia e Latina, Casaluce, Galluccio, and Roccaromana) through Nepta S.p.A. (hereinafter, "Nepta") and, indirectly through Acqua Campania S.p.A., controlled by Nepta, as the wholesale manager of the water service also in Campania (Naples and Caserta). Italgas also indirectly holds joint control of Sicilacque S.p.A., the concessionaire for the capture, storage, purification, and supply of water in the Sicily region, and of Acqualatina S.p.A., the manager of the integrated water service in ATO 4-Southern Lazio. The Italgas Group is also, to a lesser extent, active in the energy efficiency sector2, the production and sale of energy from renewable sources3, and in the information technology sector4. Italgas is listed on the Euronext Milan market, organized and managed by Borsa Italiana S.p.A., and is directly controlled by CDP Reti S.p.A. (hereinafter, "CDP Reti") and indirectly by Cassa Depositi e Prestiti S.p.A. (hereinafter, "CDP"; together with the companies directly or indirectly controlled by it, "CDP group")5. In 2023, the CDP group, of which Italgas is a part, achieved a global turnover of approximately [30-40]* billion euros, of which approximately [20-30] billion euros in Italy.  </w:t>
        <w:br/>
        <w:t xml:space="preserve">2. 2i Rete Gas S.p.A. is a company active, with the homonymous group established together with its subsidiaries (hereinafter also referred to as "2iRG" or "target"; together with Italgas, the "Parties"), primarily in the management of the natural gas distribution service for civil and industrial uses in various territorial areas corresponding to the concession areas awarded to it6. 2iRG is also active - in a negligible manner and through only two photovoltaic plants located in the Southern macro-region - in the production of electricity primarily for self-consumption. Finally, 2iRG jointly controls 2i Servizi Energetici S.r.l., a company limitedly active in the energy efficiency sector. 2iRG achieved a global turnover of approximately [1-2] billion euros in 2023, entirely realized in Italy.  </w:t>
        <w:br/>
        <w:t xml:space="preserve">II. DESCRIPTION OF THE OPERATION  </w:t>
        <w:br/>
        <w:t xml:space="preserve">3. The notified concentration operation (hereinafter, "Operation") consists of the acquisition of exclusive control of 2iRG (and, indirectly, its subsidiaries) by Italgas.  </w:t>
        <w:br/>
        <w:t xml:space="preserve">4. The completion of the Operation is conditionally suspended, among other things, on obtaining authorizations from: (i) this Authority, [omitted].  </w:t>
        <w:br/>
        <w:t xml:space="preserve">5. The Purchase Agreement signed between the Parties also provides for non-competition and non-solicitation obligations effective for a period of two years from the completion of the Operation, on the part of the selling parties7.  </w:t>
        <w:br/>
        <w:t xml:space="preserve">III. QUALIFICATION OF THE OPERATION  </w:t>
        <w:br/>
        <w:t xml:space="preserve">6. The Operation constitutes a concentration, pursuant to Article 5, paragraph 1, letter b), of Law No. 287/1990, as it involves the acquisition of exclusive control of a company. It falls within the scope of application of Law No. 287/1990, as the conditions set out in Article 1 of Regulation (EC) No. 139/2004 do not apply, and is subject to the obligation of prior notification provided for by Article 16, paragraph 1, of the same law, as the total turnover achieved in the last financial year at the national level by the group of companies involved was greater than 567 million euros and the total turnover achieved individually in Italy in the last financial year by at least two of the companies involved was greater than 35 million euros.  </w:t>
        <w:br/>
        <w:t xml:space="preserve">7. The non-competition and non-solicitation obligations accompanying the Operation will be subject to further examination during the investigation to assess their accessory nature in relation to the notified concentration.  </w:t>
        <w:br/>
        <w:t xml:space="preserve">IV. EVALUATION OF THE CONCENTRATION  </w:t>
        <w:br/>
        <w:t xml:space="preserve">Relevant markets, positions of the Parties, and effects of the Operation  </w:t>
        <w:br/>
        <w:t xml:space="preserve">8. The Operation primarily concerns, due to the operations of the Parties, the natural gas distribution sector. The markets of this sector, in which the target company operates, are also vertically linked to the natural gas transportation market, in which the company SNAM S.p.A., controlled by CDP (the controlling entity of Italgas), is active. The Operation also marginally affects the wholesale electricity production and supply market and the consulting and design services market in energy efficiency that entitle the issuance of energy efficiency certificates (hereinafter, "TEE"), although these markets do not constitute actual relevant markets.  </w:t>
        <w:br/>
        <w:t xml:space="preserve">9. Therefore, for the evaluation of the Operation, the following markets are identified:  </w:t>
        <w:br/>
        <w:t xml:space="preserve">i) the market for the management of the natural gas distribution service in the concession areas;  </w:t>
        <w:br/>
        <w:t xml:space="preserve">ii) the markets for the area tenders for the assignment of natural gas distribution services;  </w:t>
        <w:br/>
        <w:t xml:space="preserve">iii) the market for the transportation and dispatching of natural gas;  </w:t>
        <w:br/>
        <w:t xml:space="preserve">iv) the market for the wholesale production and supply of electricity;  </w:t>
        <w:br/>
        <w:t xml:space="preserve">v) the market for energy efficiency services for the issuance of TEE.  </w:t>
        <w:br/>
        <w:t xml:space="preserve">The market for the management of the natural gas distribution service  </w:t>
        <w:br/>
        <w:t xml:space="preserve">10. The natural gas distribution service8, carried out by law under a legal monopoly based on a concession granted at the municipal level, has a dimension corresponding to the territory included in the concession itself. More specifically, the natural gas distribution service consists of the transportation of natural gas through medium and low-pressure networks and the performance of various activities related to the management of these networks, such as: maintenance and upgrading of plants, emergency management, physical and commercial balancing, reading, management, and updating of installed meters, as well as the execution of technical performances and safety checks on the final customers' plants.  </w:t>
        <w:br/>
        <w:t xml:space="preserve">11. The Operation, with reference to the relevant market in question, simply involves the replacement of one operator with another as the concessionaire in each of the affected territories in which the Parties operate (see below) and therefore does not result in any change in the market structure or any significant competitive effect.  </w:t>
        <w:br/>
        <w:t>8 The activity in question is defined by Article 2, paragraph 1, letter n), Legislative Decree No. 164 of May 23, 2000, ("Implementation of Directive No. 98/30/EC laying down common rules for the internal market in natural gas, pursuant to Article 41 of Law No. 144 of May 17, 1999," in G.U.R.I. of June 20, 2000, No. 142.) as "the transportation of natural gas through local gas pipeline networks for delivery to customers," is recognized as a public service, entrusted under a concession for a period not exceeding twelve years. Pursuant to Article 19 of the same decree, this activity must be carried out in a regime of corporate separation from all other activities in the gas sector, including sales activities; it is also subject to regulation of access conditions and tariffs by ARERA.</w:t>
      </w:r>
    </w:p>
    <w:p>
      <w:r>
        <w:rPr>
          <w:b/>
        </w:rPr>
        <w:t>[Pages 58–60]</w:t>
      </w:r>
    </w:p>
    <w:p>
      <w:r>
        <w:t xml:space="preserve">60 BULLETIN NO. 49 OF DECEMBER 23, 2024  </w:t>
        <w:br/>
        <w:t xml:space="preserve">The markets for area tenders for the assignment of natural gas distribution services  </w:t>
        <w:br/>
        <w:t xml:space="preserve">12. Since the natural gas distribution service is carried out under a legal monopoly based on a concession, the only form of competition possible is that related to participation in area tenders for the assignment of expired concessions (so-called competition for the market)9.  </w:t>
        <w:br/>
        <w:t xml:space="preserve">13. Based on the current regulatory framework - and as already stated in numerous precedents of the Authority10 - the relevant market must be considered coinciding with each ATEM tender. The effects of the Operation in this sector are therefore measured in relation to the (future) markets of area tenders, taking into account its impact on the expected level of competition in each affected tender. In summary, in this assessment, the current configuration of existing managements is primarily relevant, given the significant advantage associated, in the tender, with the qualification of the prevailing or otherwise relevant outgoing manager, which is also linked to a greater likelihood of participation by the latter in the tender11. Secondly, the degree of probability that other operators, even those currently not present in the ATEM or present to a limited extent, will participate in the tender must be considered. The main drivers that influence this interest are: the perceived degree of contestability for the ATEM (in the first approximation dependent on the share of the total delivery points (hereinafter, “PDR” of the ATEM held by the main outgoing manager12), the expected profitability of the same, as well as some characteristics of the hypothetical competitor, such as its possible presence in the surrounding geographical area or, more generally, its size (technical and financial capacity).  </w:t>
        <w:br/>
        <w:t xml:space="preserve">14. The tenders already conducted, on the other hand, confirm, on the one hand, the fact that the number of actual participants is quite limited13 (and often ultimately restricted to one or two participants) and  </w:t>
        <w:br/>
        <w:t xml:space="preserve">9 The assignment through tender of the concession for the natural gas distribution service has been provided by the Legislator since D.Lgs. No. 164/2000. Subsequently, D.L. No. 159/2007 entrusted the Ministry of Economic Development (“MISE”) with the task of defining minimum territorial areas (so-called “ATEM”) for conducting tenders and assigning the gas distribution service and identifying tender criteria and evaluation of offers. Consequently, in 2011, MISE identified 177 ATEM, for which it defined the relevant territorial boundaries, also outlining the framework of reference rules for conducting tenders, particularly identifying the criteria for calling the tender procedure and determining the offer, as well as the deadlines by which the ATEM were required to carry out the necessary obligations to announce the tender (DM 226/2011)  </w:t>
        <w:br/>
        <w:t xml:space="preserve">10 See, inter alia, C12125 - 2i RETE GAS / NEDGIA, provision No. 26957 of January 25, 2018 in Bulletin No. 4/2018, C12258 - Ascopiave/Business branches of Acegasapsamga, provision No. 27989 of November 19, 2019 in Bulletin No. 47/2019, C12294 - A2A/Ambiente Energia Brianza, provision No. 28406 of October 20, 2020 in Bulletin No. 45/2020.  </w:t>
        <w:br/>
        <w:t xml:space="preserve">11 Recent investigations conducted by the Authority on these markets have clearly shown that the vast majority of operators consider being present in an ATEM an advantage capable of influencing companies' strategies in participating in tenders both positively (inducing them to focus on ATEM tenders in which they are already present) and negatively (inducing them to consider ATEMs with a strong outgoing manager as poorly contestable and, therefore, not to foresee participation in the related tenders).  </w:t>
        <w:br/>
        <w:t xml:space="preserve">12 The analysis is here made in the first approximation based mainly on the positions of the Parties and competitors in the ATEM in terms of the number of PDR, however, the position of the Parties can also be analyzed through a different indicator, the value of the capital of the networks currently managed in the ATEM measured for regulatory purposes (CIN) which provides slightly different and complementary indications compared to those derived from the analysis conducted on the number of connected PDR.  </w:t>
        <w:br/>
        <w:t>13 In six out of ten cases, no more than two offers were received, and in two of those cases, only the prevailing incumbent participated in the tender.</w:t>
      </w:r>
    </w:p>
    <w:p>
      <w:r>
        <w:t xml:space="preserve">BULLETIN NO. 49 OF DECEMBER 23, 2024 61  </w:t>
        <w:br/>
        <w:t xml:space="preserve">widely lower than the number of subjects theoretically entitled to participate in the tender and, on the other hand, the decisive role of incumbency positions regarding the outcome of the tender14.  </w:t>
        <w:br/>
        <w:t xml:space="preserve">15. Consistent with this approach, the notifying Party provided its own estimate of the share of PDR held by the Parties within each of the ATEM in which they are present. Among these, there are one hundred and one ATEM in which both companies are active as outgoing managers and for which, therefore, the shares thus defined (i.e., the percentage of PDR managed by each operator within a given ATEM) are subject to overlaps.  </w:t>
        <w:br/>
        <w:t xml:space="preserve">16. In addition to this set of ATEM, there are other areas where only one of the Parties is present, neither of them, and finally, the ten ATEM for which the tender procedure has already been carried out (in particular, nine tenders have already been awarded and for another, the final ranking has been published). For these types of ATEM, it can be assumed that the Operation will not produce appreciable restrictive effects on the incentives to participate in future tenders.  </w:t>
        <w:br/>
        <w:t xml:space="preserve">17. Regarding the one hundred and one ATEM affected by overlaps between the ATEM managements (which do not include the aforementioned ATEM in which, although the service has not yet been reassigned, the tender has been conducted and the final ranking published), those are counted, first of all, where each of the Parties (and, therefore, both the Italgas group and the 2iRG group) controls a share of the existing managements equal to at least 20% of the ATEM. These ATEM are thirty-two and the shares held in them by the current operators in terms of currently managed PDR are represented in the following tables (see Tables 1-32)15.  </w:t>
        <w:br/>
        <w:t xml:space="preserve">Table 1 - Agrigento  </w:t>
        <w:br/>
        <w:t xml:space="preserve">Area AGRIGENTO  </w:t>
        <w:br/>
        <w:t xml:space="preserve">2i Rete Gas S.p.A. [60-65%]  </w:t>
        <w:br/>
        <w:t xml:space="preserve">Italgas Reti S.p.A. [35-40%]  </w:t>
        <w:br/>
        <w:t xml:space="preserve">MEDITERRANEA ENERGIA [1-5%]  </w:t>
        <w:br/>
        <w:t xml:space="preserve">Total 100.0%  </w:t>
        <w:br/>
        <w:t xml:space="preserve">Table 2 – Bari 2  </w:t>
        <w:br/>
        <w:t xml:space="preserve">Area BARI 2 - South  </w:t>
        <w:br/>
        <w:t xml:space="preserve">2i Rete Gas S.p.A. [50-55%]  </w:t>
        <w:br/>
        <w:t xml:space="preserve">Italgas Reti S.p.A. [25-30%]  </w:t>
        <w:br/>
        <w:t xml:space="preserve">Murgia Reti Gas S.r.l. [20-25%]  </w:t>
        <w:br/>
        <w:t xml:space="preserve">Total 100.0%  </w:t>
        <w:br/>
        <w:t xml:space="preserve">14 In nine out of ten cases, the main incumbent of the ATEM participated in the tender and in eight out of ten cases, it was the winner. These were, however, cases in which it was a particularly significant manager (over 80% of the PDR).  </w:t>
        <w:br/>
        <w:t>15 These shares have been calculated using the most up-to-date dataset provided by ARERA, which reports the situation as of December 31, 2022. They are, however, very similar to the estimates based on 2012 data provided by the notifying Party.</w:t>
      </w:r>
    </w:p>
    <w:p>
      <w:r>
        <w:t xml:space="preserve">62 BULLETIN NO. 49 OF DECEMBER 23, 2024  </w:t>
        <w:br/>
        <w:t xml:space="preserve">Table 3 - Benevento  </w:t>
        <w:br/>
        <w:t xml:space="preserve">Area BENEVENTO  </w:t>
        <w:br/>
        <w:t xml:space="preserve">2i Rete Gas S.p.A. [35-40%]  </w:t>
        <w:br/>
        <w:t xml:space="preserve">Italgas Reti S.p.A. [50-55%]  </w:t>
        <w:br/>
        <w:t xml:space="preserve">COOP. POMILIA GAS S.C.R.L. [less than 1%]  </w:t>
        <w:br/>
        <w:t xml:space="preserve">METAEDIL S.R.L. [1-5%]  </w:t>
        <w:br/>
        <w:t xml:space="preserve">S.I.DI.GAS SPA [1-5%]  </w:t>
        <w:br/>
        <w:t xml:space="preserve">Sistemi Salerno - Reti Gas S.p.A. [5-10%]  </w:t>
        <w:br/>
        <w:t xml:space="preserve">Total 100.0%  </w:t>
        <w:br/>
        <w:t xml:space="preserve">Table 4 – Brescia 5  </w:t>
        <w:br/>
        <w:t xml:space="preserve">Area BRESCIA 5 - South - East  </w:t>
        <w:br/>
        <w:t xml:space="preserve">2i Rete Gas S.p.A. [20-25%]  </w:t>
        <w:br/>
        <w:t xml:space="preserve">Italgas Reti S.p.A. [40-45%]  </w:t>
        <w:br/>
        <w:t xml:space="preserve">GP Infrastrutture S.r.l. [15-20%]  </w:t>
        <w:br/>
        <w:t xml:space="preserve">ROMEO GAS S.P.A. [5-10%]  </w:t>
        <w:br/>
        <w:t xml:space="preserve">Società Impianti Metano S.r.l. [5-10%]  </w:t>
        <w:br/>
        <w:t xml:space="preserve">Total 100.0%  </w:t>
        <w:br/>
        <w:t xml:space="preserve">Table 5 - Caltanissetta  </w:t>
        <w:br/>
        <w:t xml:space="preserve">Area CALTANISETTA  </w:t>
        <w:br/>
        <w:t xml:space="preserve">2i Rete Gas S.p.A. [35-40%]  </w:t>
        <w:br/>
        <w:t xml:space="preserve">Italgas Reti S.p.A. [60-65%]  </w:t>
        <w:br/>
        <w:t xml:space="preserve">MEDITERRANEA ENERGIA [1-5%]  </w:t>
        <w:br/>
        <w:t>Total 100.0%</w:t>
      </w:r>
    </w:p>
    <w:p>
      <w:r>
        <w:rPr>
          <w:b/>
        </w:rPr>
        <w:t>[Pages 61–63]</w:t>
      </w:r>
    </w:p>
    <w:p>
      <w:r>
        <w:t xml:space="preserve">BULLETIN NO. 49 OF DECEMBER 23, 2024 63  </w:t>
        <w:br/>
        <w:t xml:space="preserve">Table 6 - Campobasso  </w:t>
        <w:br/>
        <w:t xml:space="preserve">Area CAMPOBASSO  </w:t>
        <w:br/>
        <w:t xml:space="preserve">2i Rete Gas S.p.A. [45-50%]  </w:t>
        <w:br/>
        <w:t xml:space="preserve">Italgas Reti S.p.A. [30-35%]  </w:t>
        <w:br/>
        <w:t xml:space="preserve">ADISTRIBUZIONEGAS S.r.l. [1-5%]  </w:t>
        <w:br/>
        <w:t xml:space="preserve">MUNICIPALITY OF SAN GIULIANO DI PUGLIA [less than 1%]  </w:t>
        <w:br/>
        <w:t xml:space="preserve">MOLISE GESTIONI S.R.L. [15-20%]  </w:t>
        <w:br/>
        <w:t xml:space="preserve">Murgia Reti Gas S.r.l. [1-5%]  </w:t>
        <w:br/>
        <w:t xml:space="preserve">TISGA S.R.L. [less than 1%]  </w:t>
        <w:br/>
        <w:t xml:space="preserve">Total 100.0%  </w:t>
        <w:br/>
        <w:t xml:space="preserve">Table 7 – Caserta 2  </w:t>
        <w:br/>
        <w:t xml:space="preserve">Area CASERTA 2 - North and West  </w:t>
        <w:br/>
        <w:t xml:space="preserve">2i Rete Gas S.p.A. [50-55%]  </w:t>
        <w:br/>
        <w:t xml:space="preserve">Italgas Reti S.p.A. [30-35%]  </w:t>
        <w:br/>
        <w:t xml:space="preserve">M RETI SPA [15-20%]  </w:t>
        <w:br/>
        <w:t xml:space="preserve">S.I.DI.GAS SPA [1-5%]  </w:t>
        <w:br/>
        <w:t xml:space="preserve">Total 100.0%  </w:t>
        <w:br/>
        <w:t xml:space="preserve">Table 8 – Catania 1  </w:t>
        <w:br/>
        <w:t xml:space="preserve">Area CATANIA 1 - North  </w:t>
        <w:br/>
        <w:t xml:space="preserve">2i Rete Gas S.p.A. [50-55%]  </w:t>
        <w:br/>
        <w:t xml:space="preserve">Italgas Reti S.p.A. [40-45%]  </w:t>
        <w:br/>
        <w:t xml:space="preserve">SOGIP S.R.L. [5-10%]  </w:t>
        <w:br/>
        <w:t xml:space="preserve">Total 100.0%  </w:t>
        <w:br/>
        <w:t xml:space="preserve">Table 9 – Frosinone 2  </w:t>
        <w:br/>
        <w:t xml:space="preserve">Area FROSINONE 2 - East  </w:t>
        <w:br/>
        <w:t xml:space="preserve">2i Rete Gas S.p.A. [75-80%]  </w:t>
        <w:br/>
        <w:t xml:space="preserve">Italgas Reti S.p.A. [20-25%]  </w:t>
        <w:br/>
        <w:t>Total 100.0%</w:t>
      </w:r>
    </w:p>
    <w:p>
      <w:r>
        <w:t xml:space="preserve">64 BULLETIN NO. 49 OF DECEMBER 23, 2024  </w:t>
        <w:br/>
        <w:t xml:space="preserve">Table 10 – L’Aquila 2  </w:t>
        <w:br/>
        <w:t xml:space="preserve">Area L'AQUILA 2 - South - West  </w:t>
        <w:br/>
        <w:t xml:space="preserve">2i Rete Gas S.p.A. [35-40%]  </w:t>
        <w:br/>
        <w:t xml:space="preserve">Italgas Reti S.p.A. [35-40%]  </w:t>
        <w:br/>
        <w:t xml:space="preserve">ADISTRIBUZIONEGAS S.r.l. [10-15%]  </w:t>
        <w:br/>
        <w:t xml:space="preserve">ANGIZIA MULTISERVICES S.R.L. [1-5%]  </w:t>
        <w:br/>
        <w:t xml:space="preserve">CONS. GEST. RIS. VALLI PELIGNA, SUBEQUANA AND  </w:t>
        <w:br/>
        <w:t xml:space="preserve">[1-5%]  </w:t>
        <w:br/>
        <w:t xml:space="preserve">PESCARA  </w:t>
        <w:br/>
        <w:t xml:space="preserve">MEDITERRANEA ENERGIA [1-5%]  </w:t>
        <w:br/>
        <w:t xml:space="preserve">VERDUCCI DISTRIBUZIONE S.R.L. [1-5%]  </w:t>
        <w:br/>
        <w:t xml:space="preserve">Total 100.0%  </w:t>
        <w:br/>
        <w:t xml:space="preserve">Table 11 – Mantova 2  </w:t>
        <w:br/>
        <w:t xml:space="preserve">Area MANTOVA 2 - South and East  </w:t>
        <w:br/>
        <w:t xml:space="preserve">2i Rete Gas S.p.A. [30-35%]  </w:t>
        <w:br/>
        <w:t xml:space="preserve">Italgas Reti S.p.A. [35-40%]  </w:t>
        <w:br/>
        <w:t xml:space="preserve">AS RETIGAS SRL [5-10%]  </w:t>
        <w:br/>
        <w:t xml:space="preserve">EDIGAS ESERCIZIO DISTRIBUZIONE GAS S.P.A [1-5%]  </w:t>
        <w:br/>
        <w:t xml:space="preserve">SEI SERVIZI ENERGETICI INTEGRATI S.R.L. [15-20%]  </w:t>
        <w:br/>
        <w:t xml:space="preserve">Total 100.0%  </w:t>
        <w:br/>
        <w:t xml:space="preserve">Table 12 – Massa Carrara  </w:t>
        <w:br/>
        <w:t xml:space="preserve">Area MASSA CARRARA  </w:t>
        <w:br/>
        <w:t xml:space="preserve">2i Rete Gas S.p.A. [50-55%]  </w:t>
        <w:br/>
        <w:t xml:space="preserve">Italgas Reti S.p.A. [45-50%]  </w:t>
        <w:br/>
        <w:t>Total 100.0%</w:t>
      </w:r>
    </w:p>
    <w:p>
      <w:r>
        <w:t xml:space="preserve">BULLETIN NO. 49 OF DECEMBER 23, 2024 65  </w:t>
        <w:br/>
        <w:t xml:space="preserve">Table 13 - Matera  </w:t>
        <w:br/>
        <w:t xml:space="preserve">Area MATERA  </w:t>
        <w:br/>
        <w:t xml:space="preserve">2i Rete Gas S.p.A. [25-30%]  </w:t>
        <w:br/>
        <w:t xml:space="preserve">Italgas Reti S.p.A. [55-60%]  </w:t>
        <w:br/>
        <w:t xml:space="preserve">BASENGAS SRL [5-10%]  </w:t>
        <w:br/>
        <w:t xml:space="preserve">COSVIM SOC. COOP. [1-5%]  </w:t>
        <w:br/>
        <w:t xml:space="preserve">SOLDO FRANCESCO S.R.L. [1-5%]  </w:t>
        <w:br/>
        <w:t xml:space="preserve">Total 100.0%  </w:t>
        <w:br/>
        <w:t xml:space="preserve">Table 14 – Messina 2  </w:t>
        <w:br/>
        <w:t xml:space="preserve">Area MESSINA 2 - West  </w:t>
        <w:br/>
        <w:t xml:space="preserve">2i Rete Gas S.p.A. [45-50%]  </w:t>
        <w:br/>
        <w:t xml:space="preserve">Italgas Reti S.p.A. [45-50%]  </w:t>
        <w:br/>
        <w:t xml:space="preserve">SI GAS DISTRIBUZIONE SRL [5-10%]  </w:t>
        <w:br/>
        <w:t xml:space="preserve">SI GAS S.AGATA SRL [1-5%]  </w:t>
        <w:br/>
        <w:t xml:space="preserve">Total 100.0%  </w:t>
        <w:br/>
        <w:t xml:space="preserve">Table 15 – Milano 2  </w:t>
        <w:br/>
        <w:t xml:space="preserve">Area MILANO 2 - Province North - West  </w:t>
        <w:br/>
        <w:t xml:space="preserve">2i Rete Gas S.p.A. [30-35%]  </w:t>
        <w:br/>
        <w:t xml:space="preserve">Italgas Reti S.p.A. [20-25%]  </w:t>
        <w:br/>
        <w:t xml:space="preserve">A.G.Re. SpA [1-5%]  </w:t>
        <w:br/>
        <w:t xml:space="preserve">AEMME LINEA DISTRIBUZIONE SRL [20-25%]  </w:t>
        <w:br/>
        <w:t xml:space="preserve">G.E.I. GESTIONE ENERGETICA IMPIANTI S.P.A. [1-5%]  </w:t>
        <w:br/>
        <w:t xml:space="preserve">NED Reti Distribuzione Gas Srl [10-15%]  </w:t>
        <w:br/>
        <w:t xml:space="preserve">RetiPiù Srl [1-5%]  </w:t>
        <w:br/>
        <w:t>Total 100.0%</w:t>
      </w:r>
    </w:p>
    <w:p>
      <w:r>
        <w:rPr>
          <w:b/>
        </w:rPr>
        <w:t>[Pages 64–66]</w:t>
      </w:r>
    </w:p>
    <w:p>
      <w:r>
        <w:t xml:space="preserve">66 BULLETIN NO. 49 OF DECEMBER 23, 2024  </w:t>
        <w:br/>
        <w:t xml:space="preserve">Table 16 – Naples 2  </w:t>
        <w:br/>
        <w:t xml:space="preserve">Area NAPLES 2 - North - West  </w:t>
        <w:br/>
        <w:t xml:space="preserve">2i Rete Gas S.p.A. [30-35%]  </w:t>
        <w:br/>
        <w:t xml:space="preserve">Italgas Reti S.p.A. [60-65%]  </w:t>
        <w:br/>
        <w:t xml:space="preserve">COOP. POMILIA GAS S.C.R.L. [1-5%]  </w:t>
        <w:br/>
        <w:t xml:space="preserve">Total 100.0%  </w:t>
        <w:br/>
        <w:t xml:space="preserve">Table 17 – Novara 2  </w:t>
        <w:br/>
        <w:t xml:space="preserve">Area NOVARA 2 - South  </w:t>
        <w:br/>
        <w:t xml:space="preserve">2i Rete Gas S.p.A. [35-40%]  </w:t>
        <w:br/>
        <w:t xml:space="preserve">Italgas Reti S.p.A. [60-65%]  </w:t>
        <w:br/>
        <w:t xml:space="preserve">ASM VERCELLI SPA [less than 1%]  </w:t>
        <w:br/>
        <w:t xml:space="preserve">Total 100.0%  </w:t>
        <w:br/>
        <w:t xml:space="preserve">Table 18 – Padua 2  </w:t>
        <w:br/>
        <w:t xml:space="preserve">Area PADUA 2 - Euganei and West  </w:t>
        <w:br/>
        <w:t xml:space="preserve">2i Rete Gas S.p.A. [65-70%]  </w:t>
        <w:br/>
        <w:t xml:space="preserve">Italgas Reti S.p.A. [25-30%]  </w:t>
        <w:br/>
        <w:t xml:space="preserve">AP RETI GAS NORD EST s.r.l. [1-5%]  </w:t>
        <w:br/>
        <w:t xml:space="preserve">Total 100.0%  </w:t>
        <w:br/>
        <w:t xml:space="preserve">Table 19 – Padua 3  </w:t>
        <w:br/>
        <w:t xml:space="preserve">Area PADUA 3 - Lower Padua  </w:t>
        <w:br/>
        <w:t xml:space="preserve">2i Rete Gas S.p.A. [30-35%]  </w:t>
        <w:br/>
        <w:t xml:space="preserve">Italgas Reti S.p.A. [65-70%]  </w:t>
        <w:br/>
        <w:t xml:space="preserve">AP RETI GAS NORD EST s.r.l. [less than 1%]  </w:t>
        <w:br/>
        <w:t xml:space="preserve">G.E.I. GESTIONE ENERGETICA IMPIANTI S.P.A. [less than 1%]  </w:t>
        <w:br/>
        <w:t>Total 100.0%</w:t>
      </w:r>
    </w:p>
    <w:p>
      <w:r>
        <w:t xml:space="preserve">BULLETIN NO. 49 OF DECEMBER 23, 2024 67  </w:t>
        <w:br/>
        <w:t xml:space="preserve">Table 20 – Potenza 1  </w:t>
        <w:br/>
        <w:t xml:space="preserve">Area POTENZA 1 - North  </w:t>
        <w:br/>
        <w:t xml:space="preserve">2i Rete Gas S.p.A. [45-50%]  </w:t>
        <w:br/>
        <w:t xml:space="preserve">Italgas Reti S.p.A. [35-40%]  </w:t>
        <w:br/>
        <w:t xml:space="preserve">COSVIM SOC. COOP. [10-15%]  </w:t>
        <w:br/>
        <w:t xml:space="preserve">S.I.DI.GAS SPA [1-5%]  </w:t>
        <w:br/>
        <w:t xml:space="preserve">Total 100.0%  </w:t>
        <w:br/>
        <w:t xml:space="preserve">Table 21 – Potenza 2  </w:t>
        <w:br/>
        <w:t xml:space="preserve">Area POTENZA 2 - South  </w:t>
        <w:br/>
        <w:t xml:space="preserve">2i Rete Gas S.p.A. [20-25%]  </w:t>
        <w:br/>
        <w:t xml:space="preserve">Italgas Reti S.p.A. [45-50%]  </w:t>
        <w:br/>
        <w:t xml:space="preserve">CAMASTRAGAS S.r.l. [less than 1%]  </w:t>
        <w:br/>
        <w:t xml:space="preserve">COSVIM SOC. COOP. [5-10%]  </w:t>
        <w:br/>
        <w:t xml:space="preserve">MOLISE GESTIONI S.R.L. [10-15%]  </w:t>
        <w:br/>
        <w:t xml:space="preserve">S.I.DI.GAS SPA [1-5%]  </w:t>
        <w:br/>
        <w:t xml:space="preserve">Sistemi Salerno - Reti Gas S.p.A. [1-5%]  </w:t>
        <w:br/>
        <w:t xml:space="preserve">SOLDO FRANCESCO S.R.L. [less than 1%]  </w:t>
        <w:br/>
        <w:t xml:space="preserve">Total 100.0%  </w:t>
        <w:br/>
        <w:t xml:space="preserve">Table 22- Ragusa  </w:t>
        <w:br/>
        <w:t xml:space="preserve">Area RAGUSA  </w:t>
        <w:br/>
        <w:t xml:space="preserve">2i Rete Gas S.p.A. [55-60%]  </w:t>
        <w:br/>
        <w:t xml:space="preserve">Italgas Reti S.p.A. [25-30%]  </w:t>
        <w:br/>
        <w:t xml:space="preserve">MEDITERRANEA ENERGIA [15-20%]  </w:t>
        <w:br/>
        <w:t>Total 100.0%</w:t>
      </w:r>
    </w:p>
    <w:p>
      <w:r>
        <w:t xml:space="preserve">68 BULLETIN NO. 49 OF DECEMBER 23, 2024  </w:t>
        <w:br/>
        <w:t xml:space="preserve">Table 23 – Reggio di Calabria – Vibo Valentia  </w:t>
        <w:br/>
        <w:t xml:space="preserve">Area REGGIO DI CALABRIA – VIBO VALENTIA  </w:t>
        <w:br/>
        <w:t xml:space="preserve">2i Rete Gas S.p.A. [40-45%]  </w:t>
        <w:br/>
        <w:t xml:space="preserve">Italgas Reti S.p.A. [55-60%]  </w:t>
        <w:br/>
        <w:t xml:space="preserve">S.I.DI.GAS SPA [less than 1%]  </w:t>
        <w:br/>
        <w:t xml:space="preserve">SVILUPPO ENERGIA [less than 1%]  </w:t>
        <w:br/>
        <w:t xml:space="preserve">Total 100.0%  </w:t>
        <w:br/>
        <w:t xml:space="preserve">Table 24 – Rome 4  </w:t>
        <w:br/>
        <w:t xml:space="preserve">Area ROME 4 - South Coast and Castelli Romani  </w:t>
        <w:br/>
        <w:t xml:space="preserve">2i Rete Gas S.p.A. [65-70%]  </w:t>
        <w:br/>
        <w:t xml:space="preserve">Italgas Reti S.p.A. [30-35%]  </w:t>
        <w:br/>
        <w:t xml:space="preserve">EROGASMET S.P.A. [less than 1%]  </w:t>
        <w:br/>
        <w:t xml:space="preserve">Total 100.0%  </w:t>
        <w:br/>
        <w:t xml:space="preserve">Table 25 – Rome 5  </w:t>
        <w:br/>
        <w:t xml:space="preserve">Area ROME 5 - Prenestino, Monte Lepini and Aniene  </w:t>
        <w:br/>
        <w:t xml:space="preserve">2i Rete Gas S.p.A. [35-40%]  </w:t>
        <w:br/>
        <w:t xml:space="preserve">Italgas Reti S.p.A. [30-35%]  </w:t>
        <w:br/>
        <w:t xml:space="preserve">EROGASMET S.P.A. [25-30%]  </w:t>
        <w:br/>
        <w:t xml:space="preserve">Total 100.0%  </w:t>
        <w:br/>
        <w:t xml:space="preserve">Table 26 – Salerno 1  </w:t>
        <w:br/>
        <w:t xml:space="preserve">Area SALERNO 1 - Amalfitano and Nocerin West  </w:t>
        <w:br/>
        <w:t xml:space="preserve">Italgas Reti S.p.A. [30-35%]  </w:t>
        <w:br/>
        <w:t xml:space="preserve">2i Rete Gas S.p.A. [50-55%]  </w:t>
        <w:br/>
        <w:t xml:space="preserve">AMALFITANA GAS S.R.L. [10-15%]  </w:t>
        <w:br/>
        <w:t>Total 100.0%</w:t>
      </w:r>
    </w:p>
    <w:p>
      <w:r>
        <w:rPr>
          <w:b/>
        </w:rPr>
        <w:t>[Pages 67–69]</w:t>
      </w:r>
    </w:p>
    <w:p>
      <w:r>
        <w:t xml:space="preserve">BULLETIN NO. 49 OF DECEMBER 23, 2024 69  </w:t>
        <w:br/>
        <w:t xml:space="preserve">Table 27 – Salerno 3  </w:t>
        <w:br/>
        <w:t xml:space="preserve">Area SALERNO 3 - North and East  </w:t>
        <w:br/>
        <w:t xml:space="preserve">2i Rete Gas S.p.A. [55-60%]  </w:t>
        <w:br/>
        <w:t xml:space="preserve">Italgas Reti S.p.A. [35-40%]  </w:t>
        <w:br/>
        <w:t xml:space="preserve">AMALFITANA GAS S.R.L. [less than 1%]  </w:t>
        <w:br/>
        <w:t xml:space="preserve">METAEDIL S.R.L. [less than 1%]  </w:t>
        <w:br/>
        <w:t xml:space="preserve">METAGAS SRL [less than 1%]  </w:t>
        <w:br/>
        <w:t xml:space="preserve">NUCERIA DISTRIBUZIONE GAS S.R.L. [less than 1%]  </w:t>
        <w:br/>
        <w:t xml:space="preserve">S.I.DI.GAS SPA [less than 1%]  </w:t>
        <w:br/>
        <w:t xml:space="preserve">Sistemi Salerno - Reti Gas S.p.A. [1-5%]  </w:t>
        <w:br/>
        <w:t xml:space="preserve">Total 100.0%  </w:t>
        <w:br/>
        <w:t xml:space="preserve">Table 28 - Teramo  </w:t>
        <w:br/>
        <w:t xml:space="preserve">Area TERAMO  </w:t>
        <w:br/>
        <w:t xml:space="preserve">2i Rete Gas S.p.A. [30-35%]  </w:t>
        <w:br/>
        <w:t xml:space="preserve">Italgas Reti S.p.A. [40-45%]  </w:t>
        <w:br/>
        <w:t xml:space="preserve">CENTRIA [1-5%]  </w:t>
        <w:br/>
        <w:t xml:space="preserve">CITIGAS SOCIETA' COOPERATIVA S.P.A. [1-5%]  </w:t>
        <w:br/>
        <w:t xml:space="preserve">COSEV SERVIZI S.P.A [5-10%]  </w:t>
        <w:br/>
        <w:t xml:space="preserve">INTERLAGA SRL [less than 1%]  </w:t>
        <w:br/>
        <w:t xml:space="preserve">JULIA RETE SOCIETA' UNIPERSONALE [5-10%]  </w:t>
        <w:br/>
        <w:t xml:space="preserve">NOTARESCO GAS SRL [1-5%]  </w:t>
        <w:br/>
        <w:t xml:space="preserve">UNIGAS S.R.L. [1-5%]  </w:t>
        <w:br/>
        <w:t xml:space="preserve">Total 100.0%  </w:t>
        <w:br/>
        <w:t xml:space="preserve">Table 29 – Torino 6  </w:t>
        <w:br/>
        <w:t xml:space="preserve">Area TORINO 6 - Eastern Po  </w:t>
        <w:br/>
        <w:t xml:space="preserve">2i Rete Gas S.p.A. [40-45%]  </w:t>
        <w:br/>
        <w:t xml:space="preserve">Italgas Reti S.p.A. [50-55%]  </w:t>
        <w:br/>
        <w:t xml:space="preserve">METANPROGETTI [5-10%]  </w:t>
        <w:br/>
        <w:t>Total 100.0%</w:t>
      </w:r>
    </w:p>
    <w:p>
      <w:r>
        <w:t xml:space="preserve">70 BULLETIN NO. 49 OF DECEMBER 23, 2024  </w:t>
        <w:br/>
        <w:t xml:space="preserve">Table 30 - Trapani  </w:t>
        <w:br/>
        <w:t xml:space="preserve">Area TRAPANI  </w:t>
        <w:br/>
        <w:t xml:space="preserve">2i Rete Gas S.p.A. [35-40%]  </w:t>
        <w:br/>
        <w:t xml:space="preserve">Italgas Reti S.p.A. [60-65%]  </w:t>
        <w:br/>
        <w:t xml:space="preserve">Total 100.0%  </w:t>
        <w:br/>
        <w:t xml:space="preserve">Table 31 – Varese 1  </w:t>
        <w:br/>
        <w:t xml:space="preserve">Area VARESE 1 - North  </w:t>
        <w:br/>
        <w:t xml:space="preserve">2i Rete Gas S.p.A. [30-35%]  </w:t>
        <w:br/>
        <w:t xml:space="preserve">Italgas Reti S.p.A. [25-30%]  </w:t>
        <w:br/>
        <w:t xml:space="preserve">AP Reti Gas S.p.A. [10-15%]  </w:t>
        <w:br/>
        <w:t xml:space="preserve">EROGASMET S.P.A. [5-10%]  </w:t>
        <w:br/>
        <w:t xml:space="preserve">G.E.I. GESTIONE ENERGETICA IMPIANTI S.P.A. [10-15%]  </w:t>
        <w:br/>
        <w:t xml:space="preserve">Società Impianti Metano S.r.l. [1-5%]  </w:t>
        <w:br/>
        <w:t xml:space="preserve">Total 100.0%  </w:t>
        <w:br/>
        <w:t xml:space="preserve">Table 32 - Viterbo  </w:t>
        <w:br/>
        <w:t xml:space="preserve">Area VITERBO  </w:t>
        <w:br/>
        <w:t xml:space="preserve">2i Rete Gas S.p.A. [35-40%]  </w:t>
        <w:br/>
        <w:t xml:space="preserve">Italgas Reti S.p.A. [55-60%]  </w:t>
        <w:br/>
        <w:t xml:space="preserve">EROGASMET S.P.A. [1-5%]  </w:t>
        <w:br/>
        <w:t xml:space="preserve">Total 100.0%  </w:t>
        <w:br/>
        <w:t>18. For these ATEM, considering the position that each of the Parties holds in the current managements, the Operation involves the reunification under a single decision-making center of two of the main operators currently present in the aforementioned areas (which, with the sole exception of Milan 2, are precisely the two main operators of the ATEM). Therefore, with reference to these ATEM, the Operation could lead to the elimination of one of the few plausible competitors in the tender and, in this way, cause a direct competitive restriction. Following the operation, the joint presence of the Parties in these ATEM would, in all these cases, exceed 50% of the managed PDR, thus constituting an outgoing manager that would hold such a pronounced advantageous position in the tender that it could discourage even potential third-party competitors from participating in the procedure.</w:t>
      </w:r>
    </w:p>
    <w:p>
      <w:r>
        <w:t xml:space="preserve">BULLETIN NO. 49 OF DECEMBER 23, 2024 71  </w:t>
        <w:br/>
        <w:t xml:space="preserve">19. There are also 4 other ATEM, in which the Target 2iRG manages a share of the PDR of the ATEM between 15% and 20% - thus holding a lesser incumbency position compared to the previous group, but still not entirely negligible - and which, moreover, are characterized by the total absence of third-party operators in the ATEM (or by a completely negligible presence of the same). The shares of PDR managed by distributors in these ATEM are represented in the tables that follow (see Tables 33-36).  </w:t>
        <w:br/>
        <w:t xml:space="preserve">Table 33- Barletta – Andria - Trani  </w:t>
        <w:br/>
        <w:t xml:space="preserve">Area BARLETTA ANDRIA TRANI  </w:t>
        <w:br/>
        <w:t xml:space="preserve">2i Rete Gas S.p.A. [15-20%]  </w:t>
        <w:br/>
        <w:t xml:space="preserve">Italgas Reti S.p.A. [75-80%]  </w:t>
        <w:br/>
        <w:t xml:space="preserve">BITRIGAS SRL [1-5%]  </w:t>
        <w:br/>
        <w:t xml:space="preserve">Total 100.0%  </w:t>
        <w:br/>
        <w:t xml:space="preserve">Table 34 – Caserta 1  </w:t>
        <w:br/>
        <w:t xml:space="preserve">Area CASERTA 1 - South - East  </w:t>
        <w:br/>
        <w:t xml:space="preserve">2i Rete Gas S.p.A. [15-20%]  </w:t>
        <w:br/>
        <w:t xml:space="preserve">Italgas Reti S.p.A. [80-85%]  </w:t>
        <w:br/>
        <w:t xml:space="preserve">Total 100.0%  </w:t>
        <w:br/>
        <w:t xml:space="preserve">Table 35 – Cosenza 2  </w:t>
        <w:br/>
        <w:t xml:space="preserve">Area COSENZA 2 - East  </w:t>
        <w:br/>
        <w:t xml:space="preserve">2i Rete Gas S.p.A. [15-20%]  </w:t>
        <w:br/>
        <w:t xml:space="preserve">Italgas Reti S.p.A. [75-80%]  </w:t>
        <w:br/>
        <w:t xml:space="preserve">COSVIM SOC. COOP. [1-5%]  </w:t>
        <w:br/>
        <w:t xml:space="preserve">SVILUPPO ENERGIA [1-5%]  </w:t>
        <w:br/>
        <w:t xml:space="preserve">Total 100.0%  </w:t>
        <w:br/>
        <w:t>16 Considering the share of PDR managed by Italgas in these ATEM, in fact, following the Operation the Parties would manage in these ATEM over 95% of the PDR.</w:t>
      </w:r>
    </w:p>
    <w:p>
      <w:r>
        <w:rPr>
          <w:b/>
        </w:rPr>
        <w:t>[Pages 70–72]</w:t>
      </w:r>
    </w:p>
    <w:p>
      <w:r>
        <w:t xml:space="preserve">72 BULLETIN NO. 49 OF DECEMBER 23, 2024  </w:t>
        <w:br/>
        <w:t xml:space="preserve">Table 36 - Pisa  </w:t>
        <w:br/>
        <w:t xml:space="preserve">Scope PISA  </w:t>
        <w:br/>
        <w:t xml:space="preserve">2i Rete Gas S.p.A. [15-20%]  </w:t>
        <w:br/>
        <w:t xml:space="preserve">TOSCANA ENERGIA S.P.A. (Italgas group) [80-85%]  </w:t>
        <w:br/>
        <w:t xml:space="preserve">Total 100.0%  </w:t>
        <w:br/>
        <w:t xml:space="preserve">20. For these ATEM, the Operation, due to the non-negligible position of 2iRG (which does not allow for the complete exclusion that this company may, in the absence of the Operation, have some incentive to participate in the tender), together with the particularly high competitive risk of having no other concrete possibility of participating in the tender, appears likely, similarly to what was stated for the thirty-two ATEM mentioned previously, to lead to a competitive restriction comparable to that direct17. Also in these ATEM, the joint presence of the Parties in these ATEM would be significantly above 50% of the managed PDR and increased to a non-negligible extent by the Operation, so that the latter could hypothetically lead to a strengthening of the prevailing outgoing operator to the point of discouraging hypothetical third-party participation in the tender.  </w:t>
        <w:br/>
        <w:t xml:space="preserve">21. There are also another twenty-nine ATEM in which, like the areas mentioned so far, the Parties reach a cumulative share of managed PDR of significance (often significantly exceeding 50% of the PDR of the ATEM), obtained with a non-negligible contribution due to the Operation (equal to at least 5% of the PDR)18. The shares of participation in the current management of these ATEM by the operators are indicated in the tables that follow (see Tables 37-65).  </w:t>
        <w:br/>
        <w:t xml:space="preserve">17 If, in fact, as the percentage of managed PDR decreases, the probability that a given subject (in this case 2iRG in the absence of the Operation) participates in the area tender gradually decreases, in the 4 ATEM in question, should this occur, it would almost certainly have an extreme effect, consisting of the total elimination of competition in the tender (i.e., going from two to one potential participant).  </w:t>
        <w:br/>
        <w:t>18 This classification also includes the ATEM of Terni if, as seems appropriate, control of Italgas over Umbria Distribuzione Gas S.p.A. continues to be prudently attributed, despite the brief statement to the contrary subsequently sent by that company: the actual existence of control will, in any case, be examined in the investigation. Similarly, it will be investigated whether and to what extent such participation, even if not controlling, may significantly influence the incentives of operators in the future tender for the ATEM of Terni.</w:t>
      </w:r>
    </w:p>
    <w:p>
      <w:r>
        <w:t xml:space="preserve">BULLETIN NO. 49 OF DECEMBER 23, 2024 73  </w:t>
        <w:br/>
        <w:t xml:space="preserve">Table 37 – Alessandria 4  </w:t>
        <w:br/>
        <w:t xml:space="preserve">Scope ALESSANDRIA 4 - South - East  </w:t>
        <w:br/>
        <w:t xml:space="preserve">2i Rete Gas S.p.A. [35-40%]  </w:t>
        <w:br/>
        <w:t xml:space="preserve">Italgas Reti S.p.A. [15-20%]  </w:t>
        <w:br/>
        <w:t xml:space="preserve">LENERGIE SPA [1-5%]  </w:t>
        <w:br/>
        <w:t xml:space="preserve">Reti s.r.l. [5-10%]  </w:t>
        <w:br/>
        <w:t xml:space="preserve">Società Impianti Metano S.r.l. [35-40%]  </w:t>
        <w:br/>
        <w:t xml:space="preserve">Total 100.0%  </w:t>
        <w:br/>
        <w:t xml:space="preserve">Table 38 – Ascoli Piceno  </w:t>
        <w:br/>
        <w:t xml:space="preserve">Scope ASCOLI PICENO  </w:t>
        <w:br/>
        <w:t xml:space="preserve">2i Rete Gas S.p.A. [10-15%]  </w:t>
        <w:br/>
        <w:t xml:space="preserve">Italgas Reti S.p.A. [40-45%]  </w:t>
        <w:br/>
        <w:t xml:space="preserve">CENTRIA [1-5%]  </w:t>
        <w:br/>
        <w:t xml:space="preserve">Ascoli Reti Gas S.r.l. [25-30%]  </w:t>
        <w:br/>
        <w:t xml:space="preserve">MULTISERVIZI LAMA SRL [1-5%]  </w:t>
        <w:br/>
        <w:t xml:space="preserve">SERVIZI DISTRIBUZIONE SRL [10-15%]  </w:t>
        <w:br/>
        <w:t xml:space="preserve">Total 100.0%  </w:t>
        <w:br/>
        <w:t xml:space="preserve">Table 39 - Asti  </w:t>
        <w:br/>
        <w:t xml:space="preserve">Scope ASTI  </w:t>
        <w:br/>
        <w:t xml:space="preserve">2i Rete Gas S.p.A. [15-20%]  </w:t>
        <w:br/>
        <w:t xml:space="preserve">Italgas Reti S.p.A. [40-45%]  </w:t>
        <w:br/>
        <w:t xml:space="preserve">ITALIMPIANTI SRL [1-5%]  </w:t>
        <w:br/>
        <w:t xml:space="preserve">METANPROGETTI [5-10%]  </w:t>
        <w:br/>
        <w:t xml:space="preserve">Reti Metano Territorio S.r.l. [less than 1%]  </w:t>
        <w:br/>
        <w:t xml:space="preserve">SO.GAS SPA [1-5%]  </w:t>
        <w:br/>
        <w:t xml:space="preserve">SOCIETA' METANODOTTI VALLETANARO SRL [15-20%]  </w:t>
        <w:br/>
        <w:t>Total 100.0%</w:t>
      </w:r>
    </w:p>
    <w:p>
      <w:r>
        <w:t xml:space="preserve">74 BULLETIN NO. 49 OF DECEMBER 23, 2024  </w:t>
        <w:br/>
        <w:t xml:space="preserve">Table 40 – Cosenza 1  </w:t>
        <w:br/>
        <w:t xml:space="preserve">Scope COSENZA 1 - West  </w:t>
        <w:br/>
        <w:t xml:space="preserve">2i Rete Gas S.p.A. [5-10%]  </w:t>
        <w:br/>
        <w:t xml:space="preserve">Italgas Reti S.p.A. [80-85%]  </w:t>
        <w:br/>
        <w:t xml:space="preserve">POLLINO GESTIONE IMPIANTI S.R.L. [5-10%]  </w:t>
        <w:br/>
        <w:t xml:space="preserve">Total 100.0%  </w:t>
        <w:br/>
        <w:t xml:space="preserve">Table 41 – Cuneo 1  </w:t>
        <w:br/>
        <w:t xml:space="preserve">Scope CUNEO 1 - North - West  </w:t>
        <w:br/>
        <w:t xml:space="preserve">2i Rete Gas S.p.A. [5-10%]  </w:t>
        <w:br/>
        <w:t xml:space="preserve">Italgas Reti S.p.A. [70-75%]  </w:t>
        <w:br/>
        <w:t xml:space="preserve">ITALIMPIANTI SRL [1-5%]  </w:t>
        <w:br/>
        <w:t xml:space="preserve">SG DISTRIBUZIONE S.R.L. [1-5%]  </w:t>
        <w:br/>
        <w:t xml:space="preserve">SO.GAS SPA [5-10%]  </w:t>
        <w:br/>
        <w:t xml:space="preserve">SOCIETA' METANODOTTI VALLETANARO SRL [5-10%]  </w:t>
        <w:br/>
        <w:t xml:space="preserve">Total 100.0%  </w:t>
        <w:br/>
        <w:t xml:space="preserve">Table 42 – Foggia 2  </w:t>
        <w:br/>
        <w:t xml:space="preserve">Scope FOGGIA 2 - South  </w:t>
        <w:br/>
        <w:t xml:space="preserve">2i Rete Gas S.p.A. [40-45%]  </w:t>
        <w:br/>
        <w:t xml:space="preserve">Italgas Reti S.p.A. [5-10%]  </w:t>
        <w:br/>
        <w:t xml:space="preserve">BITRIGAS SRL [less than 1%]  </w:t>
        <w:br/>
        <w:t xml:space="preserve">AMGAS S.P.A. [45-50%]  </w:t>
        <w:br/>
        <w:t xml:space="preserve">Total 100.0%  </w:t>
        <w:br/>
        <w:t xml:space="preserve">Table 43 – Genova 2  </w:t>
        <w:br/>
        <w:t xml:space="preserve">Scope GENOVA 2 - Province  </w:t>
        <w:br/>
        <w:t xml:space="preserve">2i Rete Gas S.p.A. [5-10%]  </w:t>
        <w:br/>
        <w:t xml:space="preserve">Italgas Reti S.p.A. [90-95%]  </w:t>
        <w:br/>
        <w:t>Total 100.0%</w:t>
      </w:r>
    </w:p>
    <w:p>
      <w:r>
        <w:rPr>
          <w:b/>
        </w:rPr>
        <w:t>[Pages 73–75]</w:t>
      </w:r>
    </w:p>
    <w:p>
      <w:r>
        <w:t xml:space="preserve">BULLETIN NO. 49 OF DECEMBER 23, 2024 75  </w:t>
        <w:br/>
        <w:t xml:space="preserve">Table 44 - Imperia  </w:t>
        <w:br/>
        <w:t xml:space="preserve">Area IMPERIA  </w:t>
        <w:br/>
        <w:t xml:space="preserve">2i Rete Gas S.p.A. [5-10%]  </w:t>
        <w:br/>
        <w:t xml:space="preserve">Italgas Reti S.p.A. [90-95%]  </w:t>
        <w:br/>
        <w:t xml:space="preserve">LIGURIA GAS S.R.L. [1-5%]  </w:t>
        <w:br/>
        <w:t xml:space="preserve">Total 100.0%  </w:t>
        <w:br/>
        <w:t xml:space="preserve">Table 45 - Isernia  </w:t>
        <w:br/>
        <w:t xml:space="preserve">Area ISERNIA  </w:t>
        <w:br/>
        <w:t xml:space="preserve">2i Rete Gas S.p.A. [55-60%]  </w:t>
        <w:br/>
        <w:t xml:space="preserve">Italgas Reti S.p.A. [5-10%]  </w:t>
        <w:br/>
        <w:t xml:space="preserve">CENTRIA [35-40%]  </w:t>
        <w:br/>
        <w:t xml:space="preserve">ADISTRIBUZIONEGAS S.r.l. [less than 1%]  </w:t>
        <w:br/>
        <w:t xml:space="preserve">Total 100.0%  </w:t>
        <w:br/>
        <w:t xml:space="preserve">Table 46 - Latina  </w:t>
        <w:br/>
        <w:t xml:space="preserve">Area LATINA  </w:t>
        <w:br/>
        <w:t xml:space="preserve">2i Rete Gas S.p.A. [10-15%]  </w:t>
        <w:br/>
        <w:t xml:space="preserve">Italgas Reti S.p.A. [85-90%]  </w:t>
        <w:br/>
        <w:t xml:space="preserve">Total 100.0%  </w:t>
        <w:br/>
        <w:t xml:space="preserve">Table 47 - Lecce 2  </w:t>
        <w:br/>
        <w:t xml:space="preserve">Area LECCE 2 - South  </w:t>
        <w:br/>
        <w:t xml:space="preserve">2i Rete Gas S.p.A. [90-95%]  </w:t>
        <w:br/>
        <w:t xml:space="preserve">Italgas Reti S.p.A. [5-10%]  </w:t>
        <w:br/>
        <w:t xml:space="preserve">SES RETI S.P.A. [1-5%]  </w:t>
        <w:br/>
        <w:t>Total 100.0%</w:t>
      </w:r>
    </w:p>
    <w:p>
      <w:r>
        <w:t xml:space="preserve">76 BULLETIN NO. 49 OF DECEMBER 23, 2024  </w:t>
        <w:br/>
        <w:t xml:space="preserve">Table 48 - Lecco 2  </w:t>
        <w:br/>
        <w:t xml:space="preserve">Area LECCO 2 - South  </w:t>
        <w:br/>
        <w:t xml:space="preserve">2i Rete Gas S.p.A. [80-85%]  </w:t>
        <w:br/>
        <w:t xml:space="preserve">Italgas Reti S.p.A. [5-10%]  </w:t>
        <w:br/>
        <w:t xml:space="preserve">Lereti S.p.A. [5-10%]  </w:t>
        <w:br/>
        <w:t xml:space="preserve">Total 100.0%  </w:t>
        <w:br/>
        <w:t xml:space="preserve">Table 49 - Lodi 2  </w:t>
        <w:br/>
        <w:t xml:space="preserve">Area LODI 2 - South  </w:t>
        <w:br/>
        <w:t xml:space="preserve">2i Rete Gas S.p.A. [45-50%]  </w:t>
        <w:br/>
        <w:t xml:space="preserve">METANO SANT'ANGELO LODIGIANO S.p.A. (group Italgas) [15-20%]  </w:t>
        <w:br/>
        <w:t xml:space="preserve">EROGASMET S.P.A. [10-15%]  </w:t>
        <w:br/>
        <w:t xml:space="preserve">A.S.M. CODOGNO SRL [10-15%]  </w:t>
        <w:br/>
        <w:t xml:space="preserve">ROMEO GAS S.P.A. [1-5%]  </w:t>
        <w:br/>
        <w:t xml:space="preserve">Società Impianti Metano S.r.l. [5-10%]  </w:t>
        <w:br/>
        <w:t xml:space="preserve">Total 100.0%  </w:t>
        <w:br/>
        <w:t xml:space="preserve">Table 50 - Lucca  </w:t>
        <w:br/>
        <w:t xml:space="preserve">Area LUCCA  </w:t>
        <w:br/>
        <w:t xml:space="preserve">2i Rete Gas S.p.A. [10-15%]  </w:t>
        <w:br/>
        <w:t xml:space="preserve">TOSCANA ENERGIA S.P.A. (group Italgas) [45-50%]  </w:t>
        <w:br/>
        <w:t xml:space="preserve">GESAM RETI SPA [35-40%]  </w:t>
        <w:br/>
        <w:t xml:space="preserve">CENTRIA [1-5%]  </w:t>
        <w:br/>
        <w:t>Total 100.0%</w:t>
      </w:r>
    </w:p>
    <w:p>
      <w:r>
        <w:t xml:space="preserve">BULLETIN NO. 49 OF DECEMBER 23, 2024 77  </w:t>
        <w:br/>
        <w:t xml:space="preserve">Table 51 - Messina 1  </w:t>
        <w:br/>
        <w:t xml:space="preserve">Area MESSINA 1 - East  </w:t>
        <w:br/>
        <w:t xml:space="preserve">2i Rete Gas S.p.A. [5-10%]  </w:t>
        <w:br/>
        <w:t xml:space="preserve">Italgas Reti S.p.A. [85-90%]  </w:t>
        <w:br/>
        <w:t xml:space="preserve">FIN CONSORZIO [1-5%]  </w:t>
        <w:br/>
        <w:t xml:space="preserve">SI GAS DISTRIBUZIONE SRL [1-5%]  </w:t>
        <w:br/>
        <w:t xml:space="preserve">VERGAS SRL [1-5%]  </w:t>
        <w:br/>
        <w:t xml:space="preserve">Total 100.0%  </w:t>
        <w:br/>
        <w:t xml:space="preserve">Table 52 - Milan 3  </w:t>
        <w:br/>
        <w:t xml:space="preserve">Area MILANO 3 - South Province  </w:t>
        <w:br/>
        <w:t xml:space="preserve">2i Rete Gas S.p.A. [45-50%]  </w:t>
        <w:br/>
        <w:t xml:space="preserve">Italgas Reti S.p.A. [5-10%]  </w:t>
        <w:br/>
        <w:t xml:space="preserve">A.S.GA AZIENDA SERVIZI GAGGIANO S.R.L. [1-5%]  </w:t>
        <w:br/>
        <w:t xml:space="preserve">AEMME LINEA DISTRIBUZIONE SRL [10-15%]  </w:t>
        <w:br/>
        <w:t xml:space="preserve">CONDOTTE NORD SPA [less than 1%]  </w:t>
        <w:br/>
        <w:t xml:space="preserve">G.E.I. GESTIONE ENERGETICA IMPIANTI S.P.A. [1-5%]  </w:t>
        <w:br/>
        <w:t xml:space="preserve">MELEGNANO ENERGIA AMBIENTE S.P.A. [1-5%]  </w:t>
        <w:br/>
        <w:t xml:space="preserve">NED Reti Distribuzione Gas Srl [10-15%]  </w:t>
        <w:br/>
        <w:t xml:space="preserve">Reti Metano Territorio S.r.l. [less than 1%]  </w:t>
        <w:br/>
        <w:t xml:space="preserve">ROMEO GAS S.P.A. [5-10%]  </w:t>
        <w:br/>
        <w:t xml:space="preserve">UNARETI SPA [less than 1%]  </w:t>
        <w:br/>
        <w:t>Total 100.0%</w:t>
      </w:r>
    </w:p>
    <w:p>
      <w:r>
        <w:rPr>
          <w:b/>
        </w:rPr>
        <w:t>[Pages 76–78]</w:t>
      </w:r>
    </w:p>
    <w:p>
      <w:r>
        <w:t xml:space="preserve">78 BULLETIN NO. 49 OF DECEMBER 23, 2024  </w:t>
        <w:br/>
        <w:t xml:space="preserve">Table 53 – Milan 4  </w:t>
        <w:br/>
        <w:t xml:space="preserve">Area MILAN 4 - North-East Province  </w:t>
        <w:br/>
        <w:t xml:space="preserve">2i Rete Gas S.p.A. [15-20%]  </w:t>
        <w:br/>
        <w:t xml:space="preserve">Italgas Reti S.p.A. [45-50%]  </w:t>
        <w:br/>
        <w:t xml:space="preserve">COGESER S.P.A. [15-20%]  </w:t>
        <w:br/>
        <w:t xml:space="preserve">EROGASMET S.P.A. [1-5%]  </w:t>
        <w:br/>
        <w:t xml:space="preserve">RetiPiù Srl [10-15%]  </w:t>
        <w:br/>
        <w:t xml:space="preserve">UNARETI SPA [less than 1%]  </w:t>
        <w:br/>
        <w:t xml:space="preserve">Total 100.0%  </w:t>
        <w:br/>
        <w:t xml:space="preserve">Table 54 – Monza Brianza 1  </w:t>
        <w:br/>
        <w:t xml:space="preserve">Area MONZA BRIANZA 1 - East  </w:t>
        <w:br/>
        <w:t xml:space="preserve">2i Rete Gas S.p.A. [15-20%]  </w:t>
        <w:br/>
        <w:t xml:space="preserve">Italgas Reti S.p.A. [30-35%]  </w:t>
        <w:br/>
        <w:t xml:space="preserve">Lereti S.p.A. [45-50%]  </w:t>
        <w:br/>
        <w:t xml:space="preserve">Reti Metano Territorio S.r.l. [1-5%]  </w:t>
        <w:br/>
        <w:t xml:space="preserve">RetiPiù Srl [less than 1%]  </w:t>
        <w:br/>
        <w:t xml:space="preserve">Total 100.0%  </w:t>
        <w:br/>
        <w:t xml:space="preserve">Table 55 – Naples 4  </w:t>
        <w:br/>
        <w:t xml:space="preserve">Area NAPLES 4 - South-East  </w:t>
        <w:br/>
        <w:t xml:space="preserve">2i Rete Gas S.p.A. [5-10%]  </w:t>
        <w:br/>
        <w:t xml:space="preserve">Italgas Reti S.p.A. [90-95%]  </w:t>
        <w:br/>
        <w:t xml:space="preserve">TERZIGNO GAS [less than 1%]  </w:t>
        <w:br/>
        <w:t>Total 100.0%</w:t>
      </w:r>
    </w:p>
    <w:p>
      <w:r>
        <w:t xml:space="preserve">BULLETIN NO. 49 OF DECEMBER 23, 2024 79  </w:t>
        <w:br/>
        <w:t xml:space="preserve">Table 56 – Palermo 2  </w:t>
        <w:br/>
        <w:t xml:space="preserve">Area PALERMO 2 - Province  </w:t>
        <w:br/>
        <w:t xml:space="preserve">2i Rete Gas S.p.A. [45-50%]  </w:t>
        <w:br/>
        <w:t xml:space="preserve">Italgas Reti S.p.A. [10-15%]  </w:t>
        <w:br/>
        <w:t xml:space="preserve">AMG ENERGIA SPA [1-5%]  </w:t>
        <w:br/>
        <w:t xml:space="preserve">BA.SE. S.R.L. [1-5%]  </w:t>
        <w:br/>
        <w:t xml:space="preserve">CO.M.E.S.T. S.R.L [5-10%]  </w:t>
        <w:br/>
        <w:t xml:space="preserve">CONSORZIO SIMEGAS [15-20%]  </w:t>
        <w:br/>
        <w:t xml:space="preserve">MEDITERRANEA ENERGIA [1-5%]  </w:t>
        <w:br/>
        <w:t xml:space="preserve">Total 100.0%  </w:t>
        <w:br/>
        <w:t xml:space="preserve">Table 57 – Perugia 1  </w:t>
        <w:br/>
        <w:t xml:space="preserve">Area PERUGIA 1  </w:t>
        <w:br/>
        <w:t xml:space="preserve">2i Rete Gas S.p.A. [65-70%]  </w:t>
        <w:br/>
        <w:t xml:space="preserve">Italgas Reti S.p.A. [10-15%]  </w:t>
        <w:br/>
        <w:t xml:space="preserve">AZIENDA SERVIZI INTERCOMUNALI MULTISERVICES [5-10%]  </w:t>
        <w:br/>
        <w:t xml:space="preserve">CENTRIA [1-5%]  </w:t>
        <w:br/>
        <w:t xml:space="preserve">TECNICONSUL SRL - CONSTRUCTIONS AND MANAGEMENT [10-15%]  </w:t>
        <w:br/>
        <w:t>Total 100.0%</w:t>
      </w:r>
    </w:p>
    <w:p>
      <w:r>
        <w:t xml:space="preserve">80 BULLETIN NO. 49 OF DECEMBER 23, 2024  </w:t>
        <w:br/>
        <w:t xml:space="preserve">Table 58 - Pescara  </w:t>
        <w:br/>
        <w:t xml:space="preserve">Area PESCARA  </w:t>
        <w:br/>
        <w:t xml:space="preserve">2i Rete Gas S.p.A. [10-15%]  </w:t>
        <w:br/>
        <w:t xml:space="preserve">Italgas Reti S.p.A. [40-45%]  </w:t>
        <w:br/>
        <w:t xml:space="preserve">ADISTRIBUZIONEGAS S.r.l. [35-40%]  </w:t>
        <w:br/>
        <w:t xml:space="preserve">CONS. GEST. RIS. VALLI PELIGNA, SUBEQUANA AND [1-5%]  </w:t>
        <w:br/>
        <w:t xml:space="preserve">PESCARA  </w:t>
        <w:br/>
        <w:t xml:space="preserve">MEDITERRANEA ENERGIA [1-5%]  </w:t>
        <w:br/>
        <w:t xml:space="preserve">INTERCOMMUNAL GAS COMPANY [5-10%]  </w:t>
        <w:br/>
        <w:t xml:space="preserve">VERDUCCI DISTRIBUZIONE S.R.L. [less than 1%]  </w:t>
        <w:br/>
        <w:t xml:space="preserve">Total 100.0%  </w:t>
        <w:br/>
        <w:t xml:space="preserve">Table 59 - Rieti  </w:t>
        <w:br/>
        <w:t xml:space="preserve">Area RIETI  </w:t>
        <w:br/>
        <w:t xml:space="preserve">2i Rete Gas S.p.A. [15-20%]  </w:t>
        <w:br/>
        <w:t xml:space="preserve">Italgas Reti S.p.A. [30-35%]  </w:t>
        <w:br/>
        <w:t xml:space="preserve">Ascoli Reti Gas S.r.l. [less than 1%]  </w:t>
        <w:br/>
        <w:t xml:space="preserve">CENTRIA [40-45%]  </w:t>
        <w:br/>
        <w:t xml:space="preserve">CGM DISTRIBUZIONE SRL [less than 1%]  </w:t>
        <w:br/>
        <w:t xml:space="preserve">CITIGAS COOPERATIVE SOCIETY S.P.A. [less than 1%]  </w:t>
        <w:br/>
        <w:t xml:space="preserve">COOP. POMILIA GAS S.C.R.L. [1-5%]  </w:t>
        <w:br/>
        <w:t xml:space="preserve">Mobile Methane Srl [less than 1%]  </w:t>
        <w:br/>
        <w:t xml:space="preserve">VERDUCCI DISTRIBUZIONE S.R.L. [less than 1%]  </w:t>
        <w:br/>
        <w:t xml:space="preserve">Total 100.0%  </w:t>
        <w:br/>
        <w:t xml:space="preserve">Table 60 - Rovigo  </w:t>
        <w:br/>
        <w:t xml:space="preserve">Area ROVIGO  </w:t>
        <w:br/>
        <w:t xml:space="preserve">2i Rete Gas S.p.A. [40-45%]  </w:t>
        <w:br/>
        <w:t xml:space="preserve">Italgas Reti S.p.A. [15-20%]  </w:t>
        <w:br/>
        <w:t xml:space="preserve">AP RETI GAS ROVIGO SRL [25-30%]  </w:t>
        <w:br/>
        <w:t xml:space="preserve">AP Reti Gas S.p.A. [10-15%]  </w:t>
        <w:br/>
        <w:t>Total 100.0%</w:t>
      </w:r>
    </w:p>
    <w:p>
      <w:r>
        <w:rPr>
          <w:b/>
        </w:rPr>
        <w:t>[Pages 79–81]</w:t>
      </w:r>
    </w:p>
    <w:p>
      <w:r>
        <w:t xml:space="preserve">BULLETIN NO. 49 OF DECEMBER 23, 2024 81  </w:t>
        <w:br/>
        <w:t xml:space="preserve">Table 61 – Savona 1  </w:t>
        <w:br/>
        <w:t xml:space="preserve">Area SAVONA 1 - South - West  </w:t>
        <w:br/>
        <w:t xml:space="preserve">2i Rete Gas S.p.A. [60-65%]  </w:t>
        <w:br/>
        <w:t xml:space="preserve">Italgas Reti S.p.A. [10-15%]  </w:t>
        <w:br/>
        <w:t xml:space="preserve">BADANO GAS SRL [1-5%]  </w:t>
        <w:br/>
        <w:t xml:space="preserve">EBGAS [1-5%]  </w:t>
        <w:br/>
        <w:t xml:space="preserve">ROMEO 2 s.r.l. [20-25%]  </w:t>
        <w:br/>
        <w:t xml:space="preserve">Total 100.0%  </w:t>
        <w:br/>
        <w:t xml:space="preserve">Table 62 – Savona 2  </w:t>
        <w:br/>
        <w:t xml:space="preserve">Area SAVONA 2 - North - East  </w:t>
        <w:br/>
        <w:t xml:space="preserve">2i Rete Gas S.p.A. [5-10%]  </w:t>
        <w:br/>
        <w:t xml:space="preserve">Italgas Reti S.p.A. [90-95%]  </w:t>
        <w:br/>
        <w:t xml:space="preserve">Total 100.0%  </w:t>
        <w:br/>
        <w:t xml:space="preserve">Table 63 - Siracusa  </w:t>
        <w:br/>
        <w:t xml:space="preserve">Area SIRACUSA  </w:t>
        <w:br/>
        <w:t xml:space="preserve">2i Rete Gas S.p.A. [5-10%]  </w:t>
        <w:br/>
        <w:t xml:space="preserve">Italgas Reti S.p.A. [80-85%]  </w:t>
        <w:br/>
        <w:t xml:space="preserve">MEDITERRANEA ENERGIA [5-10%]  </w:t>
        <w:br/>
        <w:t xml:space="preserve">Total 100.0%  </w:t>
        <w:br/>
        <w:t xml:space="preserve">Table 64 - Terni  </w:t>
        <w:br/>
        <w:t xml:space="preserve">Area TERNI  </w:t>
        <w:br/>
        <w:t xml:space="preserve">2i Rete Gas S.p.A. [15-20%]  </w:t>
        <w:br/>
        <w:t xml:space="preserve">Italgas Reti S.p.A. [15-20%]  </w:t>
        <w:br/>
        <w:t xml:space="preserve">UMBRIA DISTRIBUZIONE GAS S.P.A. [55-60%]  </w:t>
        <w:br/>
        <w:t xml:space="preserve">EROGASMET S.P.A. [10-15%]  </w:t>
        <w:br/>
        <w:t xml:space="preserve">Metano mobile srl [less than 1%]  </w:t>
        <w:br/>
        <w:t>Total 100.0%</w:t>
      </w:r>
    </w:p>
    <w:p>
      <w:r>
        <w:t xml:space="preserve">82 BULLETIN NO. 49 OF DECEMBER 23, 2024  </w:t>
        <w:br/>
        <w:t xml:space="preserve">Table 65 – Verbano-Cusio-Ossola  </w:t>
        <w:br/>
        <w:t xml:space="preserve">Area VERBANO CUSIO OSSOLA  </w:t>
        <w:br/>
        <w:t xml:space="preserve">2i Rete Gas S.p.A. [45-50%]  </w:t>
        <w:br/>
        <w:t xml:space="preserve">Italgas Reti S.p.A. [10-15%]  </w:t>
        <w:br/>
        <w:t xml:space="preserve">EROGASMET S.P.A. [35-40%]  </w:t>
        <w:br/>
        <w:t xml:space="preserve">Total 100.0%  </w:t>
        <w:br/>
        <w:t xml:space="preserve">22. With reference to these twenty-nine additional ATEMs, characterized by a significant joint share of managed PDRs and in which one of the Parties manages a relatively contained (though not negligible) share of PDRs, and which do not present the extreme situations of the ATEMs listed in Tables 33-36, the potential anticompetitive effects of the Operation appear mainly associated with the fact that it would lead to a noticeable increase in the overall share of the dominant incumbent, to the point that this could discourage the participation of third-party participants, making the ATEM seemingly less contestable in the bidding process.  </w:t>
        <w:br/>
        <w:t xml:space="preserve">23. Finally, in the remaining thirty-six ATEMs where the Parties have overlaps in terms of currently managed PDRs (excluding Catanzaro - Crotone, where the bidding ranking has already been published), the Operation does not appear to create specific restrictions in the future area bidding, as on one hand the Parties, even following the Operation, would not jointly manage even 50% of the PDRs in the area and on the other hand in these ATEMs at least one of the Parties has a limited presence share in the area19, such that it is not deemed sufficiently likely that it would be one of the main potential competitors in the bidding and that, therefore, the Operation would have the effect of directly restricting the competitiveness of the bidding by eliminating one of them.  </w:t>
        <w:br/>
        <w:t xml:space="preserve">The market for the transportation and dispatching of natural gas  </w:t>
        <w:br/>
        <w:t xml:space="preserve">24. Based on the Authority's precedents20, the activity of transporting natural gas consists of its conveyance through the national and regional gas pipeline network21. The conveyance service in Italy is based on an entry-exit system, whereby a certain quantity of gas is taken over by the transport operator at one of the entry points of the national transport system and an equal quantity of gas is redelivered at an exit point22. The physical dispatching service concerns the management of the physical flows of natural gas on the transport network while the commercial dispatching service consists of the allocation of transport capacity usage rights to different users and the balancing service.  </w:t>
        <w:br/>
        <w:t xml:space="preserve">25. Geographically, due to the functioning of the interconnection points with foreign countries almost exclusively as entry points and the substantial absence of congestion on the network, the market for the transportation and dispatching of natural gas is considered to be of national size23.  </w:t>
        <w:br/>
        <w:t xml:space="preserve">26. The CDP Group is active in the market for the transportation and dispatching of natural gas through the Snam Group. More specifically, the Snam Group operates in the market in question through Snam Rete Gas S.p.A., Infrastrutture Trasporto Gas S.p.A., and Enura S.p.A., which transport natural gas through a network of national and regional pipelines, representing the main operator in the market. In particular, the Snam Group holds in 2023, in terms of kilometers of network, about 93% of the transport system24. The 2iRG Group is not active in the market in question but operates in the vertically related market of natural gas distribution.  </w:t>
        <w:br/>
        <w:t xml:space="preserve">27. However, the Operation does not appear to have significant vertical effects concerning this market given the pervasive regulation to which the sector is subjected, which establishes specific rules aimed at ensuring fairness and transparency in the management of relationships between operators, and aimed at preventing any discrimination in access to transport infrastructures.  </w:t>
        <w:br/>
        <w:t xml:space="preserve">The market for the production and wholesale supply of electricity  </w:t>
        <w:br/>
        <w:t xml:space="preserve">28. Regarding the production and wholesale sale of electricity, the market according to the Authority's practice includes forward and spot transactions concluded through platforms organized by the GME (Electricity Market Manager), or through bilateral contracts (“OTC”, over the counter). Within it, for example, the so-called “day-ahead market” (“MGP”, where rights/commitments to withdraw/inject electricity for the following day are traded) and the “intraday market” (“MI”, which provides for further bidding sessions to allow operators to make changes to the programs defined in the MGP) are included. In its practice, the Authority does not make any distinction within this market based on the source of the produced energy or the methods of production or supply25.  </w:t>
        <w:br/>
        <w:t xml:space="preserve">29. The geographical dimension of the market is sub-national, due to the macro-constraints of the network that, in certain circumstances, can lead to the separation of the market into different zones, characterized by different equilibrium prices. In particular, the presence of such constraints has led the Authority to identify four “macro-zones” constituting four distinct geographical markets: the North macro-zone, the South macro-zone, the Sicily macro-zone, and the Sardinia macro-zone26. In the case  </w:t>
        <w:br/>
        <w:t xml:space="preserve">22 As is known, Italy has a high dependence on gas imports from third countries. The interconnection points with foreign countries, therefore, constitute the main entry points. Gas is also injected into the network at the interconnection points with liquefied natural gas regasification terminals and with gas production sites located on national territory. Natural gas is then redelivered downstream at the interconnection points with local gas distribution networks or with the sites of large final customers connected directly to the transport network. The connection points with natural gas storage sites serve both as entry points and exit points to the national/regional transport network.  </w:t>
        <w:br/>
        <w:t xml:space="preserve">23 See C11695, cited.  </w:t>
        <w:br/>
        <w:t xml:space="preserve">24 See ARERA, Annual Report, State of Services 2023, p. 262.  </w:t>
        <w:br/>
        <w:t xml:space="preserve">25 See for example C12461 - Enel Produzione/Erg Power, decision No. 30306 of September 20, 2022 in Bulletin No. 36/2022.  </w:t>
        <w:br/>
        <w:t>26 See, for example, C12461, cited.</w:t>
      </w:r>
    </w:p>
    <w:p>
      <w:r>
        <w:rPr>
          <w:b/>
        </w:rPr>
        <w:t>[Pages 82–84]</w:t>
      </w:r>
    </w:p>
    <w:p>
      <w:r>
        <w:t xml:space="preserve">84 BULLETIN NO. 49 OF DECEMBER 23, 2024  </w:t>
        <w:br/>
        <w:t xml:space="preserve">of the kind, due to the activities of the Parties, the Operation involves a marginal overlap in the macro-zone South, but the related competitive effects are considered negligible, since the joint market share post-merger remains well below 1% of the market under analysis.  </w:t>
        <w:br/>
        <w:t xml:space="preserve">The market for energy efficiency services for the issuance of TEE  </w:t>
        <w:br/>
        <w:t xml:space="preserve">30. The Authority has traditionally analyzed the market for consulting and design services for energy efficiency interventions that entitle the issuance of energy efficiency certificates (“TEE”), within the incentive programs provided by national and European legislation on energy efficiency27.  </w:t>
        <w:br/>
        <w:t xml:space="preserve">31. From a geographical perspective, although, also due to the harmonized regulatory framework at the European level, a potential supranational dimension of such activities could be identified, the TEE market is organized on a national basis, with no reciprocity agreements between Italy and other European countries regarding energy efficiency support mechanisms28. In this specific case, however, the exact definition of the relevant geographical perimeter can be left open, as this element does not alter the competitive assessment of the Operation with reference to the market under analysis.  </w:t>
        <w:br/>
        <w:t xml:space="preserve">32. In particular, based on the activities of the Parties that amount to a wholly marginal portion of the market under analysis (overall less than 1%), the Operation does not appear capable of having significant effects with respect to this market.  </w:t>
        <w:br/>
        <w:t xml:space="preserve">CONSIDERED, therefore, necessary to proceed with further investigative deepening in order to assess whether the operation in question is likely to significantly hinder effective competition, pursuant to Article 6, paragraph 1, of Law No. 287/1990, in the markets for the tendering of natural gas distribution service in the ATEMs of Agrigento, Bari 2, Benevento, Brescia 5, Caltanissetta, Campobasso, Caserta 2, Catania 1, Frosinone 2, L’Aquila 2, Mantova 2, Massa Carrara, Matera, Messina 2, Milano 2, Napoli 2, Novara 2, Padova 2, Padova 3, Potenza 1, Potenza 2, Ragusa, Reggio di Calabria-Vibo Valentia, Roma 4, Roma 5, Salerno 1, Salerno 3, Teramo, Torino 6, Trapani, Varese 1, Viterbo, Barletta-Andria-Trani, Caserta 1, Cosenza 2, Pisa, Alessandria 4, Ascoli Piceno, Asti, Cosenza 1, Cuneo 1, Foggia 2, Genova 2, Imperia, Isernia, Latina, Lecce 2, Lecco 2, Lodi 2, Lucca, Messina 1, Milano 3, Milano 4, Monza Brianza 1, Napoli 4, Palermo 2, Perugia 1, Pescara, Rieti, Rovigo, Savona 1, Savona 2, Siracusa, Terni, Verbano-Cusio-Ossola;  </w:t>
        <w:br/>
        <w:t xml:space="preserve">27 In particular, as is known, the instrument for the implementation of such regulations is represented by energy efficiency certificates (“TEE”, also known as “white certificates”), which are issued by the Energy Market Manager (“GME”) in favor of electricity and natural gas distribution companies and their subsidiaries, as well as Energy Service Companies (so-called “ESCo”), due to the implementation of energy-saving interventions. Large gas or electricity distributors, who have specific energy-saving obligations (so-called “obligated subjects”), can achieve regulatory targets either by directly carrying out energy efficiency improvement interventions that result in the issuance, by the GME, of TEE corresponding to the savings achieved, or by using TEE offered on the market by other subjects to whom such certificates can be issued (so-called “voluntary subjects”).  </w:t>
        <w:br/>
        <w:t>28 Cf. by way of example C12411 - Iren/Bosch Energy and Building Solutions Italy, provision No. 29892 of November 16, 2021, in Bulletin No. 48/2021.</w:t>
      </w:r>
    </w:p>
    <w:p>
      <w:r>
        <w:t xml:space="preserve">BULLETIN NO. 49 OF DECEMBER 23, 2024 85  </w:t>
        <w:br/>
        <w:t xml:space="preserve">RESOLUTION  </w:t>
        <w:br/>
        <w:t xml:space="preserve">a) the initiation of the investigation, pursuant to Article 16, paragraph 4, of Law No. 287/1990, against the companies Italgas S.p.A. and 2i Rete Gas S.p.A.;  </w:t>
        <w:br/>
        <w:t xml:space="preserve">b) the setting of a ten-day deadline, starting from the date of notification of this provision, for the exercise by the legal representatives of the Parties, or by persons delegated by them, of the right to be heard, pursuant to Article 14, paragraph 1, of Law No. 287/1990, specifying that the request for a hearing must be received by the Directorate of Transport, Energy and Environment of the Competition Department 2 of this Authority at least three days before the expiration of the aforementioned deadline;  </w:t>
        <w:br/>
        <w:t xml:space="preserve">c) that the person responsible for the procedure is Dr. Giuseppe Quinto;  </w:t>
        <w:br/>
        <w:t xml:space="preserve">d) that the documents of the procedure can be viewed at the Directorate of Transport, Energy and Environment of the Competition Department 2 of this Authority by the legal representatives of the Parties, as well as by persons with a legally relevant interest or by persons delegated by them;  </w:t>
        <w:br/>
        <w:t xml:space="preserve">e) that the procedure must be concluded within ninety days from the date of resolution of this provision.  </w:t>
        <w:br/>
        <w:t xml:space="preserve">This provision will be notified to the interested parties and published in the Bulletin of the Competition and Market Authority.  </w:t>
        <w:br/>
        <w:t xml:space="preserve">THE SECRETARY GENERAL THE PRESIDENT  </w:t>
        <w:br/>
        <w:t>Guido Stazi Roberto Rustichelli</w:t>
      </w:r>
    </w:p>
    <w:p>
      <w:r>
        <w:t xml:space="preserve">86 BULLETIN NO. 49 OF DECEMBER 23, 2024  </w:t>
        <w:br/>
        <w:t xml:space="preserve">C12659 - SWISSCOM ITALIA/VODAFONE ITALIA  </w:t>
        <w:br/>
        <w:t xml:space="preserve">Provision No. 31416  </w:t>
        <w:br/>
        <w:t xml:space="preserve">THE COMPETITION AND MARKET AUTHORITY  </w:t>
        <w:br/>
        <w:t xml:space="preserve">IN ITS MEETING of December 19, 2024;  </w:t>
        <w:br/>
        <w:t xml:space="preserve">HEARD the Rapporteur, Professor Elisabetta Iossa;  </w:t>
        <w:br/>
        <w:t xml:space="preserve">HAVING REGARD TO Regulation (EC) No. 139/2004;  </w:t>
        <w:br/>
        <w:t xml:space="preserve">HAVING REGARD TO Law No. 287 of October 10, 1990;  </w:t>
        <w:br/>
        <w:t xml:space="preserve">HAVING REGARD TO Presidential Decree No. 217 of April 30, 1998;  </w:t>
        <w:br/>
        <w:t xml:space="preserve">HAVING REGARD TO the communication from Swisscom Italia S.r.l., received on August 12, 2024;  </w:t>
        <w:br/>
        <w:t xml:space="preserve">HAVING REGARD TO the observations received on August 14, 2024, from Open Fiber S.p.A., on August 16, 2024, from TIM S.p.A., on August 19, 2024 from Poste Italiane S.p.A. and FiberCop S.p.A., on August 20, 2024 from Iliad Italia S.p.A. and Retelit S.p.A., on August 21, 2024 from Wind Tre S.p.A., Sky Italia S.r.l. and the Italian Internet Providers Association, as well as the integrations received on August 23, 2024, from the same Italian Internet Providers Association and on September 2, 2024 from FiberCop S.p.A.;  </w:t>
        <w:br/>
        <w:t xml:space="preserve">HAVING REGARD TO its resolution of September 10, 2024, No. 31320, with which it initiated, pursuant to Article 16, paragraph 4, of Law No. 287/1990, the procedure against the companies Swisscom Italia S.r.l. and Vodafone Italia S.p.A.;  </w:t>
        <w:br/>
        <w:t xml:space="preserve">HAVING REGARD TO the requests for participation in the procedure submitted by the Italian Internet Providers Association and the companies FiberCop S.p.A., Iliad Italia S.p.A., Open Fiber S.p.A., Sky Italia S.r.l., Telecom Italia S.p.A., Wind Tre S.p.A. and Colt Technology Services S.p.A.;  </w:t>
        <w:br/>
        <w:t xml:space="preserve">HAVING REGARD TO the communications of October 25 and 28, 2024, subsequently supplemented on October 30 and on November 12 and 13, 2024, with which Swisscom Italia S.r.l. presented commitments aimed at addressing the competitive concerns present in the aforementioned initiation provision of September 10, 2024;  </w:t>
        <w:br/>
        <w:t xml:space="preserve">HAVING REGARD TO the Communication of Investigative Findings transmitted on November 20, 2024;  </w:t>
        <w:br/>
        <w:t xml:space="preserve">HAVING REGARD TO the waivers of the final hearing before the College received on November 21, 2024, from Swisscom Italia S.r.l. and Vodafone Italia S.p.A.;  </w:t>
        <w:br/>
        <w:t xml:space="preserve">HAVING REGARD TO the submissions received from Swisscom Italia S.r.l., on October 23 and November 25, from the Italian Internet Providers Association, on October 8, 2024, as well as from the companies Wind Tre S.p.A., FiberCop S.p.A., Telecom Italia S.p.A., Colt Technology Services S.p.A., Iliad Italia S.p.A., Sky Italia S.r.l. and Open Fiber S.p.A., on November 25, 2024;  </w:t>
        <w:br/>
        <w:t xml:space="preserve">HAVING REGARD TO the opinion of the Authority for Guarantees in Communications, received on December 18, 2024;  </w:t>
        <w:br/>
        <w:t xml:space="preserve">HAVING REGARD TO the acts of the procedure and the documentation acquired during the investigation;  </w:t>
        <w:br/>
        <w:t>CONSIDERING the following:</w:t>
      </w:r>
    </w:p>
    <w:p>
      <w:r>
        <w:rPr>
          <w:b/>
        </w:rPr>
        <w:t>[Pages 85–87]</w:t>
      </w:r>
    </w:p>
    <w:p>
      <w:r>
        <w:t xml:space="preserve">BULLETIN NO. 49 OF DECEMBER 23, 2024 87  </w:t>
        <w:br/>
        <w:t xml:space="preserve">I. THE PARTIES TO THE OPERATION  </w:t>
        <w:br/>
        <w:t xml:space="preserve">1. Swisscom Italia S.r.l. (hereinafter, "Swisscom") is a company of the Swisscom Group whose sole activity is holding shares in Fastweb S.p.A. (hereinafter, "Fastweb"). Swisscom is indirectly controlled – through Swisscom (Switzerland) Ltd – by Swisscom Ltd, a company listed on the Swiss Stock Exchange, 51% of whose capital is held by the Swiss Confederation.  </w:t>
        <w:br/>
        <w:t xml:space="preserve">Swisscom Ltd is the parent company of the Swisscom Group, which is active in offering telecommunications services to residential and business customers. In Italy, the Swisscom Group operates through Fastweb, which specifically provides broadband and ultra-broadband telecommunications services and ICT services to consumers and businesses, as well as wholesale access services to the fixed network and retail mobile telecommunications services. Fastweb, in turn, controls the companies Fastweb Air S.r.l. and 7Layers S.r.l., active in Italy, respectively, in the management of telecommunications services and in the wholesale trade of computers, peripheral computer equipment, and software.  </w:t>
        <w:br/>
        <w:t xml:space="preserve">In 2023, the Swisscom Group achieved a consolidated revenue of approximately [10-20]* billion euros worldwide, of which [2-3] billion euros in Italy1.  </w:t>
        <w:br/>
        <w:t xml:space="preserve">2. Vodafone Italia S.p.A. (hereinafter, "Vodafone") is the company of the Vodafone Group active in Italy in offering telecommunications services on mobile and fixed networks to consumers and businesses, directly and through its second brand Ho-Mobile (hereinafter, "Ho"). Vodafone is indirectly controlled – through Vodafone Europe B.V. – by Vodafone Group PLC, the parent company of the Vodafone Group. Vodafone, in turn, controls the following companies active in Italy: VND S.p.A., active in the wholesale trade of telephone equipment and materials, Vodafone Gestioni S.p.A., active in the retail trade of products, accessories, and items for telecommunications, and VEI S.r.l., active in offering telecommunications and data transmission services under the Ho brand.  </w:t>
        <w:br/>
        <w:t xml:space="preserve">In 2023, Vodafone achieved a consolidated revenue of [4-5] billion euros worldwide, of which [4-5] billion in Italy.  </w:t>
        <w:br/>
        <w:t xml:space="preserve">II. THE THIRD PARTIES INVOLVED  </w:t>
        <w:br/>
        <w:t xml:space="preserve">3. The Italian Association of Internet Providers (hereinafter, "AIIP") and the companies Colt Technology Services S.p.A. (hereinafter, "Colt"), FiberCop S.p.A. (hereinafter, "FiberCop"), Iliad Italia S.p.A. (hereinafter, "Iliad"), Open Fiber S.p.A. (hereinafter, "Open Fiber"), Retelit S.p.A. (hereinafter, "Retelit"), Sky Italia S.r.l. (hereinafter, "Sky"), Telecom Italia S.p.A. (hereinafter, "TIM"), and Wind Tre S.p.A. (hereinafter, "WindTre") have submitted requests to participate in the procedure. These requests were accepted, pursuant to Article 7, letter b) of D.P.R. No. 217/1998, with the sole exception of that of Retelit, which was received after the deadline set therein.  </w:t>
        <w:br/>
        <w:t xml:space="preserve">* In this version, some data are omitted, as elements of confidentiality or secrecy of the information were deemed to exist.  </w:t>
        <w:br/>
        <w:t>1 The Swisscom Group did not generate revenue in other EU countries in 2023.</w:t>
      </w:r>
    </w:p>
    <w:p>
      <w:r>
        <w:t xml:space="preserve">88 BULLETIN NO. 49 OF DECEMBER 23, 2024  </w:t>
        <w:br/>
        <w:t xml:space="preserve">4. AIIP is an association of small and medium-sized operators active at the national level in offering electronic communication services.  </w:t>
        <w:br/>
        <w:t xml:space="preserve">5. Colt is a company with proprietary fiber optic infrastructure and is active in offering fixed telecommunications services, broadband and ultra-broadband, to business customers.  </w:t>
        <w:br/>
        <w:t xml:space="preserve">6. FiberCop is an Italian company operating in the field of network and telecommunications infrastructure, providing authorized operators with access services to its network. It is indirectly controlled by the investment fund KKR &amp; Co. Inc. (hereinafter "KKR") and was established on July 1, 2024, following the transfer by TIM of the eponymous company (FiberCop S.p.A.), jointly controlled by TIM and KKR and active in the construction and management of the secondary copper and fiber network, as well as other fixed network assets owned by TIM2.  </w:t>
        <w:br/>
        <w:t xml:space="preserve">7. Iliad is a company active in Italy in providing fixed and mobile telephony services. Iliad is controlled by Iliad S.A., a fixed and mobile telecommunications operator active in France.  </w:t>
        <w:br/>
        <w:t xml:space="preserve">8. Open Fiber is a company established by the Enel Group to enter the electronic communications market, active in the installation, provision, and operation of high-speed fiber optic and ultra-broadband electronic communication networks. The company is jointly controlled by Cassa Depositi e Prestiti Equity S.p.A. and Macquarie Infrastructure and Real Assets (Europe) Limited3.  </w:t>
        <w:br/>
        <w:t xml:space="preserve">9. Sky is a television operator active in offering pay TV services through various transmission means, particularly via satellite (DTH 1) and through digital terrestrial (DTT 2), as well as via cable and internet and in offering free television services. Sky is controlled by Sky Italian Holdings S.p.A. Sky has also obtained the general authorization, pursuant to Article 25 of Legislative Decree No. 259 of August 1, 2003 ("Code of Electronic Communications"), for the provision of telephone and internet services and electronic communication networks.  </w:t>
        <w:br/>
        <w:t xml:space="preserve">10. TIM is a company active in offering fixed, mobile, and satellite telephony services, data transmission services and internet access, connectivity services, services related to electronic commerce, website creation, offering Internet/Intranet/Extranet solutions to businesses, selling online advertising space, and multimedia services. As of July 1, 2024, TIM is no longer active in offering wholesale access services to the fixed network, having sold its infrastructure to KKR4.  </w:t>
        <w:br/>
        <w:t xml:space="preserve">11. WindTre is a fixed and mobile communications operator, born from the merger by incorporation of Wind Telecomunicazioni S.p.A. into H3G S.p.A. on December 31, 20165. In Italy, WindTre is active in providing mobile internet access services and mobile and fixed broadband and ultra-broadband telephony services.  </w:t>
        <w:br/>
        <w:t xml:space="preserve">III. DESCRIPTION OF THE OPERATION  </w:t>
        <w:br/>
        <w:t xml:space="preserve">12. The Operation consists of the acquisition of the entire share capital of Vodafone by Swisscom. It therefore involves the acquisition, by Swisscom Ltd, indirectly through Swisscom, of exclusive control of Vodafone and its controlled companies (namely VND S.p.A., Vodafone Gestioni S.p.A., and VEI S.r.l.).  </w:t>
        <w:br/>
        <w:t xml:space="preserve">13. The agreement [omitted] entered into between Swisscom, Vodafone Group PLC, and Vodafone Europe B.V. on [omitted] provides for a non-compete obligation on the part of the Vodafone Group and a non-solicitation obligation on the part of the Swisscom Group: [omitted]6; [omitted]7.  </w:t>
        <w:br/>
        <w:t xml:space="preserve">14. The agreement also provides that, on the closing date, or in its proximity, Vodafone and certain companies of the Vodafone Group will enter into service contracts and other ancillary agreements, including the [omitted]8 [omitted].  </w:t>
        <w:br/>
        <w:t xml:space="preserve">IV. QUALIFICATION OF THE OPERATION  </w:t>
        <w:br/>
        <w:t xml:space="preserve">15. The notified operation constitutes a concentration pursuant to Article 5, paragraph 1, letter b), of Law No. 287/1990, as it involves the acquisition of exclusive control of an enterprise. It falls within the scope of Law No. 287/1990 as the conditions of Article 1 of Regulation (EC) No. 139/2004 do not apply, and it is subject to the prior notification obligation established by Article 16, paragraph 1, of the same law, as the total revenue generated, in the last financial year at the national level, by the group of companies involved was over 567 million euros and the total revenue generated, in the last financial year at the national level, by at least two of the companies involved was over 35 million euros.  </w:t>
        <w:br/>
        <w:t xml:space="preserve">16. The non-compete agreement, the prohibition on poaching employees, and the service agreements described above can be qualified as ancillary to the notified concentration to the extent that they contain restrictions directly related to the realization of the operation and necessary for it9. In particular, the non-compete agreement can be considered ancillary to this operation to the extent that it is limited to the markets (product and geographic) affected by the concentration and does not exceed a duration of two years, since, in this case, the value of the transferred company must be protected only in terms of goodwill and not also of know-how, given that Swisscom already operates in the telecommunications markets.  </w:t>
        <w:br/>
        <w:t xml:space="preserve">V. THE INVESTIGATIVE ACTIVITY CARRIED OUT  </w:t>
        <w:br/>
        <w:t xml:space="preserve">17. Already in the pre-investigative phase, following the notification of this operation, the Authority's Offices acquired information from the main telecommunications operators, namely  </w:t>
        <w:br/>
        <w:t xml:space="preserve">6 [Omitted].  </w:t>
        <w:br/>
        <w:t xml:space="preserve">7 [Omitted].  </w:t>
        <w:br/>
        <w:t xml:space="preserve">8 [Omitted].  </w:t>
        <w:br/>
        <w:t>9 See "Commission Communication on Restrictions Directly Related and Necessary to Concentrations (O.J. EU 2005/C-56/03 of March 5, 2005)."</w:t>
      </w:r>
    </w:p>
    <w:p>
      <w:r>
        <w:rPr>
          <w:b/>
        </w:rPr>
        <w:t>[Pages 88–90]</w:t>
      </w:r>
    </w:p>
    <w:p>
      <w:r>
        <w:t xml:space="preserve">90 BULLETIN NO. 49 OF DECEMBER 23, 2024  </w:t>
        <w:br/>
        <w:t xml:space="preserve">FiberCop, Iliad, Open Fiber, PostePay S.p.A. (hereinafter, "Poste"), Retelit, Sky, TIM, WindTre, and the AIIP Association.  </w:t>
        <w:br/>
        <w:t xml:space="preserve">18. In view of the documentation on file, on September 10, 2024, the Authority initiated an investigation, pursuant to Article 16, paragraph 4, of Law No. 287/1990, against the companies Swisscom and Vodafone, believing that the concentration operation in question was likely to significantly hinder effective competition, pursuant to Article 6, paragraph 1, of Law No. 287/1990, particularly due to the establishment or strengthening of a dominant position in the markets for wholesale fixed network access services, retail fixed network services for residential customers, retail fixed network services for business customers, and retail fixed network services for public administration.  </w:t>
        <w:br/>
        <w:t xml:space="preserve">19. Following the initiation of the investigation, the following parties were admitted to participate in the proceedings: AIIP, FiberCop, Iliad, Open Fiber, Sky, TIM, WindTre, and Colt10.  </w:t>
        <w:br/>
        <w:t xml:space="preserve">20. During the investigation, the Authority sent requests for information to the Parties, as well as to TIM, WindTre, and the Authority for Communications Guarantees (hereinafter, "AGCOM")11. During the investigation, the Authority's Offices conducted hearings with the following operators: WindTre, on September 19, 2024, Sky, on September 25, 2024, Poste, on September 27, 2024, FiberCop, on September 30, 2024, Iliad, on October 1, 2024, TIM, on October 2, 2024, Open Fiber and AIIP, on October 3, 2024, Consip S.p.A. (hereinafter, "Consip") on October 7, 2024, Colt, on October 8, 2024, and Retelit, on October 4, 2024, and on October 23, 202412. The Parties to the Operation were heard on October 16, 2024, October 25, 2024, October 29, 2024, and November 8, 202413. The Parties and interveners exercised their right of access to the documentation: Swisscom on September 11, October 2 and 11, November 7 and 25, and December 17, 202414, FiberCop on September 12, October 31, and November 21, 202415, Open Fiber on September 12, October 2 and 31, and November 21, 202416, Sky Italia on September 12, October 31, and November 21, 202417, TIM on September 12, October 30, and November 21, 202418, WindTre on September 12 and November 22, 202419, Iliad on September 19, October 30, and November 21, 202420, AIIP on September 27, October 31, and November 25, 202421, Colt on September 27 and November 22, 202422. Swisscom also submitted a defense memorandum on October 23, 202423.  </w:t>
        <w:br/>
        <w:t xml:space="preserve">21. Swisscom submitted remedy proposals on October 25 and 28, 2024, and subsequently sent supplements on October 30 and November 12 and 13, 202424. The remedy proposal received on October 28, 2024, was sent to AIIP, Colt, FiberCop, Iliad, Open Fiber, Poste Italiane, Retelit, Sky Italia, TIM, and WindTre on October 30, 202425. Comments on the remedy proposal were received from Colt and Poste Italiane on November 4, 202426, from Sky, Retelit, Open Fiber, TIM, AIIP, Iliad, WindTre, and Colt on November 5, 202427, and from FiberCop on November 12, 202428. In light of the operators' comments, Swisscom made some modifications and additions to the initially proposed remedies29.  </w:t>
        <w:br/>
        <w:t xml:space="preserve">22. On November 19, 2024, the Authority, having verified the profiles related to the validity of the investigative findings, authorized the sending of the communication of the investigative findings to the Parties and to the third interveners. On November 21, 2024, Swisscom and Vodafone formally waived the final hearing before the College. The interveners WindTre, Iliad, Sky, and AIIP (on November 22, 2022), as well as Open Fiber (on November 22, 2022), submitted requests to participate in the final hearing before the College. They were informed on November 22 and 25 that – since the companies Swisscom and Vodafone, parties subject to the initiation of procedure C12659, expressed their intention to waive the final hearing – the hearing in question would not take place, in light of the provisions of Articles 16, paragraph 2, and 14, paragraphs 5 and 6, of D.P.R. No. 217/98.  </w:t>
        <w:br/>
        <w:t xml:space="preserve">23. On November 25, 2024, both Swisscom30 and the interveners (WindTre, FiberCop, TIM, Colt, Iliad, Sky, and Open Fiber) submitted final memoranda31.  </w:t>
        <w:br/>
        <w:t xml:space="preserve">24. Regarding procedural aspects, Iliad and TIM criticized "the narrow scope within which the adversarial process could unfold since the initiation of the procedure"32, and throughout its duration (including the timelines provided for the evaluation of the remedy proposals33). This, in fact, according to these operators, would have resulted in "the infringement of the right to a full and effective adversarial process caused by timelines not in line with the need to have timely knowledge of the elements acquired in the procedure and to be able to adequately articulate observations, also in the interest of a complete evaluation of the circumstances and relevant arguments for a correct examination of the case by this Authority"34.  </w:t>
        <w:br/>
        <w:t xml:space="preserve">25. In this regard, it is noted that, within the context of the extremely tight timelines that govern the investigation for concentration operations, pursuant to Article 16 of Law No. 287/1990, all procedural obligations were carried out in compliance with the deadlines set by the Regulation concerning investigative procedures under the Authority's competence, as per D.P.R. No. 217/1998 (which does not distinguish between working days and non-working days). Furthermore, in this case, although not contemplated in the investigation for concentration operations, a consultation of third parties was also conducted on the remedy proposal submitted by Swisscom, with a view to putting the interested operators in a position to provide the Authority with any useful elements for its evaluation35.  </w:t>
        <w:br/>
        <w:t xml:space="preserve">26. Moreover, TIM36, as well as Open Fiber37 and AIIP38, complained about the unduly extensive confidentiality of the documents produced by the Parties, which, while allowing third parties limited access, prevented a full framing of the anti-competitive effects of the concentration and ultimately expressing their observations on the proposed measures in a complete manner.  </w:t>
        <w:br/>
        <w:t xml:space="preserve">27. On this point, it is noted that the confidentiality requests for documents made by the Parties were rejected where they concerned essential elements for the evaluation of the concentration operation and did not include particularly sensitive information regarding commercial strategy or data related to trade secrets38.  </w:t>
        <w:br/>
        <w:t xml:space="preserve">28. Finally, TIM39 and AIIP40 requested that the Authority, having reassessed the content of the CRI in light of the observations made by the parties in their final writings, order a further investigative deepening, returning the documents to the Investigative Directorate and instructing it to acquire further elements – also, if necessary, through the acquisition of economic studies and analyses produced by independent experts – in order to fully evaluate whether and to what extent the remedies offered by Swisscom are truly capable of counterbalancing the competitive restrictions imposed by the concentration.  </w:t>
        <w:br/>
        <w:t xml:space="preserve">29. In this regard, it is noted that, pursuant to Article 16, paragraph 8, of Law No. 287/1990, the extension of the deadline for concluding the concentration investigation is contemplated (for a period not exceeding thirty days) only when the companies do not provide information and data requested from them that are in their possession, a circumstance that has not occurred in this case.  </w:t>
        <w:br/>
        <w:t xml:space="preserve">34 See TIM's memorandum of November 25, 2024 (doc. 216).  </w:t>
        <w:br/>
        <w:t xml:space="preserve">35 Nothing detracts from the value of the initiative taken by the Investigative Directorate in this case from the express provision of the market test in the European Commission's Communication on remedies, referred to by TIM, since from a procedural standpoint, the Authority's activity is governed exclusively by the relevant national regulations.  </w:t>
        <w:br/>
        <w:t xml:space="preserve">36 See Open Fiber's memoranda of November 5, 2024 (doc. 162) and November 25, 2024 (doc. 220).  </w:t>
        <w:br/>
        <w:t xml:space="preserve">37 See AIIP's memorandum of November 5, 2024 (doc. 164).  </w:t>
        <w:br/>
        <w:t xml:space="preserve">38 See docs. 157 and 184.  </w:t>
        <w:br/>
        <w:t xml:space="preserve">39 See memorandum of November 25, 2024 (doc. 216).  </w:t>
        <w:br/>
        <w:t>40 See memorandum of November 5, 2024 (doc. 164).</w:t>
      </w:r>
    </w:p>
    <w:p>
      <w:r>
        <w:rPr>
          <w:b/>
        </w:rPr>
        <w:t>[Pages 91–93]</w:t>
      </w:r>
    </w:p>
    <w:p>
      <w:r>
        <w:t xml:space="preserve">BULLETIN NO. 49 OF DECEMBER 23, 2024 93  </w:t>
        <w:br/>
        <w:t xml:space="preserve">VI. THE MARKET FOR WHOLESALE FIXED NETWORK ACCESS SERVICES  </w:t>
        <w:br/>
        <w:t xml:space="preserve">VI.1 The Investigation Findings  </w:t>
        <w:br/>
        <w:t xml:space="preserve">30. The market for wholesale access services to the fixed network includes the demand and supply of access services to the local network at a fixed location. In order to prepare an offer of fixed telecommunications services aimed at end customers, the procurement of local network access services is essential, as it is not possible to serve end customers without access to the local network. The local access network at a fixed location, besides being essential, also has the characteristic of shared use of production capacity among multiple operators and non-duplicability in reasonable time and costs, at least below minimum conditions of demand density economies.  </w:t>
        <w:br/>
        <w:t xml:space="preserve">31. In particular, the characteristic of non-duplicability is relevant for the access network (i.e. the terminal part of the communications network)41 which, from a technological perspective, can currently be realized according to four different architectures, sometimes even in combination with each other: traditional copper technology (ADSL services), FTTC, FTTH, and FWA connections42. The different technologies are distinguished, from the supply side, by the different configuration of the networks used, especially regarding the extent of the use of fiber cables (FTTC and FTTH) or wireless technologies (FWA), and from the demand side, by the different qualitative levels of the services that can be provided.  </w:t>
        <w:br/>
        <w:t xml:space="preserve">32. FTTH represents the most important technology in perspective as it records the highest growth rate, while the FTTC and ADSL segments are undergoing a contraction process43. FTTH, therefore, is progressively replacing the less advanced technologies, becoming the predominant one44.  </w:t>
        <w:br/>
        <w:t xml:space="preserve">33. As indeed emerges from the following figure, which reports the most recent AGCOM data, the weight of FTTH has grown, in particular, at the expense of the copper network on which ADSL services are provided. Currently, FTTH is the second most widespread technology, with a market penetration rate of 24.4%. Although FTTC technology is still the main one, with a weight currently at 47.9%, its diffusion has been declining since the third quarter of 2022.  </w:t>
        <w:br/>
        <w:t xml:space="preserve">34. The FWA technology, fourth in terms of diffusion, also shows a growth dynamic, although not comparable to that of FTTH. While the latter has experienced an increase in its incidence of 17.7 percentage points since the first quarter of 2020 (more than tripling its weight at the beginning of the considered period), FWA has recorded a more modest increase of 3.5 percentage points since early 2020, growing by just under 50%. Furthermore, it is a technology that is complementary to FTTH, assuming a certain relevance in some geographical areas where it is "structurally easier to install services with FWA technology for reasons of speed and efficiency"45.  </w:t>
        <w:br/>
        <w:t xml:space="preserve">Figure 1: Percentage Composition of the Total Number of Lines by Technology  </w:t>
        <w:br/>
        <w:t xml:space="preserve">0.1 0.1 0.1 0.1 0.1 0.1 0.1 0.0 0.1 0.1 0.1 0.1 0.1 0.1 0.1 0.2 0.3  </w:t>
        <w:br/>
        <w:t xml:space="preserve">7.3 7.5 7.7 8.1 8.4 8.6 8.8 8.9 9.1 9.3 9.6 9.8 10.0 10.2 10.3 10.5 10.8  </w:t>
        <w:br/>
        <w:t xml:space="preserve">7.0 7.7 8.4 9.5 10.8 11.7 12.6 13.6 14.7 15.8 16.8 18.0 19.3 20.5 21.6 22.9 24.4  </w:t>
        <w:br/>
        <w:t xml:space="preserve">41.4 43.6 45.0 46.3  </w:t>
        <w:br/>
        <w:t xml:space="preserve">47.5 48.7 49.5 50.3 50.8 51.1 50.8 50.6 50.3 49.8 49.4 48.7 47.9  </w:t>
        <w:br/>
        <w:t xml:space="preserve">44.1 41.1 38.7 36.0 33.2 31.0 29.1 27.1 25.4 23.8 22.7 21.6 20.4 19.4 18.6 17.7 16.7  </w:t>
        <w:br/>
        <w:t xml:space="preserve">1Q20 2Q20 3Q20 4Q20 1Q21 2Q21 3Q21 4Q21 1Q22 2Q22 3Q22 4Q22 1Q23 2Q23 3Q23 4Q23 1Q24  </w:t>
        <w:br/>
        <w:t xml:space="preserve">Copper FTTC FTTH FWA other lines  </w:t>
        <w:br/>
        <w:t xml:space="preserve">Source: AGCM processing on AGCOM data, taken from the Quarterly Communications Observatory 2/2024  </w:t>
        <w:br/>
        <w:t xml:space="preserve">35. Due to the described prevailing economic characteristics, especially in terms of cost structure, the market for wholesale access services exhibits a high degree of concentration on the supply side. These characteristics are accentuated in less densely populated areas, where the demand for services is relatively low and the supply of wholesale access services tends to be structured in practically monopolistic forms. In fact, in such contexts, it is usually necessary for the regulator to impose obligations (or incentives) for supply so that there is at least one offer of wholesale access services46.  </w:t>
        <w:br/>
        <w:t xml:space="preserve">36. In Italy, these general economic premises have long been the basis of the competitive structure of the wholesale access services market. In recent years, however, the market seems to have moved towards a greater degree of competitiveness, mainly due to the operation of three factors:  </w:t>
        <w:br/>
        <w:t xml:space="preserve">i. the entry into the market of Open Fiber at the end of 2015, with a business model deliberately reserved for the sale of wholesale access services, without downstream vertical integration;  </w:t>
        <w:br/>
        <w:t xml:space="preserve">45 See the minutes of the WindTre hearing of September 19, 2024 (Doc. 50).  </w:t>
        <w:br/>
        <w:t>46 See, lastly, resolution 114/24/CONS of AGCOM of April 30, 2024, which approved the coordinated analysis of the fixed network access markets of TIM pursuant to Article 89 of the Electronic Communications Code.</w:t>
      </w:r>
    </w:p>
    <w:p>
      <w:r>
        <w:t xml:space="preserve">BULLETIN NO. 49 OF DECEMBER 23, 2024 95  </w:t>
        <w:br/>
        <w:t xml:space="preserve">ii. the completion, in July 2024, of the sale process of TIM's fixed network, which led to the corporate and ownership separation of the business branch related to the fixed telecommunications network47;  </w:t>
        <w:br/>
        <w:t xml:space="preserve">iii. the asymmetric regulation48 of TIM's wholesale access services, with the imposition of obligations to offer both active access services and passive access services49.  </w:t>
        <w:br/>
        <w:t xml:space="preserve">37. By virtue of these developments, currently, the offer of access services is expressed by three operators (namely FiberCop, Open Fiber, and, to a lesser extent, Fastweb) that are quite heterogeneous:  </w:t>
        <w:br/>
        <w:t xml:space="preserve">- FiberCop is the operator that manages the network assets (primary and secondary) that previously belonged to TIM and that, following the aforementioned vertical disintegration process with respect to TIM, is currently active only in the offer of wholesale access services to the fixed network. FiberCop's access network includes all available technologies (including copper, which is exclusively available to this operator due to TIM's previous exclusive investment in this technology) and is extended throughout the national territory;  </w:t>
        <w:br/>
        <w:t xml:space="preserve">- OF entered the market in 2016 with a development plan for FTTH fiber network coverage in two hundred seventy cities, adopting a wholesale-only business model;  </w:t>
        <w:br/>
        <w:t xml:space="preserve">- The third market operator is Fastweb, which differs from the first two due to its integration in downstream markets; however, in the upstream market, it has a limited endowment of primary network assets that it integrates with the purchase of primary network access services (where its network is not available) and secondary (passive) network from FiberCop (and in some areas from OF). Fastweb offers third parties ([omitted]) active wholesale access services.  </w:t>
        <w:br/>
        <w:t xml:space="preserve">38. It is precisely the possibility of procuring passive access services at prices controlled by the sector regulator, along with the Authority's interventions in recent years aimed at promoting infrastructure competition50, that have allowed Fastweb, over the years, to build its own offer of access services to the network, predominantly of an active nature, in competition with TIM initially, and now with FiberCop and Open Fiber.  </w:t>
        <w:br/>
        <w:t xml:space="preserve">39. In this regard, it is noted that Fastweb's procurement of passive access services from FiberCop originated in the co-investment project that involved TIM, Fastweb, Tiscali, and some companies from the KKR fund, launched in 2020 with the establishment of FiberCop51, within which Fastweb and FiberCop signed an agreement that provides for a long-term service provision relationship (hereinafter Fastweb MSA), which includes FiberCop's offer to Fastweb of passive access services. Although the aforementioned co-investment project is  </w:t>
        <w:br/>
        <w:t xml:space="preserve">47 See Commission Decision of May 30, 2024, authorizing in phase I the concentration M11386 - KKR / NETCO.  </w:t>
        <w:br/>
        <w:t xml:space="preserve">48 See AGCOM Resolution 114/24/CONS, of April 30, 2024, which approved the coordinated analysis of TIM's fixed network access markets pursuant to Article 89 of the Electronic Communications Code.  </w:t>
        <w:br/>
        <w:t xml:space="preserve">49 Wholesale access services can be distinguished into two categories. Passive or physical access services, which involve the acquisition, in various forms, of the availability of connections made by physical carriers, in copper or fiber, without activation, thus "off". Active or virtual wholesale access services, on the other hand, consist of the combined provision of physical carriers, in copper or fiber, and equipment and tools for activating the transmission signal.  </w:t>
        <w:br/>
        <w:t xml:space="preserve">50 See – among others – provision no. 27102 of March 28, 2018, with which the Authority closed the I799 procedure - Tim-Fastweb-Realization of the fiber network, and provision no. 30002 of February 15, 2022, with which the Authority closed the I850 procedure - FiberCop Agreements. In both cases, the Authority concluded the proceedings by making the commitments presented by the Parties mandatory, with measures that essentially guaranteed the widest possibility for operators wishing to do so to acquire degrees of infrastructural freedom with respect to the former public monopolist.  </w:t>
        <w:br/>
        <w:t>51 See I850 – FiberCop Agreements, cited.</w:t>
      </w:r>
    </w:p>
    <w:p>
      <w:r>
        <w:rPr>
          <w:b/>
        </w:rPr>
        <w:t>[Pages 94–96]</w:t>
      </w:r>
    </w:p>
    <w:p>
      <w:r>
        <w:t xml:space="preserve">96 BULLETIN NO. 49 OF DECEMBER 23, 2024  </w:t>
        <w:br/>
        <w:t xml:space="preserve">was withdrawn by TIM in January 202452, after the Authority for Communications Guarantees, in its resolution No. 339/23/CONS, decided that TIM's co-investment commitment proposal did not meet the conditions set out in paragraph 2 of Article 87 of the Electronic Communications Code. Currently, the purchase of passive access from FiberCop by Fastweb continues under the conditions provided by the Fastweb MSA.  </w:t>
        <w:br/>
        <w:t xml:space="preserve">40. As indicated by the Authority in provision No. 31320 of September 10, 2024, the market for wholesale fixed network access services, taken in its entirety, thus including both passive and active services, is confirmed to be characterized by a dominant position held by FiberCop. The latter is the company that absorbed the business unit of TIM containing the fixed network, which, since July 2024, has taken over the management of network activities. This position still appears to exist despite, as mentioned above, the growing role of competitors Open Fiber and Fastweb:  </w:t>
        <w:br/>
        <w:t xml:space="preserve">Table 1: Market Shares of Wholesale Access Services (total, in value)  </w:t>
        <w:br/>
        <w:t xml:space="preserve">2021 2022  </w:t>
        <w:br/>
        <w:t xml:space="preserve">FiberCop [70 – 75]% [65 – 70]%  </w:t>
        <w:br/>
        <w:t xml:space="preserve">Open Fiber [15 – 20]% [20 - 25]%  </w:t>
        <w:br/>
        <w:t xml:space="preserve">Fastweb [5 – 10]% [5 – 10]%  </w:t>
        <w:br/>
        <w:t xml:space="preserve">Source: Authority's elaborations on AGCOM data  </w:t>
        <w:br/>
        <w:t xml:space="preserve">41. While on the supply side there may be operators that offer exclusively one type of access, on the demand side, operators (who provide retail communication services) may limit themselves to purchasing fiber access services, resulting in their presence being confined to only those areas of the country reached by such technology, or they may also resort to technologies that involve total or partial (FTTC) use of the copper network, in order to achieve a more complete and widespread territorial coverage; moreover, regarding the nature of access services, the demand from each operator is generally directed towards both active and passive access services, in varying proportions based on individual infrastructure strategies.  </w:t>
        <w:br/>
        <w:t xml:space="preserve">42. An operator that predominantly purchases active access services has a cost structure that is more heavily weighted towards variable costs, whereas an operator that prefers passive services opts for a greater share of fixed costs. Generally, an operator purchases passive services in order to self-produce the active services needed to prepare the offer for end customers downstream and in order to be able to offer active services to third-party operators; among the main operators that have adopted this commercial policy in the access services market is Fastweb.  </w:t>
        <w:br/>
        <w:t xml:space="preserve">43. In this context, where normally only one or at most a few operators are active on the supply side, the ability to prepare a competitive offer of active access services takes on a particularly significant relevance. Firstly, in a competitive environment where ex ante regulation is still necessary, the presence – even if only minority – of an alternative offer can only be considered beneficial for improving the degree of competitiveness in the market.  </w:t>
        <w:br/>
        <w:t xml:space="preserve">44. More generally, considering the close connection between the markets for wholesale access services and those for retail telephony services, the conditions for offering wholesale access services significantly influence the degree of competitiveness in downstream markets. In particular, for the purposes of the present assessments, the circumstance that the availability of a wholesale offer of active access services favors the entry of competing operators downstream is certainly relevant, as it lowers the entry cost into the market and mitigates the risk of demand uncertainty, as it requires incurring fewer fixed costs than would be necessary if entry were only possible through the purchase of passive services.  </w:t>
        <w:br/>
        <w:t xml:space="preserve">45. From this perspective, the role of Fastweb as an operator offering active wholesale access services in competition with Open Fiber and FiberCop appears to be of great significance, as it allows smaller operators or new entrants to have more competitive offers to procure the necessary network inputs to prepare the service offerings for end customers53.  </w:t>
        <w:br/>
        <w:t xml:space="preserve">46. Over the years, Fastweb has built an access service offering that has found appreciable demand-side recognition, growing in recent years according to available data. It should be noted that over two-thirds of total revenues from the sale of access services in the market in question is due to active services54. This demonstrates how this type of access service is the one generally preferred by operators on the demand side, precisely due to the strong degree of cost flexibility it provides.  </w:t>
        <w:br/>
        <w:t xml:space="preserve">Table 2: Market Shares of Active Services  </w:t>
        <w:br/>
        <w:t xml:space="preserve">2021 2022  </w:t>
        <w:br/>
        <w:t xml:space="preserve">FiberCop [80 – 85]% [75 – 80]%  </w:t>
        <w:br/>
        <w:t xml:space="preserve">Open Fiber [1 – 5]% [5 – 10]%  </w:t>
        <w:br/>
        <w:t xml:space="preserve">Fastweb [5 – 10]% [10 – 15]%  </w:t>
        <w:br/>
        <w:t xml:space="preserve">Source: Authority's elaborations on AGCOM data  </w:t>
        <w:br/>
        <w:t xml:space="preserve">47. For the purposes of evaluating the present operation, it is also relevant to consider that telecommunications operators require network inputs whether they intend to serve only residential customers or whether they direct their offer (also) to business and public administration clients. The Commission's Recommendation55 on markets susceptible to ex ante regulation distinguishes access services into two markets:  </w:t>
        <w:br/>
        <w:t xml:space="preserve">53 Cf. minutes of the Poste hearing of September 27, 2024 (doc. 82).  </w:t>
        <w:br/>
        <w:t xml:space="preserve">54 Source: elaboration on AGCOM data.  </w:t>
        <w:br/>
        <w:t>55 Cf. Recommendation (EU) 2020/2245 of the Commission of December 18, 2020, regarding the relevant markets for products and services in the electronic communications sector that may be subject to ex ante regulation pursuant to Directive (EU) 2018/1972 of the European Parliament and of the Council establishing the European Electronic Communications Code.</w:t>
      </w:r>
    </w:p>
    <w:p>
      <w:r>
        <w:t xml:space="preserve">98 BULLETIN NO. 49 OF DECEMBER 23, 2024  </w:t>
        <w:br/>
        <w:t xml:space="preserve">a. Market 1 of wholesale local access services at a fixed location;  </w:t>
        <w:br/>
        <w:t xml:space="preserve">b. Market 2 of wholesale dedicated capacity services.  </w:t>
        <w:br/>
        <w:t xml:space="preserve">48. In summary, Market 1 includes shared capacity access services, primarily used to serve residential customers. These customers indeed have service needs that are generally met by operators using access services in which network capacity is shared with other users and services. Some categories of business customers can also be served through such connections.  </w:t>
        <w:br/>
        <w:t xml:space="preserve">49. In Market 2, on the other hand, connections are offered, with copper or fiber carriers, both passive and active, with dedicated capacity, used to connect the user premises of business clients. Referring to the section of the text reserved for the market of fixed telecommunications services for business clients for details, it is useful to remember that business customers require more complex service levels and guaranteed functionality needs for the continuity of business operations.  </w:t>
        <w:br/>
        <w:t xml:space="preserve">50. In access Market 2, compared to Market 1, there is a greater competitive dynamic, thanks to the less stringent dependence on the incumbent's network. Over the years, in fact, some operators have established dedicated connection networks of their own. Among these, Fastweb can also boast a significant position in the market:  </w:t>
        <w:br/>
        <w:t xml:space="preserve">Table 3: Market Shares (with self-production) in Market 2  </w:t>
        <w:br/>
        <w:t xml:space="preserve">2021 2022  </w:t>
        <w:br/>
        <w:t xml:space="preserve">FiberCop 59.1% 58.3%  </w:t>
        <w:br/>
        <w:t xml:space="preserve">Fastweb 21.3% 17.0%  </w:t>
        <w:br/>
        <w:t xml:space="preserve">WindTre 9.7% 12.0%  </w:t>
        <w:br/>
        <w:t xml:space="preserve">Colt 5.0% 3.6%  </w:t>
        <w:br/>
        <w:t xml:space="preserve">Others 4.9% 9.0%  </w:t>
        <w:br/>
        <w:t xml:space="preserve">Source: Table V.14 of Document V of AGCOM resolution No. 114/24/CONS.  </w:t>
        <w:br/>
        <w:t xml:space="preserve">51. The shares refer to "market 2B" as defined by AGCOM in its resolution analyzing fixed network access markets. It includes the entire national territory except for the cities of Milan, Turin, Barletta, Cornaredo, and Basiglio, which instead make up "market 2A" (municipalities without conditions for imposing regulatory obligations). In these municipalities, therefore, FiberCop does not have a competitive position of significant market power and, overall, the competitive dynamic is more pronounced and mature, with FiberCop holding a share of about 25% in 2022 and Fastweb 15%56.  </w:t>
        <w:br/>
        <w:t>56 Data taken from Table V.11 of Document V of AGCOM resolution No. 114/24/CONS.</w:t>
      </w:r>
    </w:p>
    <w:p>
      <w:r>
        <w:rPr>
          <w:b/>
        </w:rPr>
        <w:t>[Pages 97–99]</w:t>
      </w:r>
    </w:p>
    <w:p>
      <w:r>
        <w:t xml:space="preserve">BULLETIN NO. 49 OF DECEMBER 23, 2024 99  </w:t>
        <w:br/>
        <w:t xml:space="preserve">VI.2 The Position of Third Parties  </w:t>
        <w:br/>
        <w:t xml:space="preserve">On the Definition of the Market  </w:t>
        <w:br/>
        <w:t xml:space="preserve">52. FiberCop has stated that it does not agree with the definition of a relevant market for wholesale access services extended to all technologies and the entire national territory57.  </w:t>
        <w:br/>
        <w:t xml:space="preserve">53. Regarding the different network architectures, FiberCop observes that the technological substitution process triggered by the offer of FTTH access services is now substantially complete, at least concerning the major Italian cities, [omissis]58. Even at the national level, the technological substitution process is at an advanced stage and accelerating, given the significant investments by the two wholesale-only operators. The FTTH technology will therefore be the predominant one in the near future, that is, within the time frame relevant to the Authority's prospective assessments regarding the competitive effects of the Operation. Thus, from FiberCop's perspective, it defines a distinct relevant market from a commodity perspective.  </w:t>
        <w:br/>
        <w:t xml:space="preserve">54. According to FiberCop, the homogeneity at the retail level of the service offering prices, regardless of the network technology used, does not prevent the definition of a distinct relevant market for FTTH accesses; on the contrary, such homogeneity, in light of a historical differentiation of wholesale prices for FTTC and FTTH accesses, appears indicative of the circumstance that from the wholesale demand side, the two technologies belong to distinct markets: in fact, the wholesale purchase of FTTH services at higher prices than those of FTTC services seems indicative of a clear preference by buyers for this more performing technology, which is purchased even at the expense of margins in the immediate term.  </w:t>
        <w:br/>
        <w:t xml:space="preserve">55. From a geographical perspective, FiberCop notes the opportunity to define sub-national markets considering that the offers of the main market players present margins of differentiation on a geographical basis, with the consequence that competitive dynamics are not homogeneous across the entire national territory. FiberCop itself, for example, in addition to the regulated offer, has different offers for the Municipality of Milan and for the contestable municipalities identified by AGCom in the latest market analysis. It has also recently proposed to the market a differentiated offer for passive access services based on geographical areas, and AGCom, in Resolution 38/24/CIR, has endorsed this approach, effectively confirming the presence of different competitive (and cost) conditions in different geographical areas, which confirms the presence of sub-national markets.  </w:t>
        <w:br/>
        <w:t xml:space="preserve">56. Similarly, Open Fiber, according to AGCOM59, for the full-GPON service, negotiates its contracts with each operator in the black areas and does not have a standard price practiced in the market; in areas not subject to public funding “due to pre-existing exclusive agreements and/or limited-time promotions no longer accessible to new operators, in a limited number of cities, it applies conditions lower [than the average], in exchange for the exclusivity granted, in cities where over 85% of black addresses and 25% of gray addresses are measured.” It also has different price lists for accesses in white areas (standard and discounted prices) and in gray areas.  </w:t>
        <w:br/>
        <w:t xml:space="preserve">57. See the minutes of the FiberCop hearing of September 30, 2024 (doc. 69) and the memorandum of November 25, 2024 (doc. 215).  </w:t>
        <w:br/>
        <w:t xml:space="preserve">58. [Omissis].  </w:t>
        <w:br/>
        <w:t>59. See AGCom Resolution 38/24/CIR.</w:t>
      </w:r>
    </w:p>
    <w:p>
      <w:r>
        <w:t xml:space="preserve">100 BULLETIN NO. 49 OF DECEMBER 23, 2024  </w:t>
        <w:br/>
        <w:t xml:space="preserve">Finally, Fastweb also offers wholesale services with differentiated prices depending on whether the accesses pertain to the geographical areas where it purchases passive services from FiberCop under the Master Service Agreement of 2021, or are located in different areas.  </w:t>
        <w:br/>
        <w:t xml:space="preserve">On the Effects of the Operation  </w:t>
        <w:br/>
        <w:t xml:space="preserve">57. Many interveners expressed their position during the investigation regarding the issues related to the possible competitive effects of the concentration on the dynamics of the wholesale access service offer. In particular, the importance of Fastweb as an active operator in the wholesale market was often stated (Sky, Open Fiber, Retelit, Poste).  </w:t>
        <w:br/>
        <w:t xml:space="preserve">58. Fastweb's offer would play an essential competitive role in ensuring a strong degree of competition in downstream markets. According to Sky60 and Poste61, the presence of Fastweb's wholesale offers indeed lowers the barriers to entry and growth for smaller operators: in fact, the service offered by Fastweb has characteristics suitable to meet the needs of smaller operators who require an active access service. In particular, Fastweb's bitstream62 offer would be complete with connection and transmission bandwidth, a combination more than suitable for alternative operators who do not reach FiberCop's exchanges with their infrastructures and do not have the scale to build their infrastructure to the exchanges. Therefore, the survival of such an offer for third parties, following the concentration, of wholesale access services by Fastweb would be very important for the competitiveness of the downstream market for residential customer services.  </w:t>
        <w:br/>
        <w:t xml:space="preserve">59. Similarly, it has been highlighted that Fastweb's wholesale service offer is also of great relevance for the competitive dynamics of the fixed telephony service offer for business and public administration customers. In particular, among others, Retelit63 and Colt64 have argued that Fastweb, benefiting from the access conditions obtained in the context of the co-investment agreement with FiberCop, can now count on significant infrastructure coverage both FTTC and FTTH. Therefore, Fastweb could have privileged access to wholesale inputs that are fundamental for competitiveness in the downstream markets for business and public administration customers.  </w:t>
        <w:br/>
        <w:t xml:space="preserve">60. From the investigation, the concern of Fastweb's competitors emerged that, as a result of the concentration, it might consider no longer offering wholesale services at affordable prices, with negative consequences for competitive conditions downstream. Some operators have indeed stated that, by acquiring the lines currently belonging to Vodafone customers, Fastweb might find it no longer convenient to grant its wholesale access services to third parties, reserving them for self-production. This would negatively reflect on the dynamics of competition in downstream markets, as the new operator that will be established after the operation (hereinafter also referred to as "New Operator") might prefer to grow significantly, to the detriment of competitors, in the business and public administration customer market.  </w:t>
        <w:br/>
        <w:t xml:space="preserve">61. From this perspective, there has been a call for the Authority to preserve Fastweb's incentives to offer wholesale services to third-party operators even after the concentration. More specifically, many of the interveners (Sky, Poste, FiberCop, Retelit) have expressed the need that, before the operation is authorized, the new operator undertakes commitments aimed at ensuring the provision of access services useful for serving retail customers in each of the three markets affected by the operation (residential, business, and public administration). The remedies should ensure that Fastweb offers a complete range of wholesale network access services, both where it has its own coverage and through agreements with third parties.  </w:t>
        <w:br/>
        <w:t xml:space="preserve">62. From a different perspective, some interveners (notably Open Fiber65 and FiberCop66) have emphasized the potential restrictive effects on competition, of a vertical nature, that the operation could produce in the upstream market for wholesale service offers, noting that, for an adequate appreciation of the same, it is necessary to consider the circumstance that the market is characterized by the presence of binding long-term agreements between the parties.  </w:t>
        <w:br/>
        <w:t xml:space="preserve">63. In this regard, it has been highlighted that, on the one hand, the need to create strong contractual ties with operators interested in purchasing wholesale access services arises from the significant risks associated with investments in fixed networks, which involve high capital resources to cover fixed costs. In other words, a long contractual duration would allow for a more economically rational anchoring of investments in the development of fixed networks that would otherwise remain at non-optimal levels. Based on such contracts, investment plans are therefore extended, and the related financial coverage is obtained, with both own and third-party capital. On the other hand, however, the presence of a plurality of binding long-term agreements between suppliers and buyers of wholesale access services significantly contributes to reducing the contestability of demand.  </w:t>
        <w:br/>
        <w:t xml:space="preserve">64. In this sense, Open Fiber has noted that the Operation is likely to restrict competition in the wholesale access services market since it may favor the attraction of wholesale access service demand for the fixed broadband and ultra-broadband network expressed by Vodafone, which currently directs to Open Fiber, with the consequence of weakening the important competitive constraint that the latter represents in the market. This dynamic could concern both Vodafone customers currently served by Open Fiber and the new customer base of Vodafone.  </w:t>
        <w:br/>
        <w:t xml:space="preserve">65. In this regard, Open Fiber considers the argument of the Parties that the new Operator would have no incentives to migrate Vodafone customers from Open Fiber's network to its own network to be unfounded, since any burdens that may be associated in the short term with a massive migration of users – in terms of necessary material activities and the risk of losing customers – would be more than compensated by the higher revenues and economies of scale that the Parties would certainly benefit from upon completion of the Operation, especially following the feared customer shift. Moreover, the transfer of Vodafone lines “would allow for 65. See the minutes of the hearing of October 3, 2024 (doc. 74) and the memoranda of August 14, 2024 (doc. 4), November 5, 2024 (doc. 162), and November 25, 2024 (doc. 220).  </w:t>
        <w:br/>
        <w:t>66. See the minutes of the hearing of FiberCop representatives, doc. 88.</w:t>
      </w:r>
    </w:p>
    <w:p>
      <w:r>
        <w:rPr>
          <w:b/>
        </w:rPr>
        <w:t>[Pages 100–102]</w:t>
      </w:r>
    </w:p>
    <w:p>
      <w:r>
        <w:t xml:space="preserve">102 BULLETIN NO. 49 OF DECEMBER 23, 2024  </w:t>
        <w:br/>
        <w:t xml:space="preserve">Fastweb a much broader application of the below-cost price currently granted by FiberCop to Fastweb for access to its secondary network.”  </w:t>
        <w:br/>
        <w:t xml:space="preserve">66. Open Fiber also notes that the possible foreclosure effects do not solely arise from the future migration of customers already acquired by Vodafone, but especially from the possible new activations of end customers of Vodafone, for which there is certainly no additional transfer cost burdening the Parties.  </w:t>
        <w:br/>
        <w:t xml:space="preserve">67. In this regard, Open Fiber emphasizes the “total pretextuality” of the Parties' argument regarding the alleged saturation effect of the capacity offered by Fastweb MSA, which openly contrasts with the significant trend of customer loss recorded by FW in the wholesale market over the last two years ([omitted]), and with the very limited growth of its customers on FTTH lines during the same period ([omitted])67. Therefore, taking into account also the tolerance margins with which the minimum guaranteed levels [of lines purchased from Fastweb] provided in the Fastweb MSA are defined, it does not seem reasonable to consider the saturation of the same as claimed by the Parties68.  </w:t>
        <w:br/>
        <w:t xml:space="preserve">68. In conclusion, Open Fiber believes that “in light of such a clear and undeniable risk of competitive distortion in favor of the New Entity (and FiberCop), as a result of what is established in the (failed) co-investment agreement signed with Fastweb to the detriment of Open Fiber as a new operator trying to develop wholesale access in FTTH without being able to migrate existing FTTC accesses at reduced costs as the aforementioned competitors will be able to do,” the Authority should have imposed remedies aimed at preventing the violation of the currently existing contracts between OF, on one side, and Vodafone and Fastweb on the other (similarly to what remedy 3.1 should guarantee regarding the existing wholesale contracts of Fastweb for the provision of wholesale access services).  </w:t>
        <w:br/>
        <w:t xml:space="preserve">69. Also in relation to the Fastweb MSA, FiberCop69 expressed its concern regarding the competitive effects arising from the intertwining of the access conditions obtained by Fastweb and the dimensional growth due to the acquisition of Vodafone. Should the agreement with Fastweb remain in the future, the strength that the New Entity could have in downstream markets, particularly in relation to FTTH services70, would be enhanced by the advantages provided by the current access price, defined in the context of a superseded co-investment agreement, should such price also become the price to be applied in the future, extending its application to the Vodafone lines that will be contributed to the New Entity due to the concentration. FiberCop, therefore, emphasizing how, in its opinion, the issue of competitive distortion in favor of the new entity as a result of what is established by the Fastweb MSA should be considered merger-specific, given that the operation in question structurally changes the nature  </w:t>
        <w:br/>
        <w:t xml:space="preserve">67 Based on the data from the AGCom Observatory nos. 3/2022 and 3/2024, FW as of June 2024 had a total of 0.83 million fixed network service users, [omitted].  </w:t>
        <w:br/>
        <w:t xml:space="preserve">68 Cf. Open Fiber memorandum of November 25, 2024 (doc. 220).  </w:t>
        <w:br/>
        <w:t xml:space="preserve">69 Cf. FiberCop hearing minutes of September 30, 2024 (doc. 69).  </w:t>
        <w:br/>
        <w:t xml:space="preserve">70 The strengthening of the new Operator would be critical especially in terms of dynamic competition analysis in the affected markets. After the concentration, Fastweb would indeed hold a very significant market share in terms of FTTH accesses and even higher in the main Italian cities. This cost advantage would thus allow Fastweb to make offers that cannot be replicated by competitors in downstream markets.  </w:t>
        <w:br/>
        <w:t xml:space="preserve">BULLETIN NO. 49 OF DECEMBER 23, 2024 103  </w:t>
        <w:br/>
        <w:t xml:space="preserve">and the competitive positioning of the beneficiary entity, hopes that the operation is authorized subject to measures specifically aimed at this criticality71.  </w:t>
        <w:br/>
        <w:t xml:space="preserve">70. Similar considerations are also shared by Colt72, which particularly emphasizes the suitability of the aforementioned distortion, attributable to the economic access conditions to FiberCop's network that the new operator will enjoy thanks to the Fastweb MSA, to produce restrictive effects on competition particularly in the business and public administration segments, given the vertically integrated nature of the new entity, currently not subject to any regulatory constraints.  </w:t>
        <w:br/>
        <w:t xml:space="preserve">71. On the other hand, TIM73 notes that the concentration would reproduce for Fastweb, post-merger, that condition of vertical integration that for years has 'marked' TIM with the attribution of a dominant position, precisely at the same time as this situation ceased, thanks to the NetCo/KKR operation. In light of this, the operation should have been subjected to much stricter scrutiny.  </w:t>
        <w:br/>
        <w:t xml:space="preserve">VI.3 The Position of the Parties  </w:t>
        <w:br/>
        <w:t xml:space="preserve">72. The Parties, regarding wholesale access services, have stated that “the Vodafone lines will not migrate from Open Fiber after the Operation”74 due to significant technical, economic, and contractual constraints, as well as the different geographical coverage of the networks of Open Fiber and FiberCop.  </w:t>
        <w:br/>
        <w:t xml:space="preserve">73. In relation to this latter aspect, Fastweb notes that the networks of Open Fiber and FiberCop have only limited overlap: [omitted].  </w:t>
        <w:br/>
        <w:t xml:space="preserve">74. The Party also notes that the entity resulting from the concentration will have neither incentives nor the capacity to migrate the demand for Vodafone's wholesale access services from Open Fiber to FiberCop. According to Swisscom, in fact, the costs, the risk of customer loss (so-called churn risk), and the technical difficulties would constitute a strong disincentive to migration, especially considering that it would consist of a transfer of lines between two distinct networks. Furthermore, moving the currently active Vodafone lines on the Open Fiber network, thus in FTTH - currently the best available solution - would solely integrate an unnecessary risk of burdening the customer with a cost that could end up pushing them to change operators. In any case, migration would not be technically feasible for a significant number of lines due to the different coverage offered by the networks of Open Fiber and FiberCop.  </w:t>
        <w:br/>
        <w:t xml:space="preserve">75. The migration of customers from the Open Fiber network would therefore be a non-existent risk in relation to the operation in question. Swisscom has argued that a massive shift of lines from the Open Fiber network would contradict its strategy for procuring wholesale access services. The contract between Vodafone and Open Fiber, which will be subject to Swisscom's control once the operation is completed, constitutes an essential component of the aforementioned strategy. Therefore, Swisscom assures that “the Vodafone lines will not migrate from Open Fiber after the Operation”75.  </w:t>
        <w:br/>
        <w:t xml:space="preserve">71 Cf. memorandum received on November 12, 2024 (doc. 178).  </w:t>
        <w:br/>
        <w:t xml:space="preserve">72 Cf. memorandum of November 25, 2024 (doc. 217).  </w:t>
        <w:br/>
        <w:t xml:space="preserve">73 Cf. memorandum of November 25, 2024 (doc. 216).  </w:t>
        <w:br/>
        <w:t xml:space="preserve">74 Cf. defensive memorandum filed on October 23, 2024 by Swisscom Italia Srl, doc. 114.  </w:t>
        <w:br/>
        <w:t xml:space="preserve">75 Cf. defensive memorandum filed on October 23, 2024 by Swisscom Italia Srl, doc. 114.  </w:t>
        <w:br/>
        <w:t xml:space="preserve">104 BULLETIN NO. 49 OF DECEMBER 23, 2024  </w:t>
        <w:br/>
        <w:t xml:space="preserve">76. On the other hand, Swisscom emphasizes that some of the interveners have also recognized this factual situation, namely the complexity, material costs, and delays associated with transferring lines from one wholesale operator to another. It has indeed been stated that the transition from one wholesale operator to another is not immediate but requires time (for development activities and completion of migration) and involves significant costs (setup costs for system development and customer base migration burdens). It has therefore been acknowledged that changing a supplier represents a very important and complex project that would require creating and managing new technological interfaces at the new supplier and modifying various internal logistical processes, incurring significant fixed costs.  </w:t>
        <w:br/>
        <w:t xml:space="preserve">77. Regarding the concern raised about the risk that the New Entity decides to preclude the contestability of the demand for Vodafone's wholesale accesses to Open Fiber by transferring at least part of the Vodafone lines to the FiberCop network, Swisscom has highlighted that the existing service contract with FiberCop (i.e., the Fastweb MSA) provides for defined ceilings in terms of offering capacity, i.e., a maximum number of lines that can be activated, under the application of the most advantageous economic conditions, which Fastweb itself - even taking into account the flexibility margins provided for their definition - will saturate with its own needs, [omitted] as shown in the table below.  </w:t>
        <w:br/>
        <w:t xml:space="preserve">Table 4: Indication of Fastweb's purchase forecasts for passive accesses within the Fastweb/FiberCop MSA  </w:t>
        <w:br/>
        <w:t xml:space="preserve">[omitted]  </w:t>
        <w:br/>
        <w:t xml:space="preserve">78. In this scenario, with Fastweb losing the possibility of sourcing from FiberCop under the access conditions provided in the Fastweb MSA, there would be no incentive to carry out the feared transfer of lines.  </w:t>
        <w:br/>
        <w:t xml:space="preserve">VI.4 Assessments  </w:t>
        <w:br/>
        <w:t xml:space="preserve">a) The Relevant Market  </w:t>
        <w:br/>
        <w:t xml:space="preserve">79. In its previous decisions, the Authority has considered that the market for wholesale access services to the fixed network includes all services that allow telecommunications operators to provide services to end customers through access to the local fixed broadband and ultra-broadband network - regardless of their nature (active or passive) and the technology used - and that, from a geographical point of view, has national scope76.  </w:t>
        <w:br/>
        <w:t xml:space="preserve">80. In this regard, the investigation carried out has highlighted that operators offering retail telecommunications services on fixed networks purchase a combination of different types of access services, although with variable parameters from operator to operator. This choice, which in any case is conditioned by the level of technological development achieved, appears to be guided by the preferences of operators in terms of technology and degree of infrastructure. There are indeed operators (typically new entrants) who have chosen to offer only fiber optic services, which can only reach end customers located in areas covered by FTTH;  </w:t>
        <w:br/>
        <w:t>76 Cf., lastly, C12620 - WIND3/BRIGHTCO, decision no. 31205 of May 21, 2024.</w:t>
      </w:r>
    </w:p>
    <w:p>
      <w:r>
        <w:rPr>
          <w:b/>
        </w:rPr>
        <w:t>[Pages 103–105]</w:t>
      </w:r>
    </w:p>
    <w:p>
      <w:r>
        <w:t xml:space="preserve">BULLETIN NO. 49 OF DECEMBER 23, 2024 105  </w:t>
        <w:br/>
        <w:t xml:space="preserve">Conversely, for operators who have chosen to achieve national coverage by also offering FTTC services, the two technologies have, on the one hand, a complementary role, to the extent that FTTH is still not available in large areas of the country, and, on the other hand, a relationship of substitutability in areas of co-presence.  </w:t>
        <w:br/>
        <w:t xml:space="preserve">81. Regarding the substitutability process between the two technologies, the evidence on record indicates that the vast majority of end consumers do not have strong preferences regarding the technologies, which ultimately appear largely fungible, but rather base their choices primarily on the price of the final offer: telecommunications operators, in fact, are unable to set higher prices for ultra-broadband services compared to those currently in place for broadband connectivity offers; thus, in general, they tend to offer the best available connection technology for each user, leaving no room for price discrimination policies between different fixed connection technologies.  </w:t>
        <w:br/>
        <w:t xml:space="preserve">82. The ongoing substitution process between the technologies thus appears to be driven by the trajectory of technological evolution, which currently seems to configure a phase of transitional coexistence between the different network architectures, while the breaking point in the substitution chain still seems to be far off. In this regard, it is noted that something similar has already occurred in the past between narrowband connections and broadband connections, with the former being supplanted by the latter only after a period of coexistence during which, certainly for a significant part of the demand, the two technologies were to some extent substitutable.  </w:t>
        <w:br/>
        <w:t xml:space="preserve">83. According to data from the AGCOM communications observatory from March 2024, it appears that from March 2020 to March 2024, copper or FTTC accesses have decreased, going from comprising 85% of the total active fixed network accesses in Italy to 65%. However, the reduction is largely attributable to the transition of lines from copper connections (the old ADSL) to FTTC connections. The latter, in fact, increased from 41.4% of active connections in March 2020 to 48% in March 2024; during the same period, copper connections decreased from 44% to approximately 17%. At the same time, there has also been a strong growth dynamic for FTTH lines, which increased from 7% in March 2020 to 24% in March 202477. It is also noteworthy that, from December 2023 to March 2024, there was for the first time a reduction in fixed FTTC connections.  </w:t>
        <w:br/>
        <w:t xml:space="preserve">84. Regarding the nature of the services, as previously stated78, it is believed that both passive and active access services are included in the same and unique market for wholesale access to the fixed network. In fact, if an increase in the price of the active service is hypothesized, operators purchasing it would not be able to easily substitute it with a passive access service that provides comparable performance in the short term. These operators would need to invest in additional proprietary infrastructure beforehand.  </w:t>
        <w:br/>
        <w:t xml:space="preserve">85. Conversely, if there were an increase in the price of physical access services, operators purchasing them might find it advantageous to substitute them with virtual access services. In fact, on the one hand, customer-operators would incur a significant loss due to the inability to recover the fixed costs associated with the purchase of passive services (related, for example, to the network equipment necessary to "activate" the physical carriers rented with the purchase of physical access services). On the other hand, however, such operators could continue to serve the end customer in a short time by switching to virtual access services.  </w:t>
        <w:br/>
        <w:t xml:space="preserve">86. In general, an operator may need to purchase virtual services in some areas (for example, outside urban areas) where it has not invested in building a proprietary network, while it may choose to request a physical access service in areas where it is more infrastructured. In this sense, therefore, it is believed that, certainly from the demand side, passive and active access services fall within the same market, as there is a relationship of complementarity between them.  </w:t>
        <w:br/>
        <w:t xml:space="preserve">87. In any case, for the purposes of evaluating this operation, the exact definition of the market from a product perspective can be left open, since the concentration between Fastweb and Vodafone does not produce horizontal effects either in the broader market, extended to all wholesale access services to the fixed network, or in the market limited to FTTH access services alone. On the other hand, the vertical effects of the operation are already analyzed with particular regard to fiber optic access services, which are the subject of the vertical relationships extensively analyzed in the next paragraph.  </w:t>
        <w:br/>
        <w:t xml:space="preserve">88. Also from a product perspective, it is noted that for the purposes of evaluating the operation, the distinct market for wholesale access services to the fixed network with dedicated capacity79 is also relevant: these are services typically requested by business customers and the Public Administration, which have specific costs, prices, and usage modalities, excluding their substitutability with access services usable for residential end customers, which generally provide shared network capacity.  </w:t>
        <w:br/>
        <w:t xml:space="preserve">89. Certainly, for a business customer who needs a stable and reliable connection, a backend service of dedicated capacity access is not substitutable by a connection based on a shared network capacity service. Similarly, for a residential customer using a shared capacity connection, a dedicated capacity connection would be an excessively costly substitute with redundant performance capabilities for the user's needs.  </w:t>
        <w:br/>
        <w:t xml:space="preserve">90. Even from a geographical perspective, it is believed that the definition of the market can be left open, since the elements related to peculiar aspects of competitive dynamics in certain sub-national territorial areas, as mentioned by FiberCop, are not relevant for the purposes of evaluating this operation, also considering that the Remedies proposed by Swisscom concern the offer, by Fastweb, of access services on a national basis.  </w:t>
        <w:br/>
        <w:t xml:space="preserve">b) Assessments  </w:t>
        <w:br/>
        <w:t xml:space="preserve">91. In both relevant markets, therefore both for access services intended for residential customers and for dedicated capacity services, Fastweb holds a significant competitive position, but does not play a leadership role. This position can be attributed to the investment policy that Fastweb has implemented over the years to equip itself with fixed network infrastructures, primarily through the acquisition of "activated" passive access services with its own logical architectural solutions and devices, which have over time granted it a considerable degree of infrastructural freedom compared to its competitors in the downstream markets.  </w:t>
        <w:br/>
        <w:t xml:space="preserve">92. It should be noted that Fastweb's role as a provider of access services is of primary importance for competition in the market, as recognized by the European Commission, which in the context of the evaluation of the KKR/NetCo operation qualified this operator as a maverick80. Especially with regard to FTTH accesses, which in the future could play the role of the most widespread fixed connectivity solution in the market, Fastweb's offer appears relevant. From the available data, it appears that in 2022 approximately [10-15]% of the value of active FTTH access services was generated by Fastweb sales, a share higher than that of the historical incumbent FiberCop, which indeed stops at [10-15]%81. Since some new entrants have chosen to offer exclusively FTTH connectivity services, the presence of a competitive offer of FTTH access services certainly seems conducive to supporting a virtuous competitive dynamic even after the completion of the concentration operation.  </w:t>
        <w:br/>
        <w:t xml:space="preserve">93. In this way, Fastweb has become the first alternative operator to FiberCop and Open Fiber capable of competing in the access services markets. The investigation revealed that Fastweb's offer of active bitstream access services is enjoying considerable commercial success and is considered very important for the competitive balance of the retail fixed telephony market for residential customers.  </w:t>
        <w:br/>
        <w:t xml:space="preserve">94. That said, it is important to highlight that, considering the presence of two main competitors (FiberCop and Open Fiber), which together account for [90-95]% of the offer82, Fastweb's position in the market under examination cannot currently be qualified as dominant, also taking into account the vertical integration that the operator presents in the retail markets. In this sense, the comparison made by TIM between the market position that Fastweb will hold downstream of this operation and that held by TIM prior to the sale of network assets to KKR is entirely irrelevant: the latter, in fact, long held a monopoly on the offer of wholesale access services, only recently encountering the competitive constraint of Open Fiber, which, although progressively more incisive, long left the operator's dominant position unchanged83.  </w:t>
        <w:br/>
        <w:t xml:space="preserve">95. This situation is in no way altered by the concentration under examination, which - considering that Vodafone is not active in the offer of wholesale access services - does not produce horizontal overlaps in this market.  </w:t>
        <w:br/>
        <w:t xml:space="preserve">96. The only competitive considerations specifically attributable to the concentration operation relate to any vertical effects, since, in the three downstream markets (see below), Fastweb's market share increases due to the internalization of Vodafone's customers.  </w:t>
        <w:br/>
        <w:t xml:space="preserve">97. In this last aspect, as already reported, two profiles of possible criticalities for the protection of competition emerged during the investigation: a) Fastweb might consider that it no longer has the space or incentive to offer wholesale access services to third parties, as it might have an incentive to  </w:t>
        <w:br/>
        <w:t xml:space="preserve">80 See M.11386 KKR / NETCO, cited, point 169.  </w:t>
        <w:br/>
        <w:t xml:space="preserve">81 Source: elaborations on AGCOM data.  </w:t>
        <w:br/>
        <w:t xml:space="preserve">82 See the initiation provision of the investigation, No. 31320 of September 10, 2024.  </w:t>
        <w:br/>
        <w:t>83 See I857 TIM-DAZN Agreement Serie A 2021/2024, provision No. 30699 of June 30, 2023.</w:t>
      </w:r>
    </w:p>
    <w:p>
      <w:r>
        <w:rPr>
          <w:b/>
        </w:rPr>
        <w:t>[Pages 106–108]</w:t>
      </w:r>
    </w:p>
    <w:p>
      <w:r>
        <w:t xml:space="preserve">108 BULLETIN NO. 49 OF DECEMBER 23, 2024  </w:t>
        <w:br/>
        <w:t xml:space="preserve">to exclusively favor its own retail divisions; b) Fastweb could engage in conduct likely to produce a foreclosure effect against Open Fiber regarding the demand for access services from Vodafone. In this sense, the feared risk that Fastweb, following the operation, may migrate the demand for Vodafone's wholesale access services from Open Fiber to FiberCop comes into play.  </w:t>
        <w:br/>
        <w:t xml:space="preserve">98. Both concerns must be deemed unfounded in light of the elements that have emerged during this investigation, as well as the Remedies proposed by Swisscom (illustrated in Section X of this provision). In particular, the latter, to the extent that they foresee an obligation on Fastweb to (continue to) offer access services, both for business customers and for residential customers, appear suitable to overcome the first critical issue.  </w:t>
        <w:br/>
        <w:t xml:space="preserve">99. Regarding the vertical critical issue, particularly raised by Open Fiber, concerning the possibility that Fastweb, following the operation, makes decisions regarding the purchase of wholesale services likely to produce a foreclosure effect against Open Fiber itself, it is preliminarily noted that only the effects specifically attributable to the operation in question are relevant here, given the widespread presence in the market of contracts binding buyers and sellers for a long period of time.  </w:t>
        <w:br/>
        <w:t xml:space="preserve">100. In this perspective, therefore, the concern expressed by Open Fiber regarding the choices, in terms of access services, that the new operator will make in relation to the new customer base, whose contestability conditions do not appear in any way modified by the operation in question, seems irrelevant.  </w:t>
        <w:br/>
        <w:t xml:space="preserve">101. Regarding the feared migration of Vodafone users currently served by Open Fiber, it is first important to consider that the existing partnership agreement between Vodafone and Open Fiber binds the former [omissis], with the consequence that any potential shift of Vodafone lines currently served by Open Fiber under this contract to the FiberCop network would constitute an unequivocal violation.  </w:t>
        <w:br/>
        <w:t xml:space="preserve">102. Furthermore, according to what has been indicated not only by the Parties but also by other operators heard in the hearing84, the migration of customers from one wholesale provider to another is disincentivized by the complexity of the process, as well as by the time, costs, and risks, in terms of customer loss, that it entails. Specifically regarding Fastweb, since it bases its infrastructure coverage primarily on the purchase of passive network resources from FiberCop, it seems reasonable to believe that the migration of Vodafone lines currently activated on the Open Fiber network would involve, certainly in the short term, significant costs to close the old lines, dismantle the interconnection equipment with the Open Fiber network, and replace them with new equipment that allows interconnection with the FiberCop network, to cite just a few of the necessary steps. Above all, this activity would entail a risk of customer loss as it would require activities at the user premises, likely causing service disruptions that, in addition to incurring additional costs, would pose the risk of alienating the already acquired customer and prompting them to switch operators.  </w:t>
        <w:br/>
        <w:t xml:space="preserve">103. In any case, the total migration of Vodafone's current customer base to the FiberCop network, in addition to encountering an obstacle in the incomplete overlap between the networks of the two wholesale operators, would represent a divergent choice from industry practice, in which every retail operator, while having a priority partnership agreement with a wholesale provider, nonetheless sources from competitors for reasons of economic convenience (as well as territorial coverage).  </w:t>
        <w:br/>
        <w:t xml:space="preserve">104. Also regarding the potential competitive distortions that, according to what has been represented by Open Fiber and FiberCop, may arise from the conditions under which Fastweb procures passive wholesale services from FiberCop under the Fastweb MSA, it is reiterated that this agreement, dating back to the 2020 co-investment project, predates the operation by a significant margin and reflects the principle of risk-sharing typical of a co-investment agreement; it is emphasized that only the effects specifically attributable to the operation in question are relevant here.  </w:t>
        <w:br/>
        <w:t xml:space="preserve">105. In this perspective, what matters is Fastweb's ability to procure, under the Fastweb MSA, passive wholesale services aimed at meeting the access needs expressed by Vodafone lines and potentially the effects of such an initiative.  </w:t>
        <w:br/>
        <w:t xml:space="preserve">106. In this regard, the response provided by Swisscom to a specific request for information directed to it during the investigation, aimed at quantifying Fastweb's projected purchases of passive accesses under the MSA with FiberCop (distinctly for self-production and resale to third parties at wholesale) over the next 5 years, is noteworthy. The data provided indicate that Fastweb, with its needs, will reach [omissis] the contractual fill thresholds provided for in the MSA. The Party also represented that any exceeding of these thresholds, due to the migration of Vodafone's customer base, would further accelerate the achievement of the line thresholds beyond which [omissis]. Based on these elements, it is believed that the operation in question is unlikely to produce effects on the wholesale services market due to the existence of the pre-existing supply agreement between Fastweb and FiberCop.  </w:t>
        <w:br/>
        <w:t xml:space="preserve">107. To the findings presented, regarding the actual improbability of transferring Vodafone lines from the Open Fiber network to the FiberCop network, general considerations must be added regarding the competitive effects that could be generated by such an eventuality. Even in the market context examined, characterized, as mentioned, by the widespread presence of long-term partnership contracts, the choice of an operator to turn to the supplier it deems most convenient for the purchase of its productive inputs – in the absence of proprietary vertical relationships that could abstractly justify concerns, for example, of foreclosure and which in this case present entirely circumscribed proportions – is more properly attributable to a typically competitive dynamic rather than to restrictions directly arising from the concentration operation. Consequently, any repercussions on the market shares held by suppliers active in the upstream market would be attributable to the free play of competition and not to a restriction thereof.  </w:t>
        <w:br/>
        <w:t>108. In conclusion, therefore, the investigation conducted has allowed for the dispelling of the concerns expressed in the initiation provision regarding the repercussions of the operation in the wholesale access services market and, therefore, it is not deemed necessary to include among the measures to which the authorization of this operation is subject a specific remedy aimed at preventing the migration of Vodafone lines from the Open Fiber network to the FiberCop network, nor any other possible measures.</w:t>
      </w:r>
    </w:p>
    <w:p>
      <w:r>
        <w:t xml:space="preserve">109. For all the reasons outlined above, it is therefore believed that the operation in question does not significantly hinder effective competition in the wholesale access services market, pursuant to Article 6, paragraph 1, of Law No. 287/1990, and does not entail the establishment or strengthening of a dominant position.  </w:t>
        <w:br/>
        <w:t xml:space="preserve">VII. THE MARKET FOR FIXED NETWORK RETAIL SERVICES FOR RESIDENTIAL CUSTOMERS  </w:t>
        <w:br/>
        <w:t xml:space="preserve">VII.1 The Investigation Findings  </w:t>
        <w:br/>
        <w:t xml:space="preserve">The Market Size  </w:t>
        <w:br/>
        <w:t xml:space="preserve">110. The market for fixed network telecommunications retail services for residential customers is part of a sector, that of fixed telecommunications services, which generated over 16 billion euros in revenue during 2023, an increase of 4.4% compared to the previous year, but a contraction compared to 2019 (-1%).  </w:t>
        <w:br/>
        <w:t xml:space="preserve">111. This is a predominantly saturated sector85, as confirmed by the substantial stability of the number of active lines - particularly since the second quarter of 2020 after a slight decline recorded in the pre-COVID period - which is documented by AGCOM data. As shown in the following figure, in fact, the total number of lines stood at 20.18 million lines in the last quarter of 2023, a value that has remained substantially unchanged over the last 5 years (-2%). Also for residential users, there is an almost constant size of the customer base, despite a slight growth trend.  </w:t>
        <w:br/>
        <w:t>85 Cf. Sky hearing minutes of September 25, 2024 (doc. 67).</w:t>
      </w:r>
    </w:p>
    <w:p>
      <w:r>
        <w:rPr>
          <w:b/>
        </w:rPr>
        <w:t>[Pages 109–111]</w:t>
      </w:r>
    </w:p>
    <w:p>
      <w:r>
        <w:t xml:space="preserve">BULLETIN NO. 49 OF DECEMBER 23, 2024 111  </w:t>
        <w:br/>
        <w:t xml:space="preserve">Figure 2: Evolution of the number of total and residential lines (million lines)  </w:t>
        <w:br/>
        <w:t xml:space="preserve">Source: AGCM elaborations on AGCOM data, drawn from the Quarterly Observatories on Communications  </w:t>
        <w:br/>
        <w:t xml:space="preserve">Barriers to entry and expansion of new operators  </w:t>
        <w:br/>
        <w:t xml:space="preserve">112. Retail fixed-line telecommunications services can be offered through the use of proprietary networks and/or the purchase of wholesale services of various kinds.  </w:t>
        <w:br/>
        <w:t xml:space="preserve">113. The establishment of proprietary "end-to-end" networks requires significant irrecoverable investments, which do not appear economically sustainable for potential new entrants. Besides the former monopolist, which has recently decided to spin off its fixed network86 (the only one complete with the secondary component widely distributed throughout the national territory), the other operators that have previously made infrastructure investments are Vodafone and WindTre, which have proprietary infrastructure up to the FiberCop exchanges, and Fastweb, which has a portion of FTTH network, although with a limited coverage degree. Fastweb, therefore, is currently the operator with the highest degree of integration. Iliad also features a certain level of infrastructure, as it purchases [omitted] passive access services that it configures itself for the offering of retail services, but at the moment this provision, being limited to FTTH connections, has a coverage restricted to a portion of the population [omitted]87.  </w:t>
        <w:br/>
        <w:t xml:space="preserve">114. Although it is possible to provide retail fixed-line telecommunications services also through the purchase of wholesale services, both "active" and "passive"88, as demonstrated by the recent entry of non-infrastructured operators (such as Poste and Sky) or only partially infrastructured (Iliad), the competitive potential that these latter can express is inevitably conditioned by the procurement possibilities in the upstream market and the related conditions. In this perspective, some operators (Sky89, Poste90) have highlighted the difficulties associated with the negotiation processes held with the suppliers of wholesale access services. In particular, according to Sky, these barriers are linked "to the costs of purchasing the wholesale service in relation to retail prices." For Poste, the critical elements arise from negotiating the economic conditions with the suppliers of wholesale access services. Furthermore, the search for improved economic conditions with wholesale operators to compete effectively downstream is conditioned by the presence of certain costs associated with replacing or adding a new wholesale service provider. According to Poste, these are costs related, for example, to managing new technological interfaces, modifying internal logistical processes, and creating new supply chains.  </w:t>
        <w:br/>
        <w:t xml:space="preserve">115. Recent market entry experiences also indicate that an important barrier to entry is represented by the availability of a strong and well-known brand among users, which Iliad, Sky, Poste, and Enel had due to their establishment in other markets, more or less adjacent to the fixed communications market. Nonetheless, obstacles to achieving an adequate scale, in terms of customer base, have been highlighted for new entrants.  </w:t>
        <w:br/>
        <w:t xml:space="preserve">116. The presence of obstacles to the development of their customer base, according to Iliad, is also evidenced by the slow growth dynamics recorded by new operators, which demonstrate a limited capacity to exert competitive pressure on the market91.  </w:t>
        <w:br/>
        <w:t xml:space="preserve">Demand Mobility  </w:t>
        <w:br/>
        <w:t xml:space="preserve">117. The residential customer market is characterized by low demand mobility. The churn rate of the market between 2020 and 2023 can be estimated at around [10-15]%92, an order of magnitude that indicates a low propensity of users to change their provider.  </w:t>
        <w:br/>
        <w:t xml:space="preserve">87 Cf. doc. 103.  </w:t>
        <w:br/>
        <w:t xml:space="preserve">88 The passive service is characterized by the fact that the network to which access is provided does not include active equipment. The operator obtaining access must therefore install, power, and manage its own equipment before being able to offer services and connectivity to end customers. Conversely, active wholesale access implies the presence of active equipment on the network to which access is provided, which means that the wholesale operator maintains control over both the network and the equipment.  </w:t>
        <w:br/>
        <w:t xml:space="preserve">89 Cf. hearing minutes of September 25, 2024 (doc. 67).  </w:t>
        <w:br/>
        <w:t xml:space="preserve">90 Cf. hearing minutes of September 27, 2024 (doc. 82).  </w:t>
        <w:br/>
        <w:t xml:space="preserve">91 Cf. hearing minutes of Iliad of October 1, 2024 (doc. 73).  </w:t>
        <w:br/>
        <w:t>92 This estimate arises from the following calculation. The gross adds of the market in question for a certain year were subtracted from the change in the number of residential lines from one year to the previous one to obtain a proxy for the number of customers that have been acquired by operators (and conversely have exited from others). This number was then related to the stock of residential lines for each year (AGCOM data, from Quarterly Observatories).</w:t>
      </w:r>
    </w:p>
    <w:p>
      <w:r>
        <w:t xml:space="preserve">BULLETIN NO. 49 OF DECEMBER 23, 2024 113  </w:t>
        <w:br/>
        <w:t xml:space="preserve">118. Market operators have also confirmed that demand in the examined market exhibits elements of stickiness for both technical and economic reasons. From a technical perspective, there is a certain degree of burden and complexity in the migration procedures93, as they require the physical intervention of the designated system company, as well as, in the case of a technological upgrade, some preparatory activities to set up the home for the new line (wiring). The presence of greater difficulties in the migration process also entails a risk of service disruption that disincentivizes customers from changing operators, as indicated by a survey commissioned by Iliad94.  </w:t>
        <w:br/>
        <w:t xml:space="preserve">119. From an economic perspective, moreover, according to this operator, the offers of the main suppliers aimed at facilitating the "internal" transition of their customers from less advanced technologies to FTTH contribute to reducing the mobility rate of users95.  </w:t>
        <w:br/>
        <w:t xml:space="preserve">120. Finally, even the contractual conditions set by operators are likely to create switching costs for customers, generating a lock-in effect that makes part of the demand non-contestable96, also extending the average duration of contracts97.  </w:t>
        <w:br/>
        <w:t xml:space="preserve">121. According to some interveners (Sky98 and FiberCop99), customers who are less contestable in the downstream markets are those served with FTTH technology, as they already have the best technology offered on the market. FTTH customers indeed present [omitted] even compared to customers served on FTTC lines100. At the same time, it has been noted that the technological transition from FTTC to FTTH represents a phase in which "the customer base is more contestable, with various retail operators competing to offer FTTH contracts to their customers"101. In other words, a customer base connected with the less advanced FTTC technology is more easily targeted by competitors through FTTH offers.  </w:t>
        <w:br/>
        <w:t xml:space="preserve">Characteristics of Offers  </w:t>
        <w:br/>
        <w:t xml:space="preserve">Uniformity of Offers at Geographic and Technological Level  </w:t>
        <w:br/>
        <w:t xml:space="preserve">122. During the investigation, most operators confirmed that the pricing policies practiced in the examined market are uniform across the national territory and do not depend on the technology used, despite the different spread of fiber networks in the territory, and thus, the different availability of more advanced connectivity services.  </w:t>
        <w:br/>
        <w:t xml:space="preserve">123. In particular, it emerged that the offers are defined by the main operators in a homogeneous manner across the national territory, both regarding list prices and any promotional campaigns.  </w:t>
        <w:br/>
        <w:t xml:space="preserve">93 Cf. information received from Iliad on October 11, 2024 (doc. 100).  </w:t>
        <w:br/>
        <w:t xml:space="preserve">94 Cf. hearing minutes of Iliad of October 1, 2024 (doc. 73).  </w:t>
        <w:br/>
        <w:t xml:space="preserve">95 Cf. information received from Iliad on October 11 (doc. 100).  </w:t>
        <w:br/>
        <w:t xml:space="preserve">96 For example, in the event of a customer's exit from the contractual relationship, some operators apply prorated activation costs and/or device return fees if the right of withdrawal is exercised before a certain date.  </w:t>
        <w:br/>
        <w:t xml:space="preserve">97 In particular, according to some estimates made internally by the Parties, the expected average duration for the activation of new lines seems to be around [omitted]. Cf. response to the request for information to the Parties of October 4, doc. 66.  </w:t>
        <w:br/>
        <w:t xml:space="preserve">98 Cf. hearing minutes of September 25, 2024 (doc. 67).  </w:t>
        <w:br/>
        <w:t xml:space="preserve">99 Cf. hearing minutes of September 30, 2024 (doc. 69).  </w:t>
        <w:br/>
        <w:t xml:space="preserve">100 Cf. hearing minutes of Sky of September 25, 2024 (doc. 67).  </w:t>
        <w:br/>
        <w:t>101 Cf. information received from FiberCop on October 16, 2024 (doc. 104).</w:t>
      </w:r>
    </w:p>
    <w:p>
      <w:r>
        <w:rPr>
          <w:b/>
        </w:rPr>
        <w:t>[Pages 112–114]</w:t>
      </w:r>
    </w:p>
    <w:p>
      <w:r>
        <w:t xml:space="preserve">114 BULLETIN NO. 49 OF DECEMBER 23, 2024  </w:t>
        <w:br/>
        <w:t xml:space="preserve">promotional offers that are launched on the market. In this regard, Sky102 noted that the Italian market differs from other countries, such as the United Kingdom, where differentiated offers are observed based on geography, also due to a disparate technological coverage of various areas. According to one operator (WindTre), it can happen that offers may only concern certain geographical areas, but this occurs under specific circumstances, such as the transition of technology “(...) from FTTH or FWA technology for the closure of FiberCop exchanges”103.  </w:t>
        <w:br/>
        <w:t xml:space="preserve">124. FiberCop noted that a potential different penetration of retail offers across the national territory could result from targeted actions undertaken by the sales force aimed at channeling promotional offers into areas where operators intend to enter and acquire new customers104.  </w:t>
        <w:br/>
        <w:t xml:space="preserve">125. Despite the various available technologies allowing for a form of “vertical” differentiation of the service offered, all the operators consulted stated that they do not apply differentiated prices based on the technology used for each connection, except for FWA, a segment that is generally reserved for an offer with different economic conditions.  </w:t>
        <w:br/>
        <w:t xml:space="preserve">Main Competitive Parameters  </w:t>
        <w:br/>
        <w:t xml:space="preserve">126. As highlighted by the Commission in some of its previous decisions, fixed network telecommunications services are perceived by consumers as substantially homogeneous and, consequently, the main competitive variable is represented by price105. The market operators consulted on this point confirmed this aspect106.  </w:t>
        <w:br/>
        <w:t xml:space="preserve">127. Other variables on which competition focuses are the quality of services and the breadth of the portfolio of offers, which often include a combination of fixed and mobile telecommunications services (so-called converging offers), and may also include subscription services for audiovisual content, as well as various services (for example, insurance services or energy supply services)107.  </w:t>
        <w:br/>
        <w:t xml:space="preserve">128. From the outcome of an internally commissioned survey by Fastweb, it emerges that factors other than price that are relevant in consumers' purchasing choices are mainly related to profiles of transparency of contractual conditions (e.g. absence of hidden costs), quality/continuity of service in terms of line reliability, wide availability of offers, and availability of converging fixed-mobile offers. In any case, price remains the most important competitive variable.  </w:t>
        <w:br/>
        <w:t xml:space="preserve">Figure 3: Main Choice Factors in Selecting a Provider  </w:t>
        <w:br/>
        <w:t xml:space="preserve">[omissis]  </w:t>
        <w:br/>
        <w:t xml:space="preserve">102 Cf. Sky hearing minutes of September 25, 2024 (doc. 67).  </w:t>
        <w:br/>
        <w:t xml:space="preserve">103 Cf. WindTre hearing minutes of September 19, 2024 (doc. 50).  </w:t>
        <w:br/>
        <w:t xml:space="preserve">104 Cf. hearing minutes of September 30, 2024 (doc. 69).  </w:t>
        <w:br/>
        <w:t xml:space="preserve">105 Cf. inter alia, case M.8864 – VODAFONE/CERTAIN LIBERTY GLOBAL ASSETS, of July 18, 2019, page 87.  </w:t>
        <w:br/>
        <w:t xml:space="preserve">106 Cf. Sky hearing minutes of September 25, 2024 (doc. 67) and Poste hearing minutes of September 27, 2024 (doc. 82).  </w:t>
        <w:br/>
        <w:t>107 Cf. Poste hearing minutes of September 27, 2024 (doc. 82).</w:t>
      </w:r>
    </w:p>
    <w:p>
      <w:r>
        <w:t xml:space="preserve">BULLETIN NO. 49 OF DECEMBER 23, 2024 115  </w:t>
        <w:br/>
        <w:t xml:space="preserve">129. Lastly, it is worth noting that, in light of the ongoing technological developments – highlighted in the previous section – in the future, it will be increasingly important for operators to have the capacity to offer FTTH services.  </w:t>
        <w:br/>
        <w:t xml:space="preserve">Converging Fixed-Mobile Offers  </w:t>
        <w:br/>
        <w:t xml:space="preserve">130. The market under examination appears to be characterized by a growing interest from consumers towards offers that allow for the combination of fixed connectivity services with mobile connectivity services. In fact, as shown in the following table, the proportion of residential customers of fixed network services who also purchase mobile telephony services from the same operator is, for three of the four main market operators, significant, always exceeding 40% throughout the entire period considered. Furthermore, this incidence appears to be increasing for all three operators.  </w:t>
        <w:br/>
        <w:t xml:space="preserve">Table 5: Proportion of Residential Customers on Fixed Network Who Also Purchase Mobile Services  </w:t>
        <w:br/>
        <w:t xml:space="preserve">Operators 2021 2022 2023  </w:t>
        <w:br/>
        <w:t xml:space="preserve">TIM [40-45]% [40-45]% [45-50]%  </w:t>
        <w:br/>
        <w:t xml:space="preserve">Vodafone [55-60]% [55-60]% [55-60]%  </w:t>
        <w:br/>
        <w:t xml:space="preserve">Fastweb [35-40]% [40-45]% [40-45]%  </w:t>
        <w:br/>
        <w:t xml:space="preserve">Source: data provided by the Parties and by TIM  </w:t>
        <w:br/>
        <w:t xml:space="preserve">131. The importance of converging offers is also evident from an internal document from Fastweb, which highlights how such types of offers tend to reduce customer churn and allow for growth in the customer base. In particular, [omissis].  </w:t>
        <w:br/>
        <w:t xml:space="preserve">Figure 4: Role of Converging Offers  </w:t>
        <w:br/>
        <w:t xml:space="preserve">[omissis]  </w:t>
        <w:br/>
        <w:t xml:space="preserve">132. This evidence is also confirmed by most market operators, who believe that such offers present certain advantages in terms of customer loyalty. For this reason, operators generally propose both ad-hoc offers that include both fixed and mobile services, as well as offers that integrate mobile services with the fixed service already used by their customers. Sky, for example, believes that “converging fixed-mobile offers represent a competitive advantage in terms of increased revenue flows and customer loyalty. For this reason, starting from February 2024, Sky is active (…) through a co-branding activity together with Fastweb, which provides the mobile network service to the end customer”108. Thus, in the future, such offers are destined to play an important role.  </w:t>
        <w:br/>
        <w:t xml:space="preserve">133. According to Iliad, fixed-mobile convergence tends to reduce the churn rate as it increases customer loyalty. Moreover, this latter would be more driven by fixed network customers who show a greater propensity to also add a mobile network connection to their fixed network connectivity provider contract. In Iliad's experience, in fact, [omissis] of its fixed network customers also purchase mobile network services109, while the possibility of dragging a consolidated customer base in mobile into the fixed network telecommunications services market appears to be much more limited. This position is also shared by Poste110, which, while recognizing the importance of converging offers (not only fixed-mobile) in the market, believes that this strategy [omissis].  </w:t>
        <w:br/>
        <w:t xml:space="preserve">134. Conversely, WindTre believes that the growth of this type of offer has proven to be [omissis], a reason that in any case has also prompted the company to include them in its commercial strategy111.  </w:t>
        <w:br/>
        <w:t xml:space="preserve">Joint Offers with Other Services  </w:t>
        <w:br/>
        <w:t xml:space="preserve">135. During the investigation, it emerged that it is common among operators to offer bundles that combine fixed network telecommunications services with other services in addition to mobile network services (e.g. audiovisual services, energy, insurance). In particular, TIM, Fastweb, and WindTre market this type of offers, providing either an ad-hoc offer, that is, the joint purchase of the fixed network service with additional services, or the possibility of purchasing these latter in addition to the former at a discounted price.  </w:t>
        <w:br/>
        <w:t xml:space="preserve">136. Such offers appear to be functional not only to increase the customer base but also to increase average monthly revenues and reduce customer churn, as emerges from the internal document of Fastweb (cf. Figure 4, supra). On this point, Sky has observed that, [omissis]112.  </w:t>
        <w:br/>
        <w:t xml:space="preserve">Comparison of Offers in Terms of Prices  </w:t>
        <w:br/>
        <w:t xml:space="preserve">137. Generally, operators do not propose only one offer to the market, an aspect that makes the comparability of their commercial policies complex. However, based on the information received from the Parties and other operators, as well as publicly available information, it is possible to draw some indications regarding their pricing strategies, summarized in the following table.  </w:t>
        <w:br/>
        <w:t xml:space="preserve">109 Cf. Iliad hearing minutes of October 1, 2024 (doc. 73).  </w:t>
        <w:br/>
        <w:t xml:space="preserve">110 Cf. Poste hearing minutes of September 27, 2024 (doc. 82).  </w:t>
        <w:br/>
        <w:t xml:space="preserve">111 Cf. WindTre hearing minutes of September 19, 2024 (doc. 50).  </w:t>
        <w:br/>
        <w:t>112 Cf. Sky hearing minutes of September 25, 2024 (doc. 67).</w:t>
      </w:r>
    </w:p>
    <w:p>
      <w:r>
        <w:rPr>
          <w:b/>
        </w:rPr>
        <w:t>[Pages 115–117]</w:t>
      </w:r>
    </w:p>
    <w:p>
      <w:r>
        <w:t xml:space="preserve">BULLETIN NO. 49 OF DECEMBER 23, 2024 117  </w:t>
        <w:br/>
        <w:t xml:space="preserve">Table 6: Prices currently offered by the main operators in the market  </w:t>
        <w:br/>
        <w:t xml:space="preserve">List Price Offers  </w:t>
        <w:br/>
        <w:t xml:space="preserve">Price Range Fixed service price if converging Notes on  </w:t>
        <w:br/>
        <w:t xml:space="preserve">Operator pre b z a z s o e li ( s * t ) i no c m an in a i l m e o w s e u b already m c o l b ie il n e t e (fixed and +) mobile co o n ff v e e r r t g e e  </w:t>
        <w:br/>
        <w:t xml:space="preserve">nti  </w:t>
        <w:br/>
        <w:t xml:space="preserve">(€/month) (€/month) (€/month) (€/month)  </w:t>
        <w:br/>
        <w:t xml:space="preserve">additional service  </w:t>
        <w:br/>
        <w:t xml:space="preserve">26.89 - mobile  </w:t>
        <w:br/>
        <w:t xml:space="preserve">TIM 24.9 - 34.9 24.9 (**) 24.9  </w:t>
        <w:br/>
        <w:t xml:space="preserve">44.89 for customers  </w:t>
        <w:br/>
        <w:t xml:space="preserve">on fixed network  </w:t>
        <w:br/>
        <w:t xml:space="preserve">offer  </w:t>
        <w:br/>
        <w:t xml:space="preserve">Fastweb 27.95 27.95 27.95 31.9  </w:t>
        <w:br/>
        <w:t xml:space="preserve">specific offer  </w:t>
        <w:br/>
        <w:t xml:space="preserve">Vodafone 27.9 - 34.9 23.9 22.9 34.9  </w:t>
        <w:br/>
        <w:t xml:space="preserve">specific offer  </w:t>
        <w:br/>
        <w:t xml:space="preserve">WindTre 27.99 24.99 22.9 33.98  </w:t>
        <w:br/>
        <w:t xml:space="preserve">specific offer  </w:t>
        <w:br/>
        <w:t xml:space="preserve">Sky 29.9 - 34.9 25.9  </w:t>
        <w:br/>
        <w:t xml:space="preserve">additional service  </w:t>
        <w:br/>
        <w:t xml:space="preserve">31.98 - mobile  </w:t>
        <w:br/>
        <w:t xml:space="preserve">Iliad 25.99 25.99 21.99-25.99  </w:t>
        <w:br/>
        <w:t xml:space="preserve">37.98 (***) for customers  </w:t>
        <w:br/>
        <w:t xml:space="preserve">on fixed network  </w:t>
        <w:br/>
        <w:t xml:space="preserve">Poste 23.9-31.9 23.9  </w:t>
        <w:br/>
        <w:t xml:space="preserve">(*) List price excludes activation/termination costs, temporary promotions, web offers. Offers that  </w:t>
        <w:br/>
        <w:t xml:space="preserve">do not include additional services other than connectivity or voice.  </w:t>
        <w:br/>
        <w:t xml:space="preserve">(**) Web offer does not include activation costs  </w:t>
        <w:br/>
        <w:t xml:space="preserve">(***) Prices depend on the mobile rate  </w:t>
        <w:br/>
        <w:t xml:space="preserve">Source: AGCM elaborations on information received from the Parties and publicly available information113  </w:t>
        <w:br/>
        <w:t xml:space="preserve">138. In general, smaller operators tend to offer more affordable tariff plans, with a limited number of offers (at most two), while traditional operators are positioned in a higher price range, both for basic and premium offers114, characterized by a commercial proposal that tends to be broader.  </w:t>
        <w:br/>
        <w:t xml:space="preserve">113 See https://www.sky.it/info/trasparenza-tariffaria, https://www.sky.it/sky-wifi-fibra, https://www.iliad.it/offerte-iliad-fibra.html, https://www.windtre.it/offerte-fibra/super-fibra-internet-a-casa, https://www.windtre.it/trasparenza-tariffaria, https://www.negozi.fastweb.it/it/offerte-fastweb-casa-light/, https://www.negozi.fastweb.it/it/offerta-fastweb-casa-light-e-mobile/, https://privati.vodafone.it/casa/fibra/lock-in, https://privati.vodafone.it/adv/landing-page/wifi-da-te-digital?ecmp=120102_SEM_GoogleAdWords_c-17936283349&amp;utm_source=GoogleAdWords&amp;utm_medium=SEM&amp;utm_campaign=17936283349&amp;utm_term=vodafone+offerte+casa&amp;gad_source=1&amp;gclid=Cj0KCQiA6Ou5BhCrARIsAPoTxrDCJviMWiCWqBpXHXF0mD0kynREx7-iKhbfPXg_tlbgG8gs6kxxxeYaApPREALw_wcB&amp;gclsrc=aw.ds&amp;adfcd=1731924662.47rXcbJW-kCGaxOr7RjwmA.MTAxNDE4NCwxMzU4NzQ4, https://privati.vodafone.it/mobile/telefonia-mobile/family-plus, https://www.vodafone.it/eshop/tariffe-e-prodotti/fibra-adsl-e-telefono/confronta-offerte.html, https://www.tim.it/fisso-e-mobile/fibra-e-adsl, https://www.tim.it/fisso-e-mobile/fibra-e-adsl/fibra-wifi-casa  </w:t>
        <w:br/>
        <w:t>114 The premium offers considered in the table exclude those bundled with additional services other than fixed connectivity and voice.</w:t>
      </w:r>
    </w:p>
    <w:p>
      <w:r>
        <w:t xml:space="preserve">118 BULLETIN NO. 49 OF DECEMBER 23, 2024  </w:t>
        <w:br/>
        <w:t xml:space="preserve">139. As emerges from the previous table, the list prices of traditional operators, including Fastweb and Vodafone, are very similar to each other, also considering the fact that they propose a quality of service in terms of performance/network speed that is absolutely comparable115. The prices of the lowest offer from Vodafone and that of Fastweb are almost aligned. TIM, on the other hand, currently presents a basic offer with a lower price and a premium offer in line with the offers of other traditional operators.  </w:t>
        <w:br/>
        <w:t xml:space="preserve">140. The prices of the converging fixed-mobile offers from Fastweb and Vodafone also show a certain degree of similarity. In this regard, another element of comparability of their converging offers relates to the offer model: the Parties, similarly to WindTre, propose a tailored bundled offer, which involves the joint purchase of both services, rather than promotions aimed at providing a discount on the subscription price (with the addition of the mobile service for users who are already customers on the fixed), as do other operators that offer converging offers.  </w:t>
        <w:br/>
        <w:t xml:space="preserve">141. A comparison of the average monthly revenues (ARPU) in the offer of services to residential customers - thus taking into account promotional campaigns and the degree of penetration of the various offers launched on the market - further confirms how the pricing strategies of both Parties are positioned in a mid-range to which WindTre's strategy is also attributable. From the next table, in fact, it emerges that Vodafone's ARPU, although lower than that of Fastweb, is comparable to that of the latter, as well as to the ARPU of WindTre, although the latter is positioned at a slightly lower level. In recent years, the ARPU of these operators appears to be more distant from both the historical market operator TIM and from smaller operators, which adopt more aggressive pricing policies.  </w:t>
        <w:br/>
        <w:t xml:space="preserve">Table 7: Average monthly ARPU of the main operators in the market (values in euros)  </w:t>
        <w:br/>
        <w:t xml:space="preserve">Operators 2021 2022 2023  </w:t>
        <w:br/>
        <w:t xml:space="preserve">TIM [30 - 35] [25 – 30] [25 – 30]  </w:t>
        <w:br/>
        <w:t xml:space="preserve">Fastweb [20 - 25] [20 - 25] [20 - 25]  </w:t>
        <w:br/>
        <w:t xml:space="preserve">Vodafone (*) [20 - 25] [20 - 25] [20 - 25]  </w:t>
        <w:br/>
        <w:t xml:space="preserve">WindTre [20 - 25] [20 - 25] [20 - 25]  </w:t>
        <w:br/>
        <w:t xml:space="preserve">Sky [15 - 20] [15 - 20] [20 - 25]  </w:t>
        <w:br/>
        <w:t xml:space="preserve">Iliad [10 - 15] [15 - 20]  </w:t>
        <w:br/>
        <w:t xml:space="preserve">Poste [20 - 25] [15 - 20]  </w:t>
        <w:br/>
        <w:t xml:space="preserve">(*): some anomalous values attributed by the Party to accounting adjustments have been excluded  </w:t>
        <w:br/>
        <w:t xml:space="preserve">Source: AGCM elaborations on data provided by the operators  </w:t>
        <w:br/>
        <w:t xml:space="preserve">142. A similar reconstruction also emerges from internal documents of Fastweb: in particular, an analysis of the historical trend of the price positioning of operators (for connectivity service and pay-as-you-go voice service) shows that in the period 2022 - 2023 there is a substantial alignment of the standard offers – i.e. excluding offers activated online – of Vodafone, Fastweb, and WindTre. The offer of this group of operators is instead distanced from that of the historical operator and from those of other smaller operators.  </w:t>
        <w:br/>
        <w:t xml:space="preserve">Figure 5: Trend over time (2022-2023) of the offers of the operators  </w:t>
        <w:br/>
        <w:t xml:space="preserve">[omitted]  </w:t>
        <w:br/>
        <w:t xml:space="preserve">143. Another internal document from Fastweb, which reports the results of a survey regarding the distribution of customers of different operators by monthly spending brackets, further confirms the evidence reported above regarding price positioning. In fact, the incidence of consumers spending up to 25 euros is [50-55]% for Fastweb and [55-60]% for Vodafone, as well as [55-60]% for WindTre. For TIM, the weight of customers belonging to this bracket is significantly lower ([30-35]%), as its customers tend to spend more, while the percentage of customers spending up to 25 euros is significantly higher for smaller operators.  </w:t>
        <w:br/>
        <w:t xml:space="preserve">Figure 6: Distribution of customers based on the average monthly expenditure incurred for each operator  </w:t>
        <w:br/>
        <w:t xml:space="preserve">[omitted]  </w:t>
        <w:br/>
        <w:t xml:space="preserve">VII.2 The position of third parties  </w:t>
        <w:br/>
        <w:t xml:space="preserve">On the definition of the market  </w:t>
        <w:br/>
        <w:t xml:space="preserve">144. According to FiberCop116, relevant geographical markets should be defined at a subnational level. The company notes that competitive conditions are not uniform across the national territory, but vary significantly at the local level, depending on the number of active wholesale operators and the technologies available in different areas. Furthermore, there is a prospective trend towards a differentiation of retail prices on a geographical basis also considering the fact that at the wholesale level operators already offer different prices. For example, the prices applied by Open Fiber are already differentiated between areas and FiberCop itself [omitted].  </w:t>
        <w:br/>
        <w:t xml:space="preserve">145. Furthermore, according to FiberCop, [omitted].  </w:t>
        <w:br/>
        <w:t xml:space="preserve">146. Also from a product perspective, the market should be distinguished according to network technology. This is because these technologies entail significant differences in the quality of the connection service offered. Moreover, the substitutability from the demand side between different technologies operates only in a unidirectional sense, i.e. fiber access can replace copper access but not vice versa.  </w:t>
        <w:br/>
        <w:t>116 See the hearing minutes of FiberCop of September 30, 2024 (doc.69) and the memorandum received on November 5, 2023 (doc. 169).</w:t>
      </w:r>
    </w:p>
    <w:p>
      <w:r>
        <w:rPr>
          <w:b/>
        </w:rPr>
        <w:t>[Pages 118–120]</w:t>
      </w:r>
    </w:p>
    <w:p>
      <w:r>
        <w:t xml:space="preserve">120 BULLETIN NO. 49 OF DECEMBER 23, 2024  </w:t>
        <w:br/>
        <w:t xml:space="preserve">On the effects of the operation  </w:t>
        <w:br/>
        <w:t xml:space="preserve">147. Almost all market operators (except for WindTre) have highlighted that the operation presents competitive issues for a number of reasons.  </w:t>
        <w:br/>
        <w:t xml:space="preserve">148. Iliad notes that the operation takes place in a highly concentrated market, primarily served by four operators who together hold a share of over 80%, against new entrants that are growing very slowly despite significant investments and the presence of "wholesale only" operators117.  </w:t>
        <w:br/>
        <w:t xml:space="preserve">149. According to Iliad, the effects of the operation must also be assessed in light of the competitive proximity, under various profiles, existing between Fastweb and Vodafone118. The Parties indeed have a similar distribution of their customer base by type of technology offered119, indicating similar choices in terms of investments in connection technologies. Secondly, the characteristics of their offers appear analogous and substitutable, both in the offering of fixed-mobile bundled packages and in the performance of the connectivity services offered on fixed networks. Regarding the first profile, the Parties show an identical propensity to push customers towards converging offers, as the mobile offers directed at their fixed customers are both particularly aggressive. Concerning the second aspect, the performance of Vodafone and Fastweb networks is quite similar. Finally, Iliad points out that another element substantiating the competitive proximity between the Parties is that both have a high level of infrastructure, which entails greater use of passive access services and ultimately translates into the possibility of differentiating their offers both qualitatively and economically.  </w:t>
        <w:br/>
        <w:t xml:space="preserve">150. In this general context, some operators (Iliad120, Poste121, TIM122, and FiberCop123) observe that the effects of the operation should not only be evaluated in the market as a whole, but considering the absolute preeminence that the post-merger entity would assume in the FTTH segment, due both to its high growth rate and its tendency to replace other network technologies. On this point, TIM argues that the leadership position of the new entity would arise not only from the union of the current FTTH customer base of the Parties but also from the future possibility of shifting additional users currently served on the FTTC network, where both hold a prominent role. In this regard, FiberCop, TIM, and AIIP124 represent that, as a result of the operation, the Parties would control a significant market share in many of the major Italian cities125, where the replacement rate of FTTH and the level of penetration reached by this technology are particularly significant. Iliad emphasizes that in the FTTH segment, the operation would lead to a strong increase in concentration, as evidenced by the high post-merger HHI index (equal to 2,326) and its increase (equal to 589). Furthermore, in the FTTH segment, the post-merger entity will become the leading operator, with a share exceeding 34%, and at a distance of 8 percentage points from the second, the historical market operator.  </w:t>
        <w:br/>
        <w:t xml:space="preserve">151. Some competitors (Iliad126, Poste127, and TIM128) also believe that Fastweb, following the operation, will be able to exploit a leadership role in the offering of converging fixed-mobile packages, which have considerable growth prospects. In this regard, Poste sees that the post-merger entity will increase penetration in both fixed and mobile services through cross-selling activities to customers present in each of these markets. Iliad emphasizes that the post-merger entity will be able to strengthen its position in the examined market, thanks to the significant positioning of the target in mobile.  </w:t>
        <w:br/>
        <w:t xml:space="preserve">152. Another effect of the concentration that, according to some operators (TIM129, Poste130, FiberCop131), could generate significant competitive distortions relates to the fact that Fastweb could extend to new customers coming from the target the particularly advantageous economic conditions it enjoys for the purchase of passive services under the agreement signed with FiberCop. This would allow the post-merger entity, the first and only vertically integrated operator in the market, to offer retail offers that cannot be replicated by competitors.  </w:t>
        <w:br/>
        <w:t xml:space="preserve">153. Moreover, the operation could lead to a deterioration of market conditions at the wholesale level, with negative consequences on the competitive dynamics in downstream markets, including, in particular, that of offering to residential customers. This is because Fastweb, despite having a limited presence in the wholesale market, offers particularly attractive active services for relatively under-infrastructured downstream operators, allowing them to compete effectively in the retail market. Both Sky132 and Poste133 assert that the new operator will have fewer economic incentives and/or technical problems related to network saturation in continuing to offer wholesale access services. In particular, Sky believes that, [omitted]. Furthermore, according to Sky, there are no equally valid alternatives to Fastweb's offer, both from an economic perspective – due to the agreement with FiberCop – and from a technical perspective, since Fastweb's offer is the only one that includes transmission bandwidth, which makes it particularly suitable for the needs of new non-infrastructured entrants.  </w:t>
        <w:br/>
        <w:t xml:space="preserve">On remedies  </w:t>
        <w:br/>
        <w:t xml:space="preserve">154. Several operators have indicated that an adequate remedy to resolve the competitive issues generated by the operation in the fixed network services market for residential customers could consist of imposing on Fastweb an obligation to offer wholesale access services to competitors in the downstream market who request (or continue to request) them.  </w:t>
        <w:br/>
        <w:t xml:space="preserve">155. In particular, Poste134 has proposed an obligation for Fastweb to provide access to its wholesale services to all interested alternative operators (also with a "turnkey" offer, including transmission bandwidth), ensuring the absence of forms of internal/external discrimination, even from a qualitative perspective.  </w:t>
        <w:br/>
        <w:t xml:space="preserve">156. Similarly, Sky135 considers a measure aimed at imposing on the Parties of the operation to be appropriate [omitted].  </w:t>
        <w:br/>
        <w:t xml:space="preserve">157. AIIP believes it is appropriate for the post-merger entity to maintain the current wholesale offers, updating them based on the technology available from time to time without imposing minimum volume obligations, under fair, reasonable, and non-discriminatory technical and economic conditions. Furthermore, AIIP suggests imposing a wholesale access obligation in favor of other interested operators, providing a complete range of active and passive services in all geographical areas, ensuring the same conditions provided for the retail division of the new entity, and in any case under conditions not exceeding those of retail minus. Finally, these provisions should be accompanied by an obligation to establish a wholesale division at least functionally separate from the retail division136.  </w:t>
        <w:br/>
        <w:t xml:space="preserve">158. Conversely, Iliad believes that only a structural remedy would be suitable to resolve the competitive issues raised by this operation. In a broad perspective, Iliad has indicated as a structural remedy suitable to remedy the lack of competitive pressure that Vodafone exerts in the three retail markets affected by the operation the separation and sale of its fixed division and the related customer base. According to Iliad, the business branch subject to the hoped-for sale should also include all the network infrastructure necessary to ensure the continuity of the services offered and the full autonomy and operation of the outlined activities137.  </w:t>
        <w:br/>
        <w:t xml:space="preserve">159. With specific reference to the residential customer market, Iliad138 has suggested the sale of the business branch consisting of Vodafone's FTTH customers and the assets dedicated exclusively to providing these customers with fixed network services using fiber optic technology.  </w:t>
        <w:br/>
        <w:t xml:space="preserve">134 Cf. minutes of the Poste hearing of September 27, 2024 (doc. 82).  </w:t>
        <w:br/>
        <w:t xml:space="preserve">135 Cf. minutes of the hearing of September 25, 2024 (doc. 67).  </w:t>
        <w:br/>
        <w:t xml:space="preserve">136 Cf. memorandum of October 8, 2024 (doc. 72).  </w:t>
        <w:br/>
        <w:t xml:space="preserve">137 Cf. minutes of the hearing of October 1, 2024 (doc. 73). In particular, according to Iliad, the infrastructural components subject to the sale should include co-location in FiberCop exchanges and in other POPs where Vodafone has installed its equipment and the backhauling links connecting those points, the installed network equipment, IT systems, billing, and CRM necessary for managing the services offered to its customers in the various market segments.  </w:t>
        <w:br/>
        <w:t>138 Cf. memorandum of October 23, 2024 (doc. 117).</w:t>
      </w:r>
    </w:p>
    <w:p>
      <w:r>
        <w:rPr>
          <w:b/>
        </w:rPr>
        <w:t>[Pages 121–123]</w:t>
      </w:r>
    </w:p>
    <w:p>
      <w:r>
        <w:t xml:space="preserve">BULLETIN NO. 49 OF DECEMBER 23, 2024 123  </w:t>
        <w:br/>
        <w:t xml:space="preserve">Declaring itself willing to acquire the described business branch, Iliad noted that the measure appears necessary due to the circumstance that the effects of the operation would be even more pronounced in the market segment related to FTTH technology, where the post-merger entity would, in the absence of measures, acquire the role of market leader. The acquisition of FTTH customers from Vodafone would allow for the restoration of adequate competitive conditions through the strengthening of an operator like Iliad, which is particularly aggressive, enabling it to exert such competitive pressure on established operators in a lasting manner. Furthermore, this divestiture would also resolve the competitive concerns related to the migration of Vodafone customers from the Open Fiber network to the Fastweb network.  </w:t>
        <w:br/>
        <w:t xml:space="preserve">160. According to TIM139 and FiberCop140, on the other hand, the remedies should involve the agreement between Fastweb and FiberCop whereby the acquiring company procures passive services, both to sell active wholesale services to non-infrastructured operators and to operate in the downstream market. TIM believes that in order to restore a level playing field among all operators in the retail market, the effects of the aforementioned agreement should be suspended pending the ongoing verification by AGCOM. FiberCop, on the other hand, believes that the new entity should commit to [omissis].  </w:t>
        <w:br/>
        <w:t xml:space="preserve">161. Furthermore, always with the aim of resolving issues related to the replicability of Fastweb's retail offers by competitors, according to FiberCop [omissis].  </w:t>
        <w:br/>
        <w:t xml:space="preserve">VII.3 The Position of the Parties  </w:t>
        <w:br/>
        <w:t xml:space="preserve">On the Definition of the Market  </w:t>
        <w:br/>
        <w:t xml:space="preserve">162. The Parties believe that the FTTH segment does not constitute a distinct product market to the extent that AGCOM itself notes that: i) there are no differences in terms of pricing policies of operators depending on the technology used; ii) some retail offers do not even specify the underlying technology and consumers are unaware of what underlies their connection, and iii) the coverage of the FTTH network is only partial.  </w:t>
        <w:br/>
        <w:t xml:space="preserve">163. Furthermore, from a geographical perspective, the market has a national dimension considering the homogeneous pricing policies adopted by operators in the market in question, which do not reflect regional differences regarding wholesale access conditions.  </w:t>
        <w:br/>
        <w:t xml:space="preserve">On the Market Structure  </w:t>
        <w:br/>
        <w:t xml:space="preserve">164. The Parties have submitted observations on the present operation, claiming the absolute absence of competitive criticalities in the market in question141. The latter would, in fact, be characterized by a high level of dynamism, attributable both to the presence of particularly aggressive new entrants and to TIM's leadership role, which will remain even after the concentration.  </w:t>
        <w:br/>
        <w:t xml:space="preserve">165. Regarding the first aspect, the Parties highlight the growth potential of new entrants or alternative operators, as their combined market share has significantly increased (by [5-10] p.p.) in just 5 years, at the expense of traditional operators.  </w:t>
        <w:br/>
        <w:t xml:space="preserve">139 Cf. minutes of the hearing of October 2, 2024 (doc. 87).  </w:t>
        <w:br/>
        <w:t xml:space="preserve">140 Cf. memorandum of October 23, 2024 (doc. 104).  </w:t>
        <w:br/>
        <w:t>141 Cf. response to the request for information received on October 4, 2024 (doc. 66) and memorandum received on October 23, 2024 (doc. 66).</w:t>
      </w:r>
    </w:p>
    <w:p>
      <w:r>
        <w:t xml:space="preserve">124 BULLETIN NO. 49 OF DECEMBER 23, 2024  </w:t>
        <w:br/>
        <w:t xml:space="preserve">166. The dynamism of new operators is also evident when examining their ability to acquire new customers (net of those leaving). In particular, Sky, Iliad, and Enel have gained [omissis] such flows in the last four years, while established operators (except for [omissis]) have suffered [omissis], especially in the last two years.  </w:t>
        <w:br/>
        <w:t xml:space="preserve">167. In relation to the other factor of market competitiveness, the Parties observe that TIM will maintain a position of preeminence in the market in question with a share exceeding 40%, with a considerable gap of about [10-15] percentage points compared to that of the post-merger entity.  </w:t>
        <w:br/>
        <w:t xml:space="preserve">168. Even in the FTTH segment, the position of the Parties does not raise competitive concerns, as their combined share remains below 40% and [omissis], unlike the dynamics recorded by both TIM and new entrants and, more generally, those alternative to the main four suppliers. In this regard, the trend of TIM's share is noteworthy, [omissis]. The FTTH segment is also characterized by the entry and strong expansion of new operators.  </w:t>
        <w:br/>
        <w:t xml:space="preserve">169. More generally, the Parties expect that the historical operator TIM, benefiting from the removal of regulatory constraints on the pricing of offers following the divestiture of the network, will be able to set more aggressive prices in the future142.  </w:t>
        <w:br/>
        <w:t xml:space="preserve">On the Competitive Proximity Between the Parties  </w:t>
        <w:br/>
        <w:t xml:space="preserve">170. On this point, the Parties believe that they do not exert a significant competitive constraint on each other. Firstly, from the analysis of the diversion ratios (“DR”) calculated on the customer migration processes requiring number portability, the Parties have emphasized that both the DR from Fastweb to Vodafone and that from Vodafone to Fastweb are [omissis].  </w:t>
        <w:br/>
        <w:t xml:space="preserve">171. Secondly, the competitive proximity between the Parties should be framed in a broader context from which it emerges that alternative operators – different from TIM, Vodafone, WindTre, and Fastweb – are able to exert strong competitive pressure, [omissis].  </w:t>
        <w:br/>
        <w:t xml:space="preserve">172. Thirdly, [omissis].  </w:t>
        <w:br/>
        <w:t xml:space="preserve">173. Finally, considering the customers leaving Fastweb, [omissis].  </w:t>
        <w:br/>
        <w:t xml:space="preserve">On the Competitive Constraint Exercised by New Entrants  </w:t>
        <w:br/>
        <w:t xml:space="preserve">174. The Parties claim to regularly monitor the entry of new operators, which represent the most dynamic part of the market. The Parties therefore believe that some of these operators - such as Poste, Sky, Iliad, Enel, and Edison – represent a significant competitive constraint, each able to leverage a competitive advantage within their respective offerings. In this regard, the Parties emphasize: i) the possibility for Poste to leverage a distribution network of over 12,000 post offices; ii) the rapid growth of Sky and Iliad thanks to their cross-selling activities of connectivity services over fixed networks, leveraging their positioning respectively in multimedia content provision and mobile connectivity services; and iii) the offering of particularly aggressive prices that has characterized Enel's entry into the market.  </w:t>
        <w:br/>
        <w:t xml:space="preserve">175. The fact that the Parties consider new operators as a credible threat is also supported by some internal documents, [omissis]143.  </w:t>
        <w:br/>
        <w:t xml:space="preserve">142 Cf. memorandum received on October 23, 2024 (doc. 114).  </w:t>
        <w:br/>
        <w:t>143 Cf. memorandum received on October 23, 2024 (Cf. 114). For example, [omissis].</w:t>
      </w:r>
    </w:p>
    <w:p>
      <w:r>
        <w:t xml:space="preserve">BULLETIN NO. 49 OF DECEMBER 23, 2024 125  </w:t>
        <w:br/>
        <w:t xml:space="preserve">On the Possible Deterioration of Wholesale Access Conditions  </w:t>
        <w:br/>
        <w:t xml:space="preserve">176. The Parties argue that the operation is not suitable to deteriorate the conditions under which retail market operators procure wholesale access services from Fastweb, as the contracts that the latter currently has in place are binding [omissis].  </w:t>
        <w:br/>
        <w:t xml:space="preserve">VII.4 Assessments  </w:t>
        <w:br/>
        <w:t xml:space="preserve">a) The Relevant Market  </w:t>
        <w:br/>
        <w:t xml:space="preserve">177. The evidence that emerged during the investigation confirms the definition of the retail telecommunications services market on fixed networks already adopted in previous decisions by the Authority from both a product and geographical perspective.  </w:t>
        <w:br/>
        <w:t xml:space="preserve">178. The market in question, having a national geographical dimension, includes the set of fixed network services, voice and data, broadband and ultra-broadband intended for end users. In its decision-making practice, the Authority has identified distinct markets depending on the type of clientele served, identifying for what is relevant here a market related to telecommunications services on fixed networks for residential and SOHO (small office home office) clientele separate from that for business and public administration clientele144.  </w:t>
        <w:br/>
        <w:t xml:space="preserve">179. From a product perspective, it is significant that no operator applies different prices depending on the technology offered, with the only exception of FWA, which, however, has a limited weight and which, as noted by one operator, generally constitutes a technology used to provide connectivity services primarily in areas not covered by fiber networks.  </w:t>
        <w:br/>
        <w:t xml:space="preserve">180. Moreover, the data reported above regarding the technological development of the sector indicate that the FTTH network is destined to progressively replace less advanced ones (ADSL, FTTC), an element that suggests the existence of a substitutability relationship between the fixed networks used by operators. In particular, the trend towards transferring lines to FTTH highlights how services based on the latter constitute a significant competitive constraint for those based on other technologies.  </w:t>
        <w:br/>
        <w:t xml:space="preserve">181. Furthermore, the vast majority of operators offer the services in question using all types of networks.  </w:t>
        <w:br/>
        <w:t xml:space="preserve">182. Therefore, it is believed that telecommunications services on fixed networks for residential clientele (including SOHO) do not identify distinct markets based on the technology used.  </w:t>
        <w:br/>
        <w:t xml:space="preserve">183. From a geographical perspective, the elements that emerged during the investigation confirm a national dimension of the market. In this regard, it is noteworthy that the offers of operators are not differentiated on a local basis. Therefore, FiberCop's argument that the market would be subnational due to differing competitive conditions, and in particular the different positioning of the Parties, observable between geographical areas of the country, does not appear to be shareable.  </w:t>
        <w:br/>
        <w:t xml:space="preserve">184. Finally, it is significant that the coverage of offers from almost all operators is virtually national. They, in order to offer services throughout the territory, utilize a plurality of networks integrating their respective coverage.  </w:t>
        <w:br/>
        <w:t>144 Cf. inter alia C12354 - TELECOM ITALIA/BRANCHES OF BT ITALIA, decision to initiate the investigation of April 13, 2021 in Boll.16/2021; C12476 - MARBLES/IRIDEOS, decision of November 22, 2022 in Boll. 44/2022.</w:t>
      </w:r>
    </w:p>
    <w:p>
      <w:r>
        <w:rPr>
          <w:b/>
        </w:rPr>
        <w:t>[Pages 124–126]</w:t>
      </w:r>
    </w:p>
    <w:p>
      <w:r>
        <w:t xml:space="preserve">126 BULLETIN NO. 49 OF DECEMBER 23, 2024  </w:t>
        <w:br/>
        <w:t xml:space="preserve">b) The effects of the operation  </w:t>
        <w:br/>
        <w:t xml:space="preserve">185. The elements acquired during the investigation lead to the conclusion that the operation results in a significant obstacle to effective competition for the reasons that are briefly outlined below and that are then discussed in detail in the following sections.  </w:t>
        <w:br/>
        <w:t xml:space="preserve">186. Firstly, from a structural perspective, the operation is likely to increase the degree of market concentration, as the main operators - serving over 80% of the demand - will decrease from four to three, in a context where there are barriers to entry and obstacles to the expansion of new entrants, along with some factors of demand stickiness.  </w:t>
        <w:br/>
        <w:t xml:space="preserve">187. Furthermore, there is a high degree of competitive proximity between the Parties, as evidenced by the similarity of their commercial policies and their level of infrastructure, as well as by an analysis of the diversion ratios (“DR”). These ratios highlight how the Parties exert a high degree of competitive pressure on each other; in particular, Vodafone represents a significant constraint for Fastweb, a constraint that would cease to exist as a result of the operation. It follows that the Parties will have an incentive to raise prices as a result of the concentration, as evidenced by the value of the GUPPI indices. The concentration operation, therefore, is likely to eliminate the important competitive constraint currently exercised reciprocally by the Parties in the market.  </w:t>
        <w:br/>
        <w:t xml:space="preserve">188. Moreover, it is believed that, in the current market structure, the remaining effective competition, as well as potential competition, do not provide a sufficient competitive constraint to exclude that the operation results in a significant obstacle to effective competition.  </w:t>
        <w:br/>
        <w:t xml:space="preserve">Structure and characteristics of the market  </w:t>
        <w:br/>
        <w:t>189. The operation is likely to produce critical effects from a competitive perspective as it involves two of the four main market operators, and the entity that will be formed post-merger will be the second operator, after TIM. The joint market share of the Parties is indeed slightly below 30%, at a distance of [15-20] and [10-15] percentage points from those - respectively in value and in volume - of WindTre.</w:t>
      </w:r>
    </w:p>
    <w:p>
      <w:r>
        <w:t xml:space="preserve">BULLETIN NO. 49 OF DECEMBER 23, 2024 127  </w:t>
        <w:br/>
        <w:t xml:space="preserve">Table 8: Overall market shares (%) in value and volume  </w:t>
        <w:br/>
        <w:t xml:space="preserve">Market shares in value (%) Market shares in volume (%)  </w:t>
        <w:br/>
        <w:t xml:space="preserve">Operators  </w:t>
        <w:br/>
        <w:t xml:space="preserve">2019 2020 2021 2022 2023 2019 2020 2021 2022 2023  </w:t>
        <w:br/>
        <w:t xml:space="preserve">Tim [45-50] [45-50] [45-50] [40-45] [40-45] [40-45] [40-45] [40-45] [40-45] [35-40]  </w:t>
        <w:br/>
        <w:t xml:space="preserve">Fastweb [10-15] [10-15] [10-15] [10-15] [10-15] [10-15] [10-15] [10-15] [10-15] [10-15]  </w:t>
        <w:br/>
        <w:t xml:space="preserve">WindTre [10-15] [10-15] [10-15] [10-15] [10-15] [10-15] [10-15] [10-15] [10-15] [10-15]  </w:t>
        <w:br/>
        <w:t xml:space="preserve">Vodafone [10-15] [10-15] [10-15] [15-20] [15-20] [15-20] [15-20] [15-20] [15-20] [15-20]  </w:t>
        <w:br/>
        <w:t xml:space="preserve">Total  </w:t>
        <w:br/>
        <w:t xml:space="preserve">[5-10] [10-15] [10-15] [10-15] [15-20] [10-15] [10-15] [10-15] [15-20] [15-20]  </w:t>
        <w:br/>
        <w:t xml:space="preserve">Others  </w:t>
        <w:br/>
        <w:t xml:space="preserve">Tiscali [1-5] [1-5] [1-5] [1-5] [1-5] [5-10] [5-10] [5-10] [1-5] [1-5]  </w:t>
        <w:br/>
        <w:t xml:space="preserve">Eolo [1-5] [1-5] [1-5] [1-5] [1-5] [1-5] [1-5] [1-5] [1-5] [1-5]  </w:t>
        <w:br/>
        <w:t xml:space="preserve">Sky 0.0 &lt;1 [1-5] [1-5] [1-5] 0.0 &lt;1 [1-5] [1-5] [1-5]  </w:t>
        <w:br/>
        <w:t xml:space="preserve">Iliad 0.0 0.0 0.0 &lt;1 [1-5] 0.0 0.0 0.0 &lt;1 [1-5]  </w:t>
        <w:br/>
        <w:t xml:space="preserve">Poste 0.0 0.0 0.0 0.0 &lt;1 0.0 0.0 0.0 0.0 &lt;1  </w:t>
        <w:br/>
        <w:t xml:space="preserve">Enel 0.0 0.0 0.0 0.0 &lt;1 0.0 0.0 0.0 0.0 &lt;1  </w:t>
        <w:br/>
        <w:t xml:space="preserve">Others [1-5] [1-5] [1-5] [1-5] [1-5] [1-5] [1-5] [1-5] [1-5] [1-5]  </w:t>
        <w:br/>
        <w:t xml:space="preserve">Total  </w:t>
        <w:br/>
        <w:t xml:space="preserve">[25-30] [25-30] [25-30] [25-30] [25-30] [25-30] [25-30] [30-35] [25-30] [25-30]  </w:t>
        <w:br/>
        <w:t xml:space="preserve">Parties  </w:t>
        <w:br/>
        <w:t xml:space="preserve">Source: AGCOM data and elaborations on data and estimates provided by the Parties  </w:t>
        <w:br/>
        <w:t xml:space="preserve">190. Therefore, although TIM maintains its role as the leading operator in the market, as emphasized by the Parties, it should be noted that the degree of market concentration will significantly increase as a result of the operation, since the top three operators will have a combined market share exceeding 80%. This evidence is also reflected in the value of the post-merger HHI concentration index, which stands at 2,866, with an increase (“delta”) of 440145. The operation is therefore likely to strengthen the oligopolistic structure of the market, already characterized by the presence of barriers to entry and obstacles that reduce the contestability of demand due to commercial practices that generate switching costs for consumers.  </w:t>
        <w:br/>
        <w:t xml:space="preserve">191. In this context, despite a certain degree of competitive dynamism arising from the presence of some alternative operators to the main four suppliers, it should be noted that their market position is still relatively limited. In fact, contrary to what the Party claims, what matters is not the value (and thus the trend) of the combined market share of these operators, but rather the competitive constraint they are able to exert individually. In this regard, no alternative operator to the three main ones that will remain as a result of the operation currently holds a market share equal to or greater than 4%.  </w:t>
        <w:br/>
        <w:t xml:space="preserve">192. Additionally, there is a substantial stability in the market shares of the Parties, against a contraction of that of TIM, despite the entry of new operators (including Iliad, Sky, Poste, Enel) in the last five years.  </w:t>
        <w:br/>
        <w:t>193. An analysis of the positioning in the FTTH segment alone - a rapidly developing technology that, as previously mentioned, is set to replace others - highlights how the joint share of Fastweb and Vodafone in this segment, although declining, reached values above 35% in 2023 (both in value and in volume), distancing themselves from those of TIM and WindTre. Even TIM's share, although growing, still stands at significantly lower values, not reaching 30%. In this segment, new entrants, who have an offer based exclusively on FTTH technology, hold relatively higher shares compared to those of the market as a whole and are growing, particularly for the more dynamic ones like Sky and Iliad, which, however, currently do not reach [5-10]%.</w:t>
      </w:r>
    </w:p>
    <w:p>
      <w:r>
        <w:rPr>
          <w:b/>
        </w:rPr>
        <w:t>[Pages 127–129]</w:t>
      </w:r>
    </w:p>
    <w:p>
      <w:r>
        <w:t xml:space="preserve">BULLETIN NO. 49 OF DECEMBER 23, 2024 129  </w:t>
        <w:br/>
        <w:t xml:space="preserve">Table 9: Market Shares in Value and Volume on FTTH Network  </w:t>
        <w:br/>
        <w:t xml:space="preserve">Market Shares in Value (%) | Market Shares in Volume (%)  </w:t>
        <w:br/>
        <w:t xml:space="preserve">Operators | 2019 | 2020 | 2021 | 2022 | 2023 | 2019 | 2020 | 2021 | 2022 | 2023  </w:t>
        <w:br/>
        <w:t xml:space="preserve">Tim | [10-15] | [15-20] | [20-25] | [25-30] | [25-30] | [10-15] | [15-20] | [15-20] | [20-25] | [20-25]  </w:t>
        <w:br/>
        <w:t xml:space="preserve">Fastweb | [35-40] | [25-30] | [20-25] | [20-25] | [15-20] | [30-35] | [25-30] | [20-25] | [15-20] | [15-20]  </w:t>
        <w:br/>
        <w:t xml:space="preserve">WindTre | [15-20] | [20-25] | [20-25] | [15-20] | [15-20] | [20-25] | [20-25] | [20-25] | [20-25] | [15-20]  </w:t>
        <w:br/>
        <w:t xml:space="preserve">Vodafone | [25-30] | [20-25] | [20-25] | [15-20] | [25-30] | [25-30] | [25-30] | [20-25] | [20-25] | [15-20]  </w:t>
        <w:br/>
        <w:t xml:space="preserve">Total | [5-10] | [5-10] | [10-15] | [15-20] | [15-20] | [5-10] | [5-10] | [10-15] | [15-20] | [20-25]  </w:t>
        <w:br/>
        <w:t xml:space="preserve">Others  </w:t>
        <w:br/>
        <w:t xml:space="preserve">Tiscali | [1-5] | [1-5] | [1-5] | [1-5] | [1-5] | [1-5] | [5-10] | [1-5] | [1-5] | [1-5]  </w:t>
        <w:br/>
        <w:t xml:space="preserve">Eolo | 0.0 | 0.0 | 0.0 | 0.0 | 0.0 | 0.0 | 0.0 | 0.0 | 0.0 | 0.0  </w:t>
        <w:br/>
        <w:t xml:space="preserve">Sky | 0.0 | [1-5] | [1-5] | [1-5] | [5-10] | 0.0 | [1-5] | [1-5] | [5-10] | [5-10]  </w:t>
        <w:br/>
        <w:t xml:space="preserve">Iliad | 0.0 | 0.0 | 0.0 | [1-5] | [1-5] | 0.0 | 0.0 | 0.0 | [1-5] | [1-5]  </w:t>
        <w:br/>
        <w:t xml:space="preserve">Poste | 0.0 | 0.0 | 0.0 | 0.0 | [1-5] | 0.0 | 0.0 | 0.0 | 0.0 | [1-5]  </w:t>
        <w:br/>
        <w:t xml:space="preserve">Enel Fibra | 0.0 | 0.0 | 0.0 | 0.0 | [1-5] | 0.0 | 0.0 | 0.0 | 0.0 | [1-5]  </w:t>
        <w:br/>
        <w:t xml:space="preserve">Others | [1-5] | [1-5] | [1-5] | [5-10] | [1-5] | [1-5] | [1-5] | [5-10] | [5-10] | [1-5]  </w:t>
        <w:br/>
        <w:t xml:space="preserve">Total | [60-65] | [50-55] | [45-50] | [35-40] | [35-40] | [60-65] | [50-55] | [45-50] | [35-40] | [35-40]  </w:t>
        <w:br/>
        <w:t xml:space="preserve">Parties  </w:t>
        <w:br/>
        <w:t xml:space="preserve">Source: AGCOM data and data and estimates provided by the Parties  </w:t>
        <w:br/>
        <w:t xml:space="preserve">Market Shares in Terms of Gross Adds  </w:t>
        <w:br/>
        <w:t xml:space="preserve">194. In the telecommunications sector, market shares based on the existing customer base only partially capture the competitive strength of operators, particularly because the most recent market dynamics may not be accurately reflected, to the extent that at least some customers exhibit high stickiness, for example, because they are bound by contracts, which limit their mobility from one provider to another.  </w:t>
        <w:br/>
        <w:t xml:space="preserve">195. Conversely, since competition occurs only against a portion of the customer base, the contestable one, as well as against completely new customers, the shares of contestable customers are a useful informational element for assessing the likely market dynamics in the years following the transaction. Therefore, the Commission, in its practice, also uses market shares based on incoming customers (“gross adds”) in order to capture the actual competitive strength of operators146. These shares are thus calculated based on the number of new customers acquired in a year by each operator without deducting outgoing customers147.  </w:t>
        <w:br/>
        <w:t xml:space="preserve">196. Based on the following table, which provides an estimate of the market shares148 of the main operators based on this variable, it is observed that the post-merger entity will be one of the two main market operators. Both the new entity and the historical operator will in fact hold a share [omitted] exceeding 30%, significantly distancing (by over 10 percentage points) WindTre and other smaller operators such as Sky, Iliad, and Poste.  </w:t>
        <w:br/>
        <w:t xml:space="preserve">197. The latter, while presenting market shares calculated on the entire customer base still contained, have a share in terms of new acquisitions that is significantly higher. In particular, Sky has reached a share in terms of gross adds that can be estimated to exceed 10%, compared to a share of the customer stock equal to [1-5]% (see Table 10).  </w:t>
        <w:br/>
        <w:t xml:space="preserve">Table 10: Market Shares in Gross Adds (%)  </w:t>
        <w:br/>
        <w:t xml:space="preserve">Operators | 2019 | 2020 | 2021 | 2022 | 2023  </w:t>
        <w:br/>
        <w:t xml:space="preserve">TIM | [30-35] | [30-35] | [30-35] | [25-30] | [30-35]  </w:t>
        <w:br/>
        <w:t xml:space="preserve">Fastweb | [20-25] | [20-25] | [15-20] | [15-20] | [10-15]  </w:t>
        <w:br/>
        <w:t xml:space="preserve">Vodafone | [20-25] | [20-25] | [20-25] | [15-20] | [15-20]  </w:t>
        <w:br/>
        <w:t xml:space="preserve">WindTre | [15-20] | [15-20] | [10-15] | [10-15] | [15-20]  </w:t>
        <w:br/>
        <w:t xml:space="preserve">Sky | 0.0% | [1-5] | [5-10] | [10-15] | [10-15]  </w:t>
        <w:br/>
        <w:t xml:space="preserve">Iliad | 0.0% | 0.0% | 0.0% | [1-5] | [1-5]  </w:t>
        <w:br/>
        <w:t xml:space="preserve">Poste | 0.0% | 0.0% | [1-5] | [1-5] | [1-5]  </w:t>
        <w:br/>
        <w:t xml:space="preserve">Total Parties | [45-50] | [40-45] | [35-40] | [30-35] | [30-35]  </w:t>
        <w:br/>
        <w:t xml:space="preserve">Note: the sum of the shares is less than 100% as the market size has been estimated by adding a +5% to the gross adds values of the main operators reported in the table.  </w:t>
        <w:br/>
        <w:t xml:space="preserve">Source: AGCM elaborations on data provided by the Parties.  </w:t>
        <w:br/>
        <w:t xml:space="preserve">146 See, inter alia, case M.10663 – ORANGE / VOO / BRUTÉLÉ, decision of March 20, 2023; M.8864 – VODAFONE/CERTAIN LIBERTY GLOBAL ASSETS, decision of July 18, 2019.  </w:t>
        <w:br/>
        <w:t xml:space="preserve">147 The shares in terms of gross adds are not necessarily identical to those based on contestable customers, as the latter include not only customers who decide to change operator and who are usually reported in the gross adds, but also customers who actively decide to maintain the existing contract or switch to another rate but remain with the same operator. However, data regarding this latter group of customers is difficult to obtain, and the shares based on gross adds should be reasonably close to the shares based on contestable customers.  </w:t>
        <w:br/>
        <w:t>148 Not having the overall data, that is, the total number of customers acquired by all operators, an estimate of this value has been made by adding a +5% to the sum of the gross adds provided by the Parties and other operators indicated in the table.</w:t>
      </w:r>
    </w:p>
    <w:p>
      <w:r>
        <w:t xml:space="preserve">BULLETIN NO. 49 OF DECEMBER 23, 2024 131  </w:t>
        <w:br/>
        <w:t xml:space="preserve">Net Adds  </w:t>
        <w:br/>
        <w:t xml:space="preserve">198. Another measure that can be used to assess the current competitive strength of operators is that of the so-called “net adds” - that is, the inflows of customers net of those lost - which represent the number of new customers net of those lost over the course of a year. This metric can also be used to measure the competitive strength of an operator as it focuses on the competitive dynamics related to the portion of contestable demand.  </w:t>
        <w:br/>
        <w:t xml:space="preserve">199. From the following figure, which shows the temporal trend of net adds, it emerges that while Fastweb has recorded a contraction of its customer base in the last two years, Vodafone appears to have maintained a stable user base in the last year compared to the previous one, after two years of growth.  </w:t>
        <w:br/>
        <w:t xml:space="preserve">200. Also based on net adds, it is found that the main source of market dynamism is attributable to some smaller alternative operators such as Sky, Iliad, and Poste, which are in a phase of expansion of their customer base.  </w:t>
        <w:br/>
        <w:t xml:space="preserve">Figure 7: Net Adds (number of lines in thousands)  </w:t>
        <w:br/>
        <w:t xml:space="preserve">Tim | Fastweb | Vodafone | WindTre | Iliad | Sky Italia | PostePay | Tiscali | Eolo | Enel Fibra | Others  </w:t>
        <w:br/>
        <w:t xml:space="preserve">2019-2020 | 2020-2021 | 2021-2022 | 2022-2023  </w:t>
        <w:br/>
        <w:t xml:space="preserve">Note: only broadband lines, i.e., voice-only customers excluded  </w:t>
        <w:br/>
        <w:t xml:space="preserve">Source: AGCOM data and data and estimates provided by the Parties.  </w:t>
        <w:br/>
        <w:t xml:space="preserve">Competitive Proximity Between the Parties and Incentive to Raise Prices  </w:t>
        <w:br/>
        <w:t>201. In assessing the unilateral effects arising from horizontal overlaps between the Parties, their competitive proximity is also relevant, that is, the degree of substitutability of the products or services offered. This is because, as stated in the Guidelines on horizontal concentrations, the higher the degree of substitutability between the products or services of the participating companies</w:t>
      </w:r>
    </w:p>
    <w:p>
      <w:r>
        <w:rPr>
          <w:b/>
        </w:rPr>
        <w:t>[Pages 130–132]</w:t>
      </w:r>
    </w:p>
    <w:p>
      <w:r>
        <w:t xml:space="preserve">132 BULLETIN NO. 49 OF DECEMBER 23, 2024  </w:t>
        <w:br/>
        <w:t xml:space="preserve">to the concentration, the more likely it is that the latter will significantly increase prices149.  </w:t>
        <w:br/>
        <w:t xml:space="preserve">202. The analysis of competitive proximity is based both on qualitative evidence, regarding the characteristics of the offers made by the companies participating in the operation in relation to the main competitive parameters relevant in the market under examination, and on the use of quantitative indices, including in particular the DR, aimed at assessing the competitive closeness between the Parties.  </w:t>
        <w:br/>
        <w:t xml:space="preserve">Qualitative Evidence  </w:t>
        <w:br/>
        <w:t xml:space="preserve">203. The evidence collected during the investigation revealed a substantial similarity between the offers of Vodafone and Fastweb under various profiles.  </w:t>
        <w:br/>
        <w:t xml:space="preserve">204. Firstly, the pricing policies are noteworthy, as price represents the main competitive variable, as evidenced by both the information received from the main operators and the fact that the benchmarking activity carried out by Fastweb regarding its positioning relative to its competitors is primarily based on this competitive parameter. Both Parties are positioned within a mid-range price band (see Table 6).  </w:t>
        <w:br/>
        <w:t xml:space="preserve">205. The competitive proximity between the Parties in terms of price is evident not only from an analysis of the list prices of the offers but also from the value of the average monthly ARPU. In this regard, Vodafone's average monthly revenue per customer is the closest to that of Fastweb over the last three years (see Table 7). This element is further supported by an internal document from Fastweb, which shows a high similarity between the Parties regarding the distribution of customers in terms of average monthly spending, when compared to that of competitors (see Figure 6).  </w:t>
        <w:br/>
        <w:t xml:space="preserve">206. Also in relation to price, it is noteworthy that over time the list prices of the Parties have progressively aligned, as evidenced by Fastweb's internal documentation (see Figure 5).  </w:t>
        <w:br/>
        <w:t xml:space="preserve">207. Additionally, both operators offer converging fixed-mobile offers in the market, providing the possibility to jointly subscribe to such bundled packages, at a price that is also comparable in this case.  </w:t>
        <w:br/>
        <w:t xml:space="preserve">208. Even in terms of performance and the characteristics of the underlying networks, the services of Vodafone and Fastweb appear to be absolutely comparable. This is attributable to the fact that the Parties are two of the four main operators that utilize, also through the purchase of upstream access services, a widespread network infrastructure throughout the territory, which ensures them the provision of retail services leveraging all currently available network technologies, not just the most recent ones. In fact, as reported in the following table, the Parties have an almost identical distribution of network accesses in terms of technology, indicating very similar strategic investment choices in fast connection technologies (FTTH and FTTC), characterized by a significant migration towards FTTH of their customer base.  </w:t>
        <w:br/>
        <w:t>149 See "Guidelines on the assessment of horizontal concentrations under the Council Regulation on the control of concentrations between undertakings," para. 28.</w:t>
      </w:r>
    </w:p>
    <w:p>
      <w:r>
        <w:t xml:space="preserve">BULLETIN NO. 49 OF DECEMBER 23, 2024 133  </w:t>
        <w:br/>
        <w:t xml:space="preserve">Table 11: Distribution of lines of each operator by technology as of March 2024  </w:t>
        <w:br/>
        <w:t xml:space="preserve">Operator FTTH FTTC OTHER TECHNOLOGIES  </w:t>
        <w:br/>
        <w:t xml:space="preserve">Tim 16% 49% 34%  </w:t>
        <w:br/>
        <w:t xml:space="preserve">Fastweb 30% 56% 15%  </w:t>
        <w:br/>
        <w:t xml:space="preserve">Vodafone 28% 56% 16%  </w:t>
        <w:br/>
        <w:t xml:space="preserve">Wind Tre 31% 53% 16%  </w:t>
        <w:br/>
        <w:t xml:space="preserve">Sky 40% 60% 0%  </w:t>
        <w:br/>
        <w:t xml:space="preserve">Iliad 100% 0% 0%  </w:t>
        <w:br/>
        <w:t xml:space="preserve">Tiscali 21% 20% 59%  </w:t>
        <w:br/>
        <w:t xml:space="preserve">Others 18% 19% 64%  </w:t>
        <w:br/>
        <w:t xml:space="preserve">Source: AGCM processing on AGCOM data, Quarterly Communications Observatory.  </w:t>
        <w:br/>
        <w:t xml:space="preserve">Quantitative Evidence  </w:t>
        <w:br/>
        <w:t xml:space="preserve">209. As already mentioned, for a more complete analysis of the effects of the operation, the traditional structural analysis has been supplemented with an estimate of the degree of substitutability between the companies participating in the concentration. To this end, in line with the decision-making practice of the Authority and the Commission, diversion ratios (DR) have been considered, indices that estimate the share of volumes lost by one of the Parties (following a deterioration of its offer in terms of price, quality, assortment, services offered) that are likely to be "recaptured" by the other company participating in the concentration. These indices measure, in other words, the share of volumes likely to be internalized by the operation, with the effect of making it more probable that post-merger price increases will be profitable150.  </w:t>
        <w:br/>
        <w:t xml:space="preserve">210. The Commission has typically conducted this type of analysis even in cases of concentration in the telecommunications sector, and in particular also in assessing the effects in the retail markets for fixed network telecommunications services151. In this regard, the Commission calculates the DR using Fixed Number Portability (“FNP”) data, which relate to the portability of the fixed number by customers152. While recognizing some limitations, particularly due to the fact that such data only records the transitions of customers who transfer their fixed telephone number153, the Commission still considers FNP data a useful source of information on customer switching behaviors. Furthermore, it is noteworthy that the Parties themselves did not provide alternative data that present a different picture from that reconstructed through the number portability data154.  </w:t>
        <w:br/>
        <w:t xml:space="preserve">211. The following tables show the DR of Fastweb and Vodafone towards other operators, i.e. the share of customers who requested migration to each of them out of the total migration requests received individually by the Parties155.  </w:t>
        <w:br/>
        <w:t xml:space="preserve">212. The data in the tables below suggest primarily that the Parties are close competitors, although the competitive constraint they exert on each other is asymmetric. In fact, Vodafone exerts a significant competitive constraint on Fastweb, as the share of customers leaving the latter and acquired by Vodafone is high, ranging between [20-25]% and [20-25]% from 2021 to 2023, thus exceeding the threshold – equal to 20% - generally considered critical for a DR in the Authority's practice156. Conversely, the competitive pressure exerted by Fastweb on Vodafone appears more limited (see Table 13), as the DR of Vodafone towards Fastweb is below 15% in 2023, as well as in the first eight months of 2024. In this context, the fact that the DRs of Fastweb and Vodafone towards the historical operator, namely TIM, are higher than the DRs between the Parties does not exclude that the latter exert a significant degree of competitive pressure on each other.  </w:t>
        <w:br/>
        <w:t xml:space="preserve">213. Furthermore, the analysis reveals that the weight of customers lost by the Parties to individual competitors that have recently entered the market and are characterized by a certain dynamism – such as Sky and Iliad – is greater than their market shares, although the DR towards Sky has been decreasing since the beginning of the period considered.  </w:t>
        <w:br/>
        <w:t xml:space="preserve">153 Secondly, another potential limitation recognized by the Commission is attributable to the fact that switching behaviors are not necessarily induced by price changes, but may also result from other reasons unrelated to price.  </w:t>
        <w:br/>
        <w:t xml:space="preserve">154 The Parties do not have information to determine the destination of users who do not request number portability. Instead, the Parties provided the results of an exit survey whose results are substantially consistent with the number portability data. In this regard, in fact, only the DR from Fastweb to Vodafone is slightly lower ([omitted]) than that relating to the FNP data. Furthermore, according to Vodafone, the information obtained from the exit survey aims to understand the user experience but does not aim to collect information about the destination of outgoing users.  </w:t>
        <w:br/>
        <w:t xml:space="preserve">155 Vodafone did not provide data regarding the destination of outgoing SOHO customers before 2022.  </w:t>
        <w:br/>
        <w:t>156 See C12247B - BDC ITALIA-CONAD/AUCHAN, decision of February 25, 2020, in Boll.10/2020; C12488 - BUBBLES BIDCO/QUATTRO, decision of December 2, 2022, in Boll. 46/2022.</w:t>
      </w:r>
    </w:p>
    <w:p>
      <w:r>
        <w:rPr>
          <w:b/>
        </w:rPr>
        <w:t>[Pages 133–135]</w:t>
      </w:r>
    </w:p>
    <w:p>
      <w:r>
        <w:t xml:space="preserve">BULLETIN NO. 49 OF DECEMBER 23, 2024 135  </w:t>
        <w:br/>
        <w:t xml:space="preserve">Table 12: Fastweb Diversion Ratio  </w:t>
        <w:br/>
        <w:t xml:space="preserve">RESIDENTIAL and SOHO CLIENTELE  </w:t>
        <w:br/>
        <w:t xml:space="preserve">Incoming Operators  </w:t>
        <w:br/>
        <w:t xml:space="preserve">2021 2022 2023 2024 (May)  </w:t>
        <w:br/>
        <w:t xml:space="preserve">TIM [30-35]% [25-30]% [25-30]% [30-35]%  </w:t>
        <w:br/>
        <w:t xml:space="preserve">Vodafone [20-25]% [20-25]% [20-25]% [15-20]%  </w:t>
        <w:br/>
        <w:t xml:space="preserve">WindTre [10-15]% [15-20]% [15-20]% [15-20]%  </w:t>
        <w:br/>
        <w:t xml:space="preserve">Tiscali [1-5]% &lt;1% [1-5]% [1-5]%  </w:t>
        <w:br/>
        <w:t xml:space="preserve">Sky [20-25]% [20-25]% [15-20]% [15-20]%  </w:t>
        <w:br/>
        <w:t xml:space="preserve">Iliad 0.0% [1-5]% [1-5]% [5-10]%  </w:t>
        <w:br/>
        <w:t xml:space="preserve">Poste &lt;1% [1-5]% &lt;1% &lt;1%  </w:t>
        <w:br/>
        <w:t xml:space="preserve">Enel 0.0% 0.0% [1-5]% [1-5]%  </w:t>
        <w:br/>
        <w:t xml:space="preserve">Others [1-5]% [1-5]% [1-5]% [1-5]%  </w:t>
        <w:br/>
        <w:t xml:space="preserve">Source: data provided by the Parties  </w:t>
        <w:br/>
        <w:t xml:space="preserve">Table 13: Vodafone Diversion Ratio  </w:t>
        <w:br/>
        <w:t xml:space="preserve">RESIDENTIAL and SOHO CLIENTELE  </w:t>
        <w:br/>
        <w:t xml:space="preserve">Incoming Operators  </w:t>
        <w:br/>
        <w:t xml:space="preserve">2021 2022 2023 2024 (August)  </w:t>
        <w:br/>
        <w:t xml:space="preserve">TIM [35-40]% [30-35]% [35-40]% [35-40]%  </w:t>
        <w:br/>
        <w:t xml:space="preserve">WindTre [15-20]% [15-20]% [15-20]% [15-20]%  </w:t>
        <w:br/>
        <w:t xml:space="preserve">Fastweb [20-25]% [15-20]% [10-15]% [10-15]%  </w:t>
        <w:br/>
        <w:t xml:space="preserve">Poste [1-5]% [1-5]% [1-5]% [1-5]%  </w:t>
        <w:br/>
        <w:t xml:space="preserve">Iliad 0.0% [5-10]% [5-10]% [5-10]%  </w:t>
        <w:br/>
        <w:t xml:space="preserve">Sky [15-20]% [15-20]% [10-15]% [10-15]%  </w:t>
        <w:br/>
        <w:t xml:space="preserve">Enel 0.0% 0.0% [1-5]% [1-5]%  </w:t>
        <w:br/>
        <w:t xml:space="preserve">Others [1-5]% [1-5]% [5-10]% [5-10]%  </w:t>
        <w:br/>
        <w:t xml:space="preserve">Source: data provided by the Parties  </w:t>
        <w:br/>
        <w:t xml:space="preserve">Incentive to Increase Prices  </w:t>
        <w:br/>
        <w:t xml:space="preserve">214. The quantitative evidence on the competitive proximity between the Parties, measured through the DR, can be supplemented with information on margins in order to estimate the incentive of the post-merger entity to increase prices as a result of the transaction. This incentive to increase prices (or more generally to worsen its offer) has been quantified through the GUPPI index, which takes into account not only the possibility of internalizing a portion of the customers lost by one Party that is recaptured by the other, but also the relative profitability. In other words, even if the share of clientele recaptured by one Party is not particularly high (information contained in the DR), the other may still have a strong incentive to worsen its offer if the margin on the recaptured customers is high (information contained in the GUPPI). The GUPPI thus more fully expresses the incentive to increase prices as it considers both the recaptured customers and the margins realizable on the latter.  </w:t>
        <w:br/>
        <w:t xml:space="preserve">215. In particular, according to the most recent practice of this Authority157, this incentive is considered to exist where the estimated value of the GUPPI is above a threshold of 5%.  </w:t>
        <w:br/>
        <w:t xml:space="preserve">216. In this regard, for the purposes of calculating this index, the Parties were asked to provide estimates of their margins net of variable costs158. However, as these estimates were not deemed reliable for the reasons set out in the appendix, the GUPPI was calculated using a margin extrapolated from an internal document provided by the Parties. Based on this, it emerges that the transaction entails a risk of price increases by the post-merger entity, given that Fastweb's GUPPI is equal to [5-10]%, while Vodafone's is at [5-10]%, values that are indeed above the aforementioned critical threshold.  </w:t>
        <w:br/>
        <w:t xml:space="preserve">The Competitive Pressure That Decreases as a Result of the Transaction  </w:t>
        <w:br/>
        <w:t xml:space="preserve">217. The transaction involves the transition from four to three infrastructure operators, eliminating the competitive constraint expressed in the market by one of them. As highlighted above, infrastructure is a relevant factor that affects the ability of operators to exert a competitive constraint in the market in question, as it determines an end-to-end control that allows for autonomous management of the relationship with the final customer and all technical and qualitative aspects of the network on which the latter is served. This implies that the transaction results in the elimination of one of the operators capable of controlling and differentiating its offer to the final customer both qualitatively and economically.  </w:t>
        <w:br/>
        <w:t xml:space="preserve">218. Furthermore, the evidence on the competitive proximity of the Parties examined in the previous section reveals that the concentration results in the elimination of one operator, Vodafone, which appears to be a close competitor of the acquirer. This is evident from both the analysis of the DR and the examination of their strategies, which i) appear absolutely comparable in terms of price - as evidenced by the ARPU values - and in terms of performance, ii) both focus on converging fixed-mobile offers.  </w:t>
        <w:br/>
        <w:t xml:space="preserve">219. For these reasons, it is believed that the elimination of the competitive constraint between the Parties is likely to deteriorate the competitive structure of the market.  </w:t>
        <w:br/>
        <w:t xml:space="preserve">The Competitive Constraints of Other Operators  </w:t>
        <w:br/>
        <w:t xml:space="preserve">220. The competitive constraints that remain as a result of the transaction can be attributed to different categories of operators. A first category is attributable to TIM and WindTre, operators with a significant level of infrastructure, which allows them to have a greater degree of autonomy in formulating retail offers. However, these are operators that have not shown particular dynamism in recent years, as evidenced by the trend of their market shares and their ability to acquire new customers (both gross and net of customers switching suppliers), elements that indicate a low competitive pressure attributable to them.  </w:t>
        <w:br/>
        <w:t xml:space="preserve">221. Specifically, regarding TIM, some evidence of its low dynamism is highlighted: i) the reduction of its market shares, especially in terms of volumes, over the last five years; ii) a share in terms of gross adds in 2023 lower than that of 2019; iii) widely negative net add values in the last two years, meaning outflows of customers exceeding inflows.  </w:t>
        <w:br/>
        <w:t xml:space="preserve">222. With regard to WindTre, the lack of growth in market shares, both in value and volume, as well as ii) a reduction in the share in terms of gross adds, indicating a worsening performance in the portion of contestable customers, attest to limited future prospects for exerting significant competitive pressure.  </w:t>
        <w:br/>
        <w:t xml:space="preserve">223. Furthermore, these are operators that tend not to adopt aggressive commercial policies today. As already highlighted, in fact, TIM generally offers its services at high prices, as evidenced by the ARPU value, which is the highest in the market (see Table 7). WindTre is positioned in a mid-price range (See Table 6) in line with the fact that its average monthly revenues are neither among the highest nor among the lowest achieved by operators in the market.  </w:t>
        <w:br/>
        <w:t xml:space="preserve">224. In the future, no element suggests that, after the transaction, these operators will change their current strategies. On the contrary, the reduction of competition resulting from the transaction could lead both TIM and WindTre to compete even less aggressively to take advantage of the price increases generated by the transaction. It is therefore believed that these operators do not represent a sufficient competitive force to counteract the loss of competition resulting from the concentration in question.  </w:t>
        <w:br/>
        <w:t xml:space="preserve">225. The position of Iliad is different, as it is already active in the telecommunications sector and entered the fixed market strong from its position in mobile. In particular, Iliad entered the market only in January 2022, focusing on a particularly aggressive offer - as demonstrated by the current value of the price lists and the ARPU data - which is allowing it to progressively strengthen itself. Unlike other new entrants, Iliad has a certain level of infrastructure, a factor that - unlike what happens to competitors who rely entirely on the wholesale purchase of access services - makes Iliad's offer more autonomous from the conditions practiced by wholesale operators, allowing it greater maneuvering margins in adopting its pricing strategy.  </w:t>
        <w:br/>
        <w:t xml:space="preserve">226. However, it should be noted that currently Iliad's offer is characterized by partial coverage, as it focuses exclusively on FTTH services. This aspect, while allowing it to propose a very appealing offer, also in qualitative terms, results in a geographical penetration of its offers that currently reaches only [omitted]% of the population. In fact, although its gross adds share indicates a positive growth potential, as it is higher than market shares (both in value and volume), the latter still appear very limited, not exceeding 1%.  </w:t>
        <w:br/>
        <w:t>227. In addition to "pure" telecommunications operators, the market is also characterized by the presence of smaller operators (such as Sky, Poste, Enel) who, despite having recently entered the market and currently having limited shares, may represent a significant competitive constraint in the future. These are operators that generally adopt</w:t>
      </w:r>
    </w:p>
    <w:p>
      <w:r>
        <w:rPr>
          <w:b/>
        </w:rPr>
        <w:t>[Pages 136–138]</w:t>
      </w:r>
    </w:p>
    <w:p>
      <w:r>
        <w:t xml:space="preserve">138 BULLETIN NO. 49 OF DECEMBER 23, 2024  </w:t>
        <w:br/>
        <w:t xml:space="preserve">aggressive commercial policies suitable for supporting a growth process, as evidenced by the net adds (see Figure 7) and by gross adds shares exceeding market shares.  </w:t>
        <w:br/>
        <w:t xml:space="preserve">228. These operators do not originate in the telecommunications sector, but have managed to leverage a consolidated customer base from their core business to enter and expand in the market in question. In other words, they can rely on a large customer base that has been loyalized in another sector for their growth. However, despite significant expansion that has occurred in a short time, they still hold relatively small individual market shares – at most around [5-10]%.  </w:t>
        <w:br/>
        <w:t xml:space="preserve">229. Among these operators is particularly Sky, which entered the market in June 2020. Its offering has a predominantly national coverage, based on FTTH and FTTC networks, excluding only areas not covered by such technologies. From a prospective standpoint, the company, as it states, is set to continue its growth path [omitted]159. However, its expansion prospects are focused on the clientele to which it already offers audiovisual services, [omitted]160.  </w:t>
        <w:br/>
        <w:t xml:space="preserve">230. Another provider belonging to this category is Poste, which entered the market recently, in mid-2021. Qualitatively, its offering is aimed at a clientele "that intends to meet its basic needs for domestic connectivity [omitted]161. Furthermore, its commercial strategy focuses not only on price elements but also on other competitive variables such as transparency, the absence of hidden costs, and contractual constraints. In terms of price, the operator is positioned in a low range, as evidenced by data on the current offers' price lists, the average monthly ARPU, and the monthly expenditure of its customers (see table 7 and figure 6). This is an operator with positive growth potential, as its gross adds share - that is, related to the contestable part of demand - is higher than its market share concerning the overall customer base. However, it is noteworthy that the latter, both in value and volume, is still very low, not exceeding [1-5]%.  </w:t>
        <w:br/>
        <w:t xml:space="preserve">231. Prospectively, there are no elements on record suitable to hypothesize that the market will benefit from the entry of additional operators characterized by significant infrastructural endowments and a core business focused on the telecommunications sector. Any potential competition, like the competition currently expressed by operators that have recently entered the market, could only be represented by non-infrastructured operators, whose competitive potential depends on the wholesale market's offering conditions where they purchase active access services to the network. In fact, their commercial offering is crucially based on the economic and technical conditions under which such services are offered, the provision of which is also conditioned by the presence of Fastweb, especially in areas not covered by Open Fiber.  </w:t>
        <w:br/>
        <w:t xml:space="preserve">232. Ultimately, it is believed that the two main "traditional" operators that would remain as a result of the operation, i.e. TIM and WindTre, do not represent an effective competitive constraint capable of counterbalancing Fastweb's strengthening in the market. The other smaller operators express a currently inadequate competitive potential and thus are insufficient to neutralize the risk of a price increase by the post-merger entity. For some of them, as well as for any new operators intending to enter the market in the near future, the economic and technical conditions under which active services are offered in the wholesale market appear crucial to maintain/exercise appreciable competitive pressure.  </w:t>
        <w:br/>
        <w:t xml:space="preserve">VIII. THE RETAIL FIXED NETWORK SERVICES MARKET FOR BUSINESS CLIENTELE  </w:t>
        <w:br/>
        <w:t xml:space="preserve">VIII.1 The investigative findings  </w:t>
        <w:br/>
        <w:t xml:space="preserve">233. The set of activities related to the offering of connectivity services to clientele that does not belong to the residential user category shows, in the last four years, a contracting volume, as highlighted by data from AGCOM, reported in the following graph.  </w:t>
        <w:br/>
        <w:t xml:space="preserve">Figure 8: Evolution of the number of non-residential lines (million lines)  </w:t>
        <w:br/>
        <w:t xml:space="preserve">Business lines (million)  </w:t>
        <w:br/>
        <w:t xml:space="preserve">2.97  </w:t>
        <w:br/>
        <w:t xml:space="preserve">2.94  </w:t>
        <w:br/>
        <w:t xml:space="preserve">2.92  </w:t>
        <w:br/>
        <w:t xml:space="preserve">2.90  </w:t>
        <w:br/>
        <w:t xml:space="preserve">2.89  </w:t>
        <w:br/>
        <w:t xml:space="preserve">2.86  </w:t>
        <w:br/>
        <w:t xml:space="preserve">2.85 2.85 2.85  </w:t>
        <w:br/>
        <w:t xml:space="preserve">2.82  </w:t>
        <w:br/>
        <w:t xml:space="preserve">2.78  </w:t>
        <w:br/>
        <w:t xml:space="preserve">2.67  </w:t>
        <w:br/>
        <w:t xml:space="preserve">2Q18 4Q18 2Q19 4Q19 2Q20 4Q20 2Q21 4Q21 2Q22 4Q22 2Q23 4Q23  </w:t>
        <w:br/>
        <w:t xml:space="preserve">Source: AGCM processing on AGCOM data, taken from quarterly communications observatories  </w:t>
        <w:br/>
        <w:t xml:space="preserve">234. A study presented by FiberCop, from PTSCLAS162, which estimates the size of the non-residential segment (net of SOHO) in terms of the total number of Broadband/Ultrabroadband accesses (equal to [900,000–1,000,000] as of December 31, 2023), also highlights a contraction in recent years. The study also presents the disaggregation of the total number of accesses by technology, highlighting that about a quarter are fiber accesses, about a fifth are copper accesses, and over half are mixed technology (FTTC); while fiber accesses are growing significantly, those involving copper are in strong contraction.  </w:t>
        <w:br/>
        <w:t xml:space="preserve">162 See Doc. 123.  </w:t>
        <w:br/>
        <w:t xml:space="preserve">140 BULLETIN NO. 49 OF DECEMBER 23, 2024  </w:t>
        <w:br/>
        <w:t xml:space="preserve">Figure 9: Broadband/UltraBB accesses by technologies net of SOHO  </w:t>
        <w:br/>
        <w:t xml:space="preserve">2021 2022 2023 2021 2022 2023  </w:t>
        <w:br/>
        <w:t xml:space="preserve">BB/UBB accesses x 000 MS BB/UBB accesses (%)  </w:t>
        <w:br/>
        <w:t xml:space="preserve">DSL [300-400] [200-300] [100-200] [25-30]% [20-25]% [15-20]%  </w:t>
        <w:br/>
        <w:t xml:space="preserve">FWA &lt;100 &lt;100 &lt;100 &lt;1% [1-5]% [1-5]%  </w:t>
        <w:br/>
        <w:t xml:space="preserve">FTTH [100-200] [100-200] [200-300] [10-15]% [15-20]% [20-25]%  </w:t>
        <w:br/>
        <w:t xml:space="preserve">FTTC [500-600] [500-600] [500-600] [55-60]% [55-60]% [55-60]%  </w:t>
        <w:br/>
        <w:t xml:space="preserve">TOTAL [1,000-1,100] [1,000-1,100] [900-1,000] 100% 100% 100%  </w:t>
        <w:br/>
        <w:t xml:space="preserve">Source: Market analysis regarding the fixed telephony business market conducted by PTSCLAS  </w:t>
        <w:br/>
        <w:t xml:space="preserve">235. With specific reference to the Business market (net of PA and SOHO), the study presented by FiberCop estimates, as of December 31, 2023, a number of Broadband/Ultrabroadband accesses equal to [700,000–800,000], also in contraction both compared to the previous year (- [1-5]%) and compared to 2021 (- [1-5]%), this trend is essentially attributed to the reorganization and rationalization processes undertaken by numerous industrial groups and financial institutions (in some cases as a result of acquisition processes) that have reduced, sometimes significantly, the territorial presence of these entities.  </w:t>
        <w:br/>
        <w:t>236. In order to provide a complete reconstruction of the context in which the operation in question is situated, it is also relevant to consider that, in light of the described stagnation of the turnover related to pure connectivity services, there is a significant growth trend in additional Information Technology services (including especially Cloud and Cybersecurity) on which the needs of businesses are increasingly converging, due to their growing digitalization and the need to equip themselves against the increased aggressiveness of cyber threats.</w:t>
      </w:r>
    </w:p>
    <w:p>
      <w:r>
        <w:rPr>
          <w:b/>
        </w:rPr>
        <w:t>[Pages 139–141]</w:t>
      </w:r>
    </w:p>
    <w:p>
      <w:r>
        <w:t xml:space="preserve">BULLETIN NO. 49 OF DECEMBER 23, 2024 141  </w:t>
        <w:br/>
        <w:t xml:space="preserve">Figure 10: Dimensions of ICT/VAS services and growth trends in Italy (2022-2026)  </w:t>
        <w:br/>
        <w:t xml:space="preserve">163  </w:t>
        <w:br/>
        <w:t xml:space="preserve">Source: TIM website  </w:t>
        <w:br/>
        <w:t xml:space="preserve">237. Despite its heterogeneity, the clientele purchasing connectivity services to support daily work activities requires robust and high-performance solutions, with technical characteristics and complexity superior to those of residential/SOHO clientele, which are preferably satisfied based on connections in fiber optics that are at least partially dedicated164.  </w:t>
        <w:br/>
        <w:t xml:space="preserve">238. This is reflected, from the supply side, in the necessity for operators to have high-quality and reliable infrastructures, the provision of which requires significant investments. In fact, the supply of connectivity services to business clients is concentrated among a few operators characterized by significant infrastructure, including the Parties to this operation.  </w:t>
        <w:br/>
        <w:t xml:space="preserve">239. On one hand, Fastweb provides connectivity services, also characterized by a high level of complexity and customization based on the specific needs of individual businesses, relying, in part, on proprietary fiber optic connections, in combination with various wholesale access solutions165; on the other hand, Vodafone, despite adopting a business model fundamentally centered on wholesale access from the main market players (Open Fiber and FiberCop), also utilizes [omissis]166 for the provision of connectivity services to business clients, part of which is purchased from Retelit167.  </w:t>
        <w:br/>
        <w:t xml:space="preserve">240. The other operator that has historically held a prominent position in offering connectivity services to business clients is TIM, which operates based on a complete and widespread access network163, of which, until a few months ago, it held ownership and which, following the relevant spin-off, it continues to manage based on contractual agreements with KKR168. Retelit, although currently representing a limited portion of the offer, includes among its assets a proprietary fiber optic network, confined to certain large cities and specific local areas, which it integrates through the purchase of wholesale access services169.  </w:t>
        <w:br/>
        <w:t xml:space="preserve">241. Conversely, the lack of an infrastructure endowment adequate to the needs of business clientele represents, according to the operator170, a significant barrier to entry into the market; nor have new operators entirely lacking proprietary infrastructure entered the market, as has occurred in the residential market, for example, with Sky, Poste, and Enel.  </w:t>
        <w:br/>
        <w:t xml:space="preserve">242. The importance of an infrastructure endowment for competing in the market also emerges from Vodafone's internal estimates, according to which infrastructure operators hold a clear competitive advantage in terms of costs.  </w:t>
        <w:br/>
        <w:t xml:space="preserve">Figure 11: Vodafone – corporate segment, infrastructure operators  </w:t>
        <w:br/>
        <w:t xml:space="preserve">[omissis]  </w:t>
        <w:br/>
        <w:t xml:space="preserve">243. In addition to the infrastructure endowment, to offer services to business clientele it is necessary to have design capacity, to define solutions adequate to meet the specific needs of each individual business, especially among corporate clientele, a post-sales assistance network with locations near the served clients, an effective marketing organization, as well as qualified personnel to perform each of these functions171.  </w:t>
        <w:br/>
        <w:t xml:space="preserve">244. The combination of these elements contributes to raising barriers to entry in the examined market, which are amplified in cases, increasingly frequent as the size of the client company increases, where the complexity of the requested service encourages the development of a deep and lasting relationship between the competent unit at the client company and, on the supplier side, the dedicated professionals.  </w:t>
        <w:br/>
        <w:t xml:space="preserve">245. The investigative findings highlight that the described specialty of the supply relationship, along with the fear of service disruptions that could compromise service continuity in the event of a potential change of supplier, and the necessity for specific investments for each client, typically in dedicated infrastructures and ad hoc IT systems, contribute to reducing client mobility, making it more complicated for a new entrant to take over from the incumbent supplier172. However, the virtuous example of Retelit's entry into the market seems to indicate that a high quality of the offer from a technological perspective and the availability of network infrastructures suitable for reaching the client can allow a new entrant to replace the incumbent supplier173.  </w:t>
        <w:br/>
        <w:t xml:space="preserve">246. In the described context, the main variable on which competition is centered is represented by price in relation to the quality of the service offered. While, on one hand, in the segment of clientele with more standardized needs – essentially overlapping with that of small and medium-sized enterprises – price holds predominant importance, on the other hand, the quality profile, specifically tailored to the needs of the individual client, assumes increasing relevance as the size and complexity of the purchasing enterprise increase. In any case, the competence of clients, along with the bargaining power that at least the larger ones can express, contributes to making the price-setting process within individual contractual relationships rather dialectical174.  </w:t>
        <w:br/>
        <w:t xml:space="preserve">247. In the market, it is indeed common practice to offer businesses a package of services that includes, in addition to connectivity, also VAS and ICT services, as well as mobile communication services, which businesses seem interested in purchasing in a one-stop-shop logic. The latter, in particular, for operators with a significant position in the relevant market (Vodafone, TIM, and WindTre), can serve as a driver for the rest of the offer.  </w:t>
        <w:br/>
        <w:t xml:space="preserve">Table 14: Breakdown of the offer to business clientele (data in millions of euros – year 2023)  </w:t>
        <w:br/>
        <w:t xml:space="preserve">Fastweb Vodafone TIM WindTre Retelit  </w:t>
        <w:br/>
        <w:t xml:space="preserve">Connectivity [400-500] [200-300] [500-600] [200-300] &lt;100  </w:t>
        <w:br/>
        <w:t xml:space="preserve">Mobile &lt;100 [600-700] [300-400] [100-200] &lt;100  </w:t>
        <w:br/>
        <w:t xml:space="preserve">ICT-VAS [100-200] &lt;100 [100-200] &lt;100 &lt;100  </w:t>
        <w:br/>
        <w:t xml:space="preserve">Total [500-600] [900-1,000] [1,000-1,100] [400-500] [100-200]  </w:t>
        <w:br/>
        <w:t xml:space="preserve">Source: elaboration on data provided by the operators  </w:t>
        <w:br/>
        <w:t xml:space="preserve">248. In light of the increasing relevance of ICT services, telecommunications operators have implemented strategies aimed at expanding their range of offerings to include these services. Fastweb, for example, has invested in the development of two important next-generation data centers (one in Milan, inaugurated in 2015, and one in Rome, inaugurated in 2021) that host innovative VAS services and ensure service continuity with very high thresholds, complementing them with "proximity" infrastructures to offer its clients even more powerful data processing services and additional computational capacity in a "cloud first" perspective175.  </w:t>
        <w:br/>
        <w:t xml:space="preserve">VIII.2 The position of third parties  </w:t>
        <w:br/>
        <w:t xml:space="preserve">On the market structure  </w:t>
        <w:br/>
        <w:t xml:space="preserve">249. TIM and FiberCop have noted that the shares provided by the Parties do not accurately represent the structure of the retail markets for fixed communication services for business clientele and the  </w:t>
        <w:br/>
        <w:t xml:space="preserve">173 Cf. Minutes of Retelit hearing of October 23, 2024 (doc. 130).  </w:t>
        <w:br/>
        <w:t xml:space="preserve">174 Cf. SWI Memorandum of October 23 (doc. 114).  </w:t>
        <w:br/>
        <w:t>175 Cf. Notification Form (doc. 1).</w:t>
      </w:r>
    </w:p>
    <w:p>
      <w:r>
        <w:rPr>
          <w:b/>
        </w:rPr>
        <w:t>[Pages 142–144]</w:t>
      </w:r>
    </w:p>
    <w:p>
      <w:r>
        <w:t xml:space="preserve">144 BULLETIN NO. 49 OF DECEMBER 23, 2024  </w:t>
        <w:br/>
        <w:t xml:space="preserve">PA176. In particular, TIM observes that the data provided by the Parties presents some inconsistencies with respect to the data from the AGCOM observatory, the data in possession of TIM itself, and the presentation made by Swisscom to analysts regarding the operation. Specifically, with reference to business customers, the Parties attribute to TIM market shares in volume ranging from 55% to 70%, which are inconsistent with the figure of 41.9% reported by AGCOM.  </w:t>
        <w:br/>
        <w:t xml:space="preserve">250. AIIP highlighted that the data on user spending in the fixed network markets in the AGCOM 2024 Annual Report shows that the business customer market is even more concentrated than the residential customer market: indeed, as a result of the operation, it would be characterized by the presence of two operators with very high shares, which could even be higher if the analysis were conducted for individual technologies and on sub-national geographical areas177.  </w:t>
        <w:br/>
        <w:t xml:space="preserve">On the effects of the operation  </w:t>
        <w:br/>
        <w:t xml:space="preserve">251. Almost all operators heard during the investigation highlighted that the operation, involving the concentration between the second and third operator and attributing a duopolistic structure to the market, is likely to result in a significant structural effect.  </w:t>
        <w:br/>
        <w:t xml:space="preserve">252. TIM pointed out how the concentration fits perfectly into Fastweb's expansion strategy, as presented by Swisscom to financial analysts, particularly strengthening vertical integration strategies in FTTH and the use of mobile 5G. As a result of this strengthening, the New Entity will be able to compete on equal terms with TIM in the business customer market (once the distortions arising from excessive frequency allocation and access to advantageous wholesale conditions that Fastweb has are neutralized)178.  </w:t>
        <w:br/>
        <w:t xml:space="preserve">253. WindTre expressed concern that the concentration in question, by strengthening the second market operator, would disrupt the growth trend that it has recently been experiencing in public administration tenders and in offerings to business customers179.  </w:t>
        <w:br/>
        <w:t xml:space="preserve">254. AIIP pointed out that, in the aforementioned duopolistic structure of the market, there could also be restrictive effects on competition of a vertical nature: the two operators, both vertically integrated (Fastweb and Vodafone following the merger and TIM and FiberCop due to the long-term mutual exclusives established in the Master Service Agreement signed during the network spin-off180), could have the incentive to set prices in downstream retail markets that are not replicable by other competitors, who bear higher costs for acquiring the necessary wholesale inputs to provide services to their end customers181.  </w:t>
        <w:br/>
        <w:t xml:space="preserve">255. Colt stated that the operation appears particularly critical due to the fixed/mobile convergence that the New Operator will be able to achieve. In particular, with reference to business users and public administration, the effects of this convergence are relevant concerning services on non-geographic numbers (especially toll-free numbers), for which the New Operator, due to the large mobile customer base it will have, will have a competitive advantage that cannot be replicated by operators182 who, like Colt, are only present in the fixed market183.  </w:t>
        <w:br/>
        <w:t xml:space="preserve">On remedies  </w:t>
        <w:br/>
        <w:t xml:space="preserve">256. Also in relation to this market – as already highlighted regarding the residential customer market (see section VII.2) – several operators indicated that an appropriate remedy to resolve the competitive issues generated by the operation is the imposition, on Fastweb, of an obligation to offer wholesale access services to competitors in the downstream market.  </w:t>
        <w:br/>
        <w:t xml:space="preserve">257. In particular, FiberCop, recalling the strong barriers to entry in the market (of which the very marginal presence of WindTre and Iliad, despite their position in the residential market, would be indicative) and the fact that the New Entity will have a level of infrastructure not available to the remaining competitors, represented the opportunity for a commitment from Fastweb [omissis]184.  </w:t>
        <w:br/>
        <w:t xml:space="preserve">258. Measures aimed at defining an obligation for Fastweb in the upstream market of wholesale access service offerings have also been invoked by Retelit185 and AIIP186 in the perspective of maintaining the current level of competition in the downstream markets for business customers and public administration, which are protected by significant barriers to entry. In this regard, both interveners stated that Fastweb should be required to provide a complete range of active and passive access services based on FTTH technologies – both shared (Gpon) and dedicated (P2P) – and on 5G FWA technology; this obligation should apply both where Fastweb/Vodafone have a proprietary network and on all third-party networks on which they have entered into access/partnership agreements; access prices should be based on the actual wholesale conditions stipulated by Fastweb and Vodafone (including volume discounts granted by FiberCop to Fastweb based on the Fastweb MSA) plus a fair and reasonable remuneration of the costs directly incurred by Fastweb and Vodafone187.  </w:t>
        <w:br/>
        <w:t xml:space="preserve">259. Conversely, Iliad stated that the suitable remedy to resolve the competitive issues that the operation introduces in the markets for offering services to business customers and public administration consists of the sale of the entire business unit of Vodafone Italia active in providing fixed network services to the two aforementioned categories of users. From Iliad's perspective, the business unit should include both the infrastructures and assets currently dedicated to providing such services and the personnel managing the business; moreover, the sale should occur to the benefit of a telecommunications operator active in Italy with (a) a significant market position in the mobile segment, allowing it to be competitive in the market for 'converging' offers, and (b) know-how on FTTH and B2B services and (iii) the necessary financial solidity - even at the group level - to undertake a credible development plan in the relevant markets188.  </w:t>
        <w:br/>
        <w:t xml:space="preserve">260. Declaring itself willing to propose itself as a remedy taker for the acquisition of this business unit, Iliad highlighted that the inclusion of Vodafone's infrastructure assets intended to serve business and public administration customers is essential for the new entrant operator to serve existing customers who use non-FTTH technologies: Iliad, for example, would need to make significant investments to also offer access technologies over copper that are currently being phased out (such as FTTC, ADSL, and copper network), but such investment, in addition to requiring excessively long time, would be economically unsustainable. To offer such technologies, in fact, Iliad would need not only to enter into specific agreements with wholesale suppliers and develop ad hoc information systems but also to expand its network infrastructure - particularly by opening new FiberCop/POP189 Open Fiber colocation centers in a significant part of the territory - to establish backhauling connections between these new POPs and its own network and to install its own equipment at these sites (especially for copper, which implies a much more extensive presence in the territory), without being able to benefit from the economies of scale derived from a large customer base in the fixed market on which to spread these significant investments. Moreover, such investments would need to be amortized within a short time frame due to the increasing phase-out of the copper network190.  </w:t>
        <w:br/>
        <w:t xml:space="preserve">261. Retelit also noted that Vodafone represents an important wholesale customer for it [omissis]. For this reason, Retelit representatives hope that among the corrective measures for the operation, [omissis]191 is also contemplated.  </w:t>
        <w:br/>
        <w:t xml:space="preserve">VIII.3 The position of the Parties  </w:t>
        <w:br/>
        <w:t xml:space="preserve">262. The Parties believe that the operation is not likely to restrict competition in the market in question, primarily because they have a non-homogeneous product portfolio and focus on different categories of business customers, so they are not direct competitors. In fact, Fastweb [omissis]. Conversely, Vodafone focuses on the needs of SMEs with standardized "off-the-shelf" services, to which simpler value-added services are added compared to those offered by Fastweb; these services are primarily offered based on third-party wholesale access services, [omissis]192.  </w:t>
        <w:br/>
        <w:t>263. Furthermore, the market is characterized by limited (or even absent) barriers to entry. Operators active in providing services for residential customers can easily enter and expand into the business customer market, given that (i) there is ample availability of wholesale access services to network infrastructures, (ii) IT skills and dedicated sales personnel can be developed internally.</w:t>
      </w:r>
    </w:p>
    <w:p>
      <w:r>
        <w:rPr>
          <w:b/>
        </w:rPr>
        <w:t>[Pages 145–147]</w:t>
      </w:r>
    </w:p>
    <w:p>
      <w:r>
        <w:t xml:space="preserve">BULLETIN NO. 49 OF DECEMBER 23, 2024 147  </w:t>
        <w:br/>
        <w:t xml:space="preserve">or acquired/outsourced (as done, for example, by Retelit and Intred), (iii) it is possible to collaborate with companies specialized in the provision of ICT/VAS services to offer a broader portfolio of services and (iv) winning a tender issued by the Public Administration allows for the smooth development of both the skills and credibility necessary to serve the largest corporate clients.  </w:t>
        <w:br/>
        <w:t xml:space="preserve">264. Finally, the Parties note that the demand consists of customers with strong bargaining power, which is exercised through various selective procurement mechanisms (for example, bilateral private negotiations or more structured selection processes similar to tenders) within which the economic conditions proposed by operators are usually not passively accepted.  </w:t>
        <w:br/>
        <w:t xml:space="preserve">VIII.4 Assessments  </w:t>
        <w:br/>
        <w:t xml:space="preserve">a) The relevant market  </w:t>
        <w:br/>
        <w:t xml:space="preserve">265. In the initiation provision of this investigation, the Authority, based on its previous decisions193, considered that the market in question includes the set of fixed network services, voice, and connectivity, specifically intended for business customers (excluding SOHO) and that, from a geographical perspective, it presents a national dimension.  </w:t>
        <w:br/>
        <w:t xml:space="preserve">266. This definition, shared by both the Parties and all interveners, is confirmed by the elements that emerged during this investigation: in this regard, it is particularly relevant to consider that business customers have specific needs in terms of service quality, connectivity guarantees, and assistance, which place them on a distinct level compared to residential customers. Conversely, on the supply side, operators must have adequate infrastructure to serve business customers, capable of ensuring high-performance, direct, and dedicated connections. In fact, not all operators active in offering telecommunications services to residential customers compete in offering the same services to business customers; in particular, substitutability from the supply side appears to be precluded for operators lacking proprietary infrastructure.  </w:t>
        <w:br/>
        <w:t xml:space="preserve">267. Similarly, in the offering of services to business customers, specialized operators are active who do not offer services to residential customers. Among these is Retelit, which entered the retail market for business customers leveraging its proprietary infrastructure developed to operate in the wholesale market and targeting a niche clientele. The operator has stated that it does not have a perspective of entering the residential market, as it lacks the organization suitable for managing the large customer base necessary to operate profitably in that latter market194.  </w:t>
        <w:br/>
        <w:t xml:space="preserve">268. Furthermore, as will be argued in the next section, the elements on record confirm that the market for telecommunications services directed at business customers is distinct from that of the same services directed at the Public Administration.  </w:t>
        <w:br/>
        <w:t xml:space="preserve">269. Regarding the geographical dimension, it is noted that the investigation did not reveal elements of heterogeneity in the offers on a territorial basis, while it was found that the offers of all operators cover the entire national territory. Based on these elements, it is believed that the indication of the initiation provision regarding the national breadth of the market can be confirmed.  </w:t>
        <w:br/>
        <w:t xml:space="preserve">193 See provision No. 30382 of November 22, 2022, C12476 - MARBLES/IRIDEOS, in Bulletin No. 44/2022 and provision No. 30002 of February 15, 2022, proceeding I850 - FIBERCOP AGREEMENTS, in Bulletin No. 7/2022.  </w:t>
        <w:br/>
        <w:t>194 See Minutes of the Retelit hearing of October 23, 2024 (doc. 130).</w:t>
      </w:r>
    </w:p>
    <w:p>
      <w:r>
        <w:t xml:space="preserve">148 BULLETIN NO. 49 OF DECEMBER 23, 2024  </w:t>
        <w:br/>
        <w:t xml:space="preserve">b) The effects of the operation  </w:t>
        <w:br/>
        <w:t xml:space="preserve">270. The operation in question involves a significant modification of the structure of the fixed communication services market for business customers, which, following the acquisition of Vodafone by Fastweb, will assume a duopolistic structure.  </w:t>
        <w:br/>
        <w:t xml:space="preserve">271. The data acquired during this investigation, relating to the revenues generated by operators in 2023, indicate that TIM is the market leader, with a share of [50-55]% and will maintain that position even after the operation in question, which will allow Fastweb to significantly reduce the distance that separates them, moving from the current share of [20-25]% to a share of [30-35]% (see Table 15).  </w:t>
        <w:br/>
        <w:t xml:space="preserve">Table 15: Market shares by value – 2023  </w:t>
        <w:br/>
        <w:t xml:space="preserve">TIM [50-55]%  </w:t>
        <w:br/>
        <w:t xml:space="preserve">Fastweb [20-25]%  </w:t>
        <w:br/>
        <w:t xml:space="preserve">VI [10-15]%  </w:t>
        <w:br/>
        <w:t xml:space="preserve">WindTre [5-10]%  </w:t>
        <w:br/>
        <w:t xml:space="preserve">Retelit [1-5]%  </w:t>
        <w:br/>
        <w:t xml:space="preserve">Others [1-5]%  </w:t>
        <w:br/>
        <w:t xml:space="preserve">Fastweb + Vodafone [30-35]%  </w:t>
        <w:br/>
        <w:t xml:space="preserve">Total 100%  </w:t>
        <w:br/>
        <w:t xml:space="preserve">Source: processing of data provided by operators  </w:t>
        <w:br/>
        <w:t xml:space="preserve">272. The market structure that emerges from the PTSCLAS study, presented by FiberCop195, is quite similar: it attributes to TIM a value share of [50-55]% for 2023 - a decrease over the last three years (- [1-5] p.p. compared to 2021), while it estimates a share for the new operator of [30-35]% - an increase (+ [1-5] p.p. compared to 2021).  </w:t>
        <w:br/>
        <w:t xml:space="preserve">Table 16: Market for services for business customers – market shares by value (Broadband/Ultrabroadband Revenues)  </w:t>
        <w:br/>
        <w:t xml:space="preserve">2021 2022 2023  </w:t>
        <w:br/>
        <w:t xml:space="preserve">TIM [55-60]% [50-55]% [50-55]%  </w:t>
        <w:br/>
        <w:t xml:space="preserve">FASTWEB [15-20]% [15-20]% [15-20]%  </w:t>
        <w:br/>
        <w:t xml:space="preserve">WINDTRE [1-5]% [1-5]% [1-5]%  </w:t>
        <w:br/>
        <w:t xml:space="preserve">VODAFONE [10-15]% [10-15]% [10-15]%  </w:t>
        <w:br/>
        <w:t xml:space="preserve">OTHERS [10-15]% [10-15]% [10-15]%  </w:t>
        <w:br/>
        <w:t xml:space="preserve">TOTAL 100.0% 100.0% 100.0%  </w:t>
        <w:br/>
        <w:t xml:space="preserve">Source: Market analysis of the fixed telephony business market conducted by PTSCLAS.  </w:t>
        <w:br/>
        <w:t>195 See doc. 123.</w:t>
      </w:r>
    </w:p>
    <w:p>
      <w:r>
        <w:t xml:space="preserve">BULLETIN NO. 49 OF DECEMBER 23, 2024 149  </w:t>
        <w:br/>
        <w:t xml:space="preserve">273. According to the same study, the volume data (specifically relating to accesses) provide evidence of a greater distance between the market leader (TIM), which, in 2023, held a share of [55-60]%, and the new operator, to which a share of [30-35]% can be attributed; again, while TIM's share shows a declining trend over the three-year period 2021-2023, those of FASTWEB and Vodafone are both increasing.  </w:t>
        <w:br/>
        <w:t xml:space="preserve">Table 17: Market for services for business customers – market shares by volume (Broadband/Ultrabroadband Accesses)  </w:t>
        <w:br/>
        <w:t xml:space="preserve">2021 2022 2023  </w:t>
        <w:br/>
        <w:t xml:space="preserve">TIM [60-65]% [55-60]% [55-60]%  </w:t>
        <w:br/>
        <w:t xml:space="preserve">FASTWEB [10-15]% [10-15]% [10-15]%  </w:t>
        <w:br/>
        <w:t xml:space="preserve">WINDTRE [1-5]% [5-10]% [5-10]%  </w:t>
        <w:br/>
        <w:t xml:space="preserve">VODAFONE [15-20]% [15-20]% [15-20]%  </w:t>
        <w:br/>
        <w:t xml:space="preserve">OTHERS [5-10]% [5-10]% [5-10]%  </w:t>
        <w:br/>
        <w:t xml:space="preserve">TOTAL 100.0% 100.0% 100.0%  </w:t>
        <w:br/>
        <w:t xml:space="preserve">Source: Market analysis of the fixed telephony business market conducted by PTSCLAS.  </w:t>
        <w:br/>
        <w:t xml:space="preserve">274. The relevance of the structural impact of the operation in question is also reflected in the HHI index, which, starting from a very high pre-merger value (3,451), will rise to 3,913, recording an increase (“delta”) of 462 points considering the value shares in Table 17196.  </w:t>
        <w:br/>
        <w:t xml:space="preserve">275. As a result of the exit from the market of the third operator, the operation removes an important competitive constraint. In particular, at present, Vodafone represents a very important competitor in the small-medium enterprises segment, in which - according to the volume data (number of accesses) reported in the study presented by FiberCop - it holds a share of [20-25]%, compared to [5-10]% of Fastweb and [55-60]% of TIM. On the other hand, in the segment of larger customers (in which Fastweb holds a share of [15-20]%), Vodafone, while currently holding a share of [10-15]%, must be considered a competitor with growth potential, given the infrastructural assets and organizational characteristics it possesses, which have allowed it to successfully enter a market (that of the Public Administration - see below) where demand has needs similar to those of corporate customers.  </w:t>
        <w:br/>
        <w:t xml:space="preserve">276. In conclusion, therefore, based on the elements examined here, it is believed that, given the structure of the market, the removal of the competitive constraint between the Parties, along with the reduction of the asymmetry between the only two large players, is likely to cause significant competitive harm.  </w:t>
        <w:br/>
        <w:t>196 According to the "Guidelines on the assessment of horizontal concentrations under the Council Regulation on the control of concentrations between undertakings" (2004/C 31/03), "It is unlikely that the Commission will identify problems from the perspective of horizontal competition in a market if, after the concentration, the HHI is below 1,000. [...]. It is equally unlikely that the Commission will raise objections from the perspective of horizontal competition if, after the concentration, the HHI is between 1,000 and 2,000 and the delta is below 250, or if, after the concentration, the HHI is above 2,000 and the delta is below 150." Furthermore, it should be noted that the HHI index has been calculated cautiously for the Parties excluding the market share jointly held residually by other operators (corresponding to the "Others" category), amounting to 3%. In fact, if the market shares of the remaining competitors had also been considered, the HHI index would have increased.</w:t>
      </w:r>
    </w:p>
    <w:p>
      <w:r>
        <w:rPr>
          <w:b/>
        </w:rPr>
        <w:t>[Pages 148–150]</w:t>
      </w:r>
    </w:p>
    <w:p>
      <w:r>
        <w:t xml:space="preserve">150 BULLETIN NO. 49 OF DECEMBER 23, 2024  </w:t>
        <w:br/>
        <w:t xml:space="preserve">277. On the other hand, the residual competition expressed by WindTre, Retelit, and other smaller operators currently does not appear sufficient to counterbalance the restrictive effects on competition that the operation could generate. The first operator, in fact, despite having a significant presence in the residential customer market, has not yet been able to achieve appreciable growth in its position in the business customer market. Retelit, on the other hand, despite the significant dimensional leap achieved with the acquisition of Irideos, which allowed it to move from an initial niche position to aggressively target the market at all levels197, expresses still limited competitive potential.  </w:t>
        <w:br/>
        <w:t xml:space="preserve">278. According to the findings from the investigation, the growth potential of these operators largely depends on the ability to adequately integrate their infrastructure through wholesale access services. Retelit, for example, has provided a clear indication regarding the need to condition the authorization through "significant remedies in the wholesale market (for business customers), which would then have effects in the retail market, in the sense that the proposed changes to the access conditions for wholesale services would allow a retail operator like Retelit to be more competitive in the downstream market"198, evidently identifying the difficulties in accessing wholesale services as the main limit to its growth potential.  </w:t>
        <w:br/>
        <w:t xml:space="preserve">279. Conversely, operators already active in the telecommunications sector have shown fewer difficulties in acquiring the additional inputs necessary to operate in the market in question, such as project capacity (which, for example, Retelit has drawn from its previous experience in the wholesale market), the post-sales assistance network with locations near the served customers, and marketing organization (which, for example, Vodafone has developed by leveraging its experience in the residential market199), or qualified personnel, which in this sector shows a high propensity for mobility.  </w:t>
        <w:br/>
        <w:t xml:space="preserve">280. Similarly, potential competition could come from operators already active in the telecommunications services market who can rely on, or procure, adequate infrastructure and organizational capacity to meet the needs of business customers. In this regard, the experience of Retelit is indicative, as it entered the market in question leveraging its own fiber optic infrastructure, already developed to operate in the upstream wholesale services market, only to later resort to external growth operations to expand its customer base and acquire the necessary organizational structures200. On the other hand, Vodafone entered the market without abandoning its business model, focused on the wholesale purchase of access services, leveraging the capabilities gained from its previous experience in other telecommunications markets: in particular, the experience derived from its significant presence in the fixed network services market offered to residential customers may have proven crucial in preparing the service offering aimed at small and medium-sized enterprises, while the knowledge acquired following the awarding of some public administration tenders concerning the same services (e.g. SPC2) has allowed it to also target corporate clients who typically require more sophisticated solutions.  </w:t>
        <w:br/>
        <w:t xml:space="preserve">281. Regarding the technological profile, it does not seem possible to share Iliad's position, according to which a potential new entrant would need to make significant investments to offer copper access technologies as well: this technology, in fact, has a minority relevance in the market and is decreasing over time (as highlighted in Figure 1), coming into play only when customers have premises located in peripheral areas not reached by fiber201. And indeed, Retelit entered the market only starting from its fiber optic infrastructure202.  </w:t>
        <w:br/>
        <w:t xml:space="preserve">IX. THE MARKET FOR FIXED NETWORK RETAIL SERVICES FOR THE PUBLIC ADMINISTRATION  </w:t>
        <w:br/>
        <w:t xml:space="preserve">IX.1 The Investigative Findings  </w:t>
        <w:br/>
        <w:t xml:space="preserve">The Public Procurement System  </w:t>
        <w:br/>
        <w:t xml:space="preserve">282. As noted by the Authority in the investigation related to the concentration Telecom Italia/Business Units of BT Italia203, the market for fixed network retail services for the public administration presents specificities regarding the methods of acquiring suppliers, which are based on the selection of the economically most advantageous offer and the request for significantly high qualification requirements for tenders in terms of financial capacity, and on rules that regulate such supplies quite thoroughly.  </w:t>
        <w:br/>
        <w:t xml:space="preserve">283. In particular, the needs of the public administration are expressed by procurement centers, active both on a national basis, such as Consip and Infratel, and on a regional basis, which act as the only large buyers aggregating purchases on behalf of various public administrations, as well as by local contracting authorities. The contractual terms and the criteria for selecting potential suppliers are defined within the organization of individual tenders, which conclude with the awarding of significant contracts or "framework agreements" (also referred to as "conventions"). For framework contracts, the contractual dynamics provide that, following each tender, each successful bidder enters into its own framework contract with the procurement center; in turn, the individual public administrations will enter into their own executive contract with the individual supplier. In Consip tenders, adherence to framework agreements is mandatory for central public administrations ("PAC"), while local public administrations ("PAL") are not subject to the same obligation; however, the quality/price conditions established in their contracts must not be worse than those established in the framework agreements.  </w:t>
        <w:br/>
        <w:t xml:space="preserve">284. While until recently procurement centers followed the practice of issuing separate tenders for fixed telephony services and for connectivity services, recently, considering that telephony has progressively taken on the characteristics of a commodity, they are moving towards the joint purchase of the two services. In this regard, it is noteworthy that the third edition of the tender within the Public Connectivity System (SPC), which Consip is about to issue, concerns the acquisition of both services204.  </w:t>
        <w:br/>
        <w:t xml:space="preserve">285. At the national level, the main tenders for connectivity and telephony services issued by Consip in the last 20 years have been:  </w:t>
        <w:br/>
        <w:t xml:space="preserve">- for connectivity services, the SPC1 tender and the SPC2 tender (whose executive contracts are still ongoing);  </w:t>
        <w:br/>
        <w:t xml:space="preserve">- for international connectivity services, the three Ripa tenders, S/Ripa1 and S/Ripa2 (whose executive contracts are still ongoing);  </w:t>
        <w:br/>
        <w:t xml:space="preserve">- for fixed telephony, the TF4 and TF5 tenders (whose executive contracts are still ongoing)205.  </w:t>
        <w:br/>
        <w:t xml:space="preserve">286. With reference to the SPC1 and SPC2 tenders, which have a starting base of 1.2 and 2.4 billion euros respectively – the only two national tenders held since 2006 for the provision of connectivity services to the public administration, the characteristics of which are summarized in the following Table 18 – it is observed that a large number of operators participated, sometimes in RTI, including the Parties to this operation: while Vodafone participated (in RTI) only in SPC2, Fastweb participated in both (in RTI for SPC1), being among the successful bidders of the first206; regarding the second tender, Fastweb took over from Tiscali following the acquisition of the related business unit in 2017. Consequently, for connectivity services, Fastweb has been among the incumbent suppliers since 2006. Previously, the service provider was TIM, as the successful bidder of the tenders for the unified network of the public administration (so-called Rupa).  </w:t>
        <w:br/>
        <w:t xml:space="preserve">204 See https://www.consip.it/bandi-di-gara/gare-e-avvisi/avviso-di-preinformazione-spc-ed-3.  </w:t>
        <w:br/>
        <w:t xml:space="preserve">205 See C12354 Telecom Italia/Business Units of BT Italia, cited.  </w:t>
        <w:br/>
        <w:t>206 These are tenders issued according to the multi-supplier model.</w:t>
      </w:r>
    </w:p>
    <w:p>
      <w:r>
        <w:rPr>
          <w:b/>
        </w:rPr>
        <w:t>[Pages 151–153]</w:t>
      </w:r>
    </w:p>
    <w:p>
      <w:r>
        <w:t xml:space="preserve">BULLETIN NO. 49 OF DECEMBER 23, 2024 153  </w:t>
        <w:br/>
        <w:t xml:space="preserve">Table 18: SPC1 and SPC2 Connectivity Tenders  </w:t>
        <w:br/>
        <w:t xml:space="preserve">G  </w:t>
        <w:br/>
        <w:t xml:space="preserve">a  </w:t>
        <w:br/>
        <w:t xml:space="preserve">r  </w:t>
        <w:br/>
        <w:t xml:space="preserve">a D  </w:t>
        <w:br/>
        <w:t xml:space="preserve">u  </w:t>
        <w:br/>
        <w:t xml:space="preserve">a N N . A r a  </w:t>
        <w:br/>
        <w:t xml:space="preserve">Year of awarding Tender Amount Mln € Base Participants Awarded Participants Awarded Participants expiration and extensions  </w:t>
        <w:br/>
        <w:t xml:space="preserve">5 years +  </w:t>
        <w:br/>
        <w:t xml:space="preserve">BT, RTI  </w:t>
        <w:br/>
        <w:t xml:space="preserve">Fastweb 60%, BT 4 years  </w:t>
        <w:br/>
        <w:t xml:space="preserve">1.20 Fastweb+HP,  </w:t>
        <w:br/>
        <w:t xml:space="preserve">SPC1 2006 5 3 20%, Wind 15%, 2015 extension  </w:t>
        <w:br/>
        <w:t xml:space="preserve">0 TIM, Wind,  </w:t>
        <w:br/>
        <w:t xml:space="preserve">TIM 5%. +2  </w:t>
        <w:br/>
        <w:t xml:space="preserve">TISCALI  </w:t>
        <w:br/>
        <w:t xml:space="preserve">years1  </w:t>
        <w:br/>
        <w:t xml:space="preserve">Fastweb  </w:t>
        <w:br/>
        <w:t xml:space="preserve">(substituting TIM, Fastweb,  </w:t>
        <w:br/>
        <w:t xml:space="preserve">Tiscali Italia  </w:t>
        <w:br/>
        <w:t xml:space="preserve">BT, Tiscali, RTI  </w:t>
        <w:br/>
        <w:t xml:space="preserve">S.p.A. in 2017)  </w:t>
        <w:br/>
        <w:t xml:space="preserve">Vodafone-  </w:t>
        <w:br/>
        <w:t xml:space="preserve">- Share of 60%;  </w:t>
        <w:br/>
        <w:t xml:space="preserve">2.40 Ericsson, Wind  </w:t>
        <w:br/>
        <w:t xml:space="preserve">SPC2 2013 2015 6 3 BT Share of 2024 7 years  </w:t>
        <w:br/>
        <w:t xml:space="preserve">0 RTI Infracom –  </w:t>
        <w:br/>
        <w:t xml:space="preserve">20%  </w:t>
        <w:br/>
        <w:t xml:space="preserve">Clouditalia  </w:t>
        <w:br/>
        <w:t xml:space="preserve">RTI  </w:t>
        <w:br/>
        <w:t xml:space="preserve">Communications  </w:t>
        <w:br/>
        <w:t xml:space="preserve">Vodafone/Ericsson – MC Link  </w:t>
        <w:br/>
        <w:t xml:space="preserve">Share of  </w:t>
        <w:br/>
        <w:t xml:space="preserve">20%.  </w:t>
        <w:br/>
        <w:t xml:space="preserve">Source: Authority provision No. 29736 of June 22, 2021.  </w:t>
        <w:br/>
        <w:t>287. The Parties to the operation are also among the participants in the S/Ripa1 and S/Ripa 2 tenders – with a starting bid of 170 and 111 million euros respectively – for international connectivity (Fastweb in the first edition, Vodafone in the second), but are not among the awarded participants.</w:t>
      </w:r>
    </w:p>
    <w:p>
      <w:r>
        <w:t xml:space="preserve">154 BULLETIN NO. 49 OF DECEMBER 23, 2024  </w:t>
        <w:br/>
        <w:t xml:space="preserve">Table 19: S/Ripa Tenders International Network Connectivity  </w:t>
        <w:br/>
        <w:t xml:space="preserve">G  </w:t>
        <w:br/>
        <w:t xml:space="preserve">a r D  </w:t>
        <w:br/>
        <w:t xml:space="preserve">a u  </w:t>
        <w:br/>
        <w:t xml:space="preserve">a N N . A r a  </w:t>
        <w:br/>
        <w:t xml:space="preserve">Year of awarding Tender Amount Mln € Base Participants Awarded Participants Awarded Participants expiration and extensions  </w:t>
        <w:br/>
        <w:t xml:space="preserve">S RTI BT-EDS-  </w:t>
        <w:br/>
        <w:t xml:space="preserve">/  </w:t>
        <w:br/>
        <w:t xml:space="preserve">R  </w:t>
        <w:br/>
        <w:t xml:space="preserve">ip Elsag  </w:t>
        <w:br/>
        <w:t xml:space="preserve">a Datamat;  </w:t>
        <w:br/>
        <w:t xml:space="preserve">1 200  </w:t>
        <w:br/>
        <w:t xml:space="preserve">9  </w:t>
        <w:br/>
        <w:t xml:space="preserve">2010 170 3 TIM; 1  </w:t>
        <w:br/>
        <w:t xml:space="preserve">It  </w:t>
        <w:br/>
        <w:t xml:space="preserve">R  </w:t>
        <w:br/>
        <w:t xml:space="preserve">a  </w:t>
        <w:br/>
        <w:t xml:space="preserve">T  </w:t>
        <w:br/>
        <w:t xml:space="preserve">li  </w:t>
        <w:br/>
        <w:t xml:space="preserve">I  </w:t>
        <w:br/>
        <w:t xml:space="preserve">a  </w:t>
        <w:br/>
        <w:t xml:space="preserve">B  </w:t>
        <w:br/>
        <w:t xml:space="preserve">-  </w:t>
        <w:br/>
        <w:t xml:space="preserve">T  </w:t>
        <w:br/>
        <w:t xml:space="preserve">E  </w:t>
        <w:br/>
        <w:t xml:space="preserve">-  </w:t>
        <w:br/>
        <w:t xml:space="preserve">l  </w:t>
        <w:br/>
        <w:t xml:space="preserve">H  </w:t>
        <w:br/>
        <w:t xml:space="preserve">sa  </w:t>
        <w:br/>
        <w:t xml:space="preserve">P  </w:t>
        <w:br/>
        <w:t xml:space="preserve">g  </w:t>
        <w:br/>
        <w:t xml:space="preserve">S 201  </w:t>
        <w:br/>
        <w:t xml:space="preserve">6  </w:t>
        <w:br/>
        <w:t xml:space="preserve">84 months  </w:t>
        <w:br/>
        <w:t xml:space="preserve">RTI  </w:t>
        <w:br/>
        <w:t xml:space="preserve">Fastweb-  </w:t>
        <w:br/>
        <w:t xml:space="preserve">Verizon  </w:t>
        <w:br/>
        <w:t xml:space="preserve">S  </w:t>
        <w:br/>
        <w:t xml:space="preserve">/ RTI BT RTI BT  </w:t>
        <w:br/>
        <w:t xml:space="preserve">R  </w:t>
        <w:br/>
        <w:t xml:space="preserve">ip  </w:t>
        <w:br/>
        <w:t xml:space="preserve">201 111.2  </w:t>
        <w:br/>
        <w:t xml:space="preserve">Italy– Italy–  </w:t>
        <w:br/>
        <w:t xml:space="preserve">202 Extendable  </w:t>
        <w:br/>
        <w:t xml:space="preserve">2019 3 Leonardo; 1 Leonardo  </w:t>
        <w:br/>
        <w:t xml:space="preserve">2 7 4 and 12 months  </w:t>
        <w:br/>
        <w:t xml:space="preserve">TIM;  </w:t>
        <w:br/>
        <w:t xml:space="preserve">Vodafone  </w:t>
        <w:br/>
        <w:t xml:space="preserve">Source: Authority provision No. 29736 of June 22, 2021.  </w:t>
        <w:br/>
        <w:t>288. Regarding the tenders for telephone services – which, unlike those for connectivity, provide for a single awarded participant for the Convention (except for the possibility of multiple suppliers in the Framework Agreement), it is noted that TIM has been the historical awarded reference until the TF2 tender, then replaced by Fastweb starting from the TF3 tender. Vodafone participated in the latest edition (TF5), being among the awarded participants within the Framework Agreement which had a starting bid of 925 million euros.</w:t>
      </w:r>
    </w:p>
    <w:p>
      <w:r>
        <w:t xml:space="preserve">BULLETIN NO. 49 OF DECEMBER 23, 2024 155  </w:t>
        <w:br/>
        <w:t xml:space="preserve">Table 20: Consip Fixed Telephony Tenders  </w:t>
        <w:br/>
        <w:t xml:space="preserve">G  </w:t>
        <w:br/>
        <w:t xml:space="preserve">a  </w:t>
        <w:br/>
        <w:t xml:space="preserve">r  </w:t>
        <w:br/>
        <w:t xml:space="preserve">a  </w:t>
        <w:br/>
        <w:t xml:space="preserve">D  </w:t>
        <w:br/>
        <w:t xml:space="preserve">u  </w:t>
        <w:br/>
        <w:t xml:space="preserve">a N N . A r a  </w:t>
        <w:br/>
        <w:t xml:space="preserve">Year of awarding Tender Amount Mln € Base Participants Awarded Participants Awarded Participants expiration and extensions  </w:t>
        <w:br/>
        <w:t xml:space="preserve">Wind,  </w:t>
        <w:br/>
        <w:t xml:space="preserve">TIM, TIM - share 3 years  </w:t>
        <w:br/>
        <w:t xml:space="preserve">TF 201 Fastweb, 75% 201 (duration  </w:t>
        <w:br/>
        <w:t xml:space="preserve">2011 1.280 4 2  </w:t>
        <w:br/>
        <w:t xml:space="preserve">4 0 RTI BT Fastweb - 5 total  </w:t>
        <w:br/>
        <w:t xml:space="preserve">Italy – share 25% for 7 years)  </w:t>
        <w:br/>
        <w:t xml:space="preserve">Tiscali  </w:t>
        <w:br/>
        <w:t xml:space="preserve">1° Cl:  </w:t>
        <w:br/>
        <w:t xml:space="preserve">Convention  </w:t>
        <w:br/>
        <w:t xml:space="preserve">Fastweb,  </w:t>
        <w:br/>
        <w:t xml:space="preserve">Fastweb  </w:t>
        <w:br/>
        <w:t xml:space="preserve">RTI Wind –  </w:t>
        <w:br/>
        <w:t xml:space="preserve">AQ:  </w:t>
        <w:br/>
        <w:t xml:space="preserve">TF 201 Tiscali, 202 Extendable  </w:t>
        <w:br/>
        <w:t xml:space="preserve">2017 925 4 3 Fastweb,  </w:t>
        <w:br/>
        <w:t xml:space="preserve">5 5 TIM, 1 12 months  </w:t>
        <w:br/>
        <w:t xml:space="preserve">RTI Wind  </w:t>
        <w:br/>
        <w:t xml:space="preserve">RTI BT –  </w:t>
        <w:br/>
        <w:t xml:space="preserve">Tiscali,  </w:t>
        <w:br/>
        <w:t xml:space="preserve">Vodafone  </w:t>
        <w:br/>
        <w:t xml:space="preserve">RTI BT  </w:t>
        <w:br/>
        <w:t xml:space="preserve">Vodafone  </w:t>
        <w:br/>
        <w:t xml:space="preserve">Source: Authority provision No. 29736 of June 22, 2021.  </w:t>
        <w:br/>
        <w:t xml:space="preserve">289. In 2020 and 2022, Infratel S.p.A. also announced two tenders to bring broadband connectivity services, respectively, to the premises of Italian schools (Connected School Tender) and to public health service facilities (Connected Health Tender). The School Tender, with a total value of 184M€, was divided into 8 lots, each corresponding to a grouping of geographically contiguous regions, and recorded participation from only Fastweb and TIM in all lots, with the sole exception of Lot 2 (Lombardy) where Intred also participated, being awarded. TIM and Fastweb were awarded 4 lots (for a total starting bid value of approximately 60% of the total) and 3 lots (approximately 29% of the total) respectively. Similarly, the Health Tender, with a total value of 387M€, was organized according to a division into 8 lots defined on a geographical basis and recorded participation from TIM, Fastweb, Vodafone, WindTre, and Intred; among these, the Parties to this operation were awarded 6 lots, of which 4 by Fastweb (for a total starting bid value of approximately 54% of the total) and 2 by Vodafone (23% of the total); the other two lots (also for a total starting bid value of approximately 23% of the total) were awarded to TIM.  </w:t>
        <w:br/>
        <w:t>290. Looking ahead, the upcoming tender for connectivity and telephony services (SPC3) is particularly significant, as indicated in the recent pre-information notice by Consip.</w:t>
      </w:r>
    </w:p>
    <w:p>
      <w:r>
        <w:rPr>
          <w:b/>
        </w:rPr>
        <w:t>[Pages 154–156]</w:t>
      </w:r>
    </w:p>
    <w:p>
      <w:r>
        <w:t xml:space="preserve">156 BULLETIN NO. 49 OF DECEMBER 23, 2024  </w:t>
        <w:br/>
        <w:t xml:space="preserve">estimates to publish a notice or a call for tenders by the end of February 2025; the tender, which will be awarded based on the economically most advantageous offer based on the best quality/price ratio, has an estimated value that is extremely significant, both in absolute terms (3 billion euros) and in relation to the overall expenditure of the Public Administration on telecommunications services209; for this reason, the outcome of this tender will have a significant impact on the definition of the market structure in the near future. In this regard, it is important to consider that, although the pre-notice published by Consip does not provide indications regarding the duration of the contract, the experience of previous editions suggests that it will be quite long210.  </w:t>
        <w:br/>
        <w:t xml:space="preserve">291. Regarding this tender, Consip has stated that the call has been structured – with regard to the division of lots (3 PAC lots and 4 PAL lots), their value, and the participation requirements for the individual lots ([omitted] – in such a way as to allow broad participation in the tender, even by operators who, although they did not participate in the previous edition (such as [omitted]) or represented a lesser competitive force (such as [omitted]), have shown their interest during the related market consultation conducted by Consip in 2022. Furthermore, the rules for awarding the lots of the tender, [omitted], have been defined in such a way that, even if participation is restricted to the two main operators, a proper competition can develop between them211.  </w:t>
        <w:br/>
        <w:t xml:space="preserve">The characteristics of the market  </w:t>
        <w:br/>
        <w:t xml:space="preserve">292. It is preliminarily noted that the market under examination is characterized by the peculiar ways in which demand manifests itself – through tenders for large-scale and long-term contracts – which give rise to a competitive dynamic characterized by opportunities for open comparison among operators (during the submission of offers for participation in a specific tender) alternating with long periods of stability.  </w:t>
        <w:br/>
        <w:t xml:space="preserve">293. The competitive variables on which the competition that develops during the opening of individual tenders is focused are represented by price and/or quality, depending on the model chosen by the contracting authority or the legislator. In this regard, it is important to note that Legislative Decree No. 36/2023 has provided for the award based on the economically most advantageous offer, identified based on the best quality/price ratio, thus overcoming the previous criterion of awarding based solely on price, which, for example, was applied in the SPC2 tender.  </w:t>
        <w:br/>
        <w:t xml:space="preserve">294. The time that elapses between the holding of a tender and its renewal is generally quite long, due to the fact that, due to the succession of extensions, the complexity of the migration process, and the litigation in the field of contracts, the contracts concluded with operators following the award of a tender end up having a duration much longer than originally planned.  </w:t>
        <w:br/>
        <w:t xml:space="preserve">209 TIM has estimated that the expenditure on SPC connectivity services amounts to about 65% of the total expenditure of the Public Administration on TLC services (see minutes of the hearing of October 2, doc. 87).  </w:t>
        <w:br/>
        <w:t xml:space="preserve">210 For example, the previous edition (SPC2) was announced in 2013, with a duration set at 7 years, and due to various extensions, is still in force.  </w:t>
        <w:br/>
        <w:t>211 See minutes of the Consip hearing of October 7, 2024 (doc. 76).</w:t>
      </w:r>
    </w:p>
    <w:p>
      <w:r>
        <w:t xml:space="preserve">BULLETIN NO. 49 OF DECEMBER 23, 2024 157  </w:t>
        <w:br/>
        <w:t xml:space="preserve">295. Access to the market under examination presupposes overcoming significant barriers to entry, represented by the infrastructural investments that operators must bear to provide service to a wide range of administrations, by the guarantees and references required by the contracting authorities, as well as by the specific organizational needs that a supplier must face to interface with public administrations.  </w:t>
        <w:br/>
        <w:t xml:space="preserve">296. Regarding infrastructure, participants in the investigation have highlighted that to operate in the public administration market, specific investments in infrastructure dedicated to each client212 must be made; the costliness of the investments is amplified by the fact that, generally, an administration consists of multiple locations, some of which may be located within urban centers characterized by a high level of infrastructure, and others, also significant, are spread throughout the territory. The provision of these latter requires a widespread and articulated infrastructural endowment from a technological perspective, depending on the areas of the country to be reached; conversely, the locations situated in the main urban centers are generally served by the most performing technological solution, represented by dedicated point-to-point fiber optic connections.  </w:t>
        <w:br/>
        <w:t xml:space="preserve">297. Regarding the infrastructural endowment, Consip has stated that it has taken into account, in defining the tender for the SPC3 tender, “the important ongoing evolution in the sector from a technological perspective, which currently shows a heterogeneity among operators in terms of infrastructural endowment” and has opted, in order to ensure the greatest possible participation in the tender, for the admissibility of offers prepared based on mixed technological profiles. According to the contracting authority, “this configures an opportunity, for the purposes of participation in the tender, for operators who have an infrastructural endowment that includes FTTH technology; conversely, the lack of non-FTTH technologies [...] does not appear to be an element suitable for restricting participation in the tender, considering the presence of two wholesale-only operators, to whom each supplier can turn to integrate their infrastructural endowment, if necessary”213.  </w:t>
        <w:br/>
        <w:t xml:space="preserve">298. Regarding the wholesale procurement of access services, the investigation has revealed that for any operator, the provision of connectivity services to a public administration presupposes the wholesale purchase of a portion of input, the qualification and extent of which depend on its owned infrastructural endowment. In fact, to serve each individual administration, it is necessary to prepare a dedicated infrastructural project using a mix of shared and dedicated services, in various technologies (fiber, copper, FWA, and even microwave links), of which each operator must wholesale purchase the components needed to complete their endowment (such as, for example, dedicated fiber connections from the administration's location to the nearest interconnection point with the backbone network, portions of shared network more or less extensive depending on the specific location of the sites to be reached)214.  </w:t>
        <w:br/>
        <w:t xml:space="preserve">299. Regarding organizational profiles, the investigation has revealed that to provide services to the public administration, it is necessary to have a widely distributed after-sales assistance network throughout the territory, as well as one or more dedicated internal departments, with adequately qualified personnel to effectively manage the specificities of this segment, which include aspects such as navigating the complexities of public tender procedures, managing public contracts, governance, and billing215.  </w:t>
        <w:br/>
        <w:t xml:space="preserve">300. In addition to the barriers described above, which generally characterize entry into the public administration services market, there are some aspects related to individual tenders that, while favoring the incumbent supplier, represent a barrier for all other participants in the tender.  </w:t>
        <w:br/>
        <w:t xml:space="preserve">301. Firstly, the incumbent supplier is advantaged by knowledge of the customer, from a technical perspective (that is, regarding the configuration of the access services necessary to provide service at each of its locations) and from the perspective of consumption (i.e., the consumption that the customer expresses and its evolution over the duration of the supply). Conversely, the unavailability of such information constitutes a significant obstacle for potential competitors in preparing their tender offer.  </w:t>
        <w:br/>
        <w:t xml:space="preserve">302. In this regard, Consip has stated that the information profile is among its priorities in preparing the tender rules: it has indeed adopted the practice of asking the incumbent to periodically produce information that it then makes available during the publication of the tenders to the participants in the tenders216.  </w:t>
        <w:br/>
        <w:t xml:space="preserve">303. Furthermore, the incumbent supplier is advantaged to the extent that, in the event of re-awarding the tender, it can continue to rely on the already established and prepared infrastructural architecture; conversely, a new entrant will have to design and implement its own infrastructure and manage the migration of a generally very high number of users onto it. This process presents a high level of complexity and requires very long times, which in itself contributes to penalizing the return on investment for the new entrant.  </w:t>
        <w:br/>
        <w:t xml:space="preserve">IX.2 The position of third parties  </w:t>
        <w:br/>
        <w:t xml:space="preserve">304. It is preliminarily noted that the operators involved in the investigation, in their considerations, have mostly grouped the retail fixed communication services market for the public administration with that of services for business clientele. Therefore, this section will limit itself to highlighting the observations that specifically concerned the public administration market, referring for the rest to the previous section (see paragraph VIII.2).  </w:t>
        <w:br/>
        <w:t xml:space="preserve">On the structure of the market  </w:t>
        <w:br/>
        <w:t xml:space="preserve">305. Contesting, as mentioned, the representativeness of the data provided by the Parties, TIM has noted that the New Entity would reach an 85% share on the SPC2 contract, compared to a 15% share of TIM itself, expressing concern that, in the absence of adequate corrective measures, such asymmetry could also occur in the upcoming SPC3 tender. More generally, in the entire public administration market, the New Entity will find itself in a dominant position, with a gap from TIM of about [15-20] percentage points. In light of this market structure, the competitive concerns expressed by the Authority regarding possible coordination would also be alleviated.  </w:t>
        <w:br/>
        <w:t xml:space="preserve">215 See Annex X.4.2.6 to the Notification Form.  </w:t>
        <w:br/>
        <w:t>216 See minutes of the hearing of October 7, 2024 (doc. 76).</w:t>
      </w:r>
    </w:p>
    <w:p>
      <w:r>
        <w:rPr>
          <w:b/>
        </w:rPr>
        <w:t>[Pages 157–159]</w:t>
      </w:r>
    </w:p>
    <w:p>
      <w:r>
        <w:t xml:space="preserve">BULLETIN NO. 49 OF DECEMBER 23, 2024 159  </w:t>
        <w:br/>
        <w:t xml:space="preserve">TIM and the New Entity, as the latter would have no interest in coordinating from its dominant position217.  </w:t>
        <w:br/>
        <w:t xml:space="preserve">On the effects of the operation  </w:t>
        <w:br/>
        <w:t xml:space="preserve">306. WindTre expressed concern that the operation in question would strengthen the duopoly between TIM and Fastweb (NewCo), against which it would not be able to exert a significant competitive constraint, noting that, even in the phase preceding the closing of the concentration operation, Fastweb and Vodafone are in a position of competitive advantage since both could submit bids in the upcoming public tenders issued by Consip and consequently would have a doubled chance of winning, to the detriment of other participants218.  </w:t>
        <w:br/>
        <w:t xml:space="preserve">307. AIIP emphasized that the operation, if authorized outright, would grant the New Entity a dominant position (more precisely, “super-dominant”) in the market for services to the Public Administration, particularly due to the insurmountable advantage it would have in future tenders compared to competitors. In particular, in tenders where Fastweb and/or Vodafone are the outgoing suppliers, the Combined Entity would be the only competitor able to know the exact consumption profiles of the Public Administration necessary to formulate the most effective and efficient offer; furthermore, any new awardee would require full and effective cooperation from the previous awardee to transition the Public Administration to its platform219.  </w:t>
        <w:br/>
        <w:t xml:space="preserve">On remedies  </w:t>
        <w:br/>
        <w:t xml:space="preserve">308. Iliad220, on one hand, and on the other hand, Retelit221, FiberCop222, and AIIP223 indicated the same remedies for the Public Administration market – respectively of a structural and behavioral nature (i.e. access obligation) already referred to the business customer market, described in section VIII.2, to which reference is made.  </w:t>
        <w:br/>
        <w:t xml:space="preserve">309. Furthermore, considering the peculiarities of the Public Administration market that arise from the fact that demand is expressed through tenders, some additional ad hoc remedies have been deemed necessary. In particular, according to FiberCop, it would be appropriate to impose on Fastweb the obligation of [omissis]224. Additionally, an obligation for replicability of the offers made by Fastweb in the tenders has been advocated by both Retelit225 and AIIP226. According to the latter, this obligation should be accompanied by the requirement to produce all necessary information for competitors participating in a tender for a Public Administration for which Fastweb and/or Vodafone are the outgoing suppliers, as well as the obligation to provide full and effective cooperation for the migration of users.  </w:t>
        <w:br/>
        <w:t xml:space="preserve">217 Cf. minutes of the hearing of October 2, 2024 (doc. 87).  </w:t>
        <w:br/>
        <w:t xml:space="preserve">218 Cf. minutes of the Wind hearing of September 19, 2024 (doc. 50).  </w:t>
        <w:br/>
        <w:t xml:space="preserve">219 Cf. AIIP Memorandum of October 8, 2024 (doc. 72).  </w:t>
        <w:br/>
        <w:t xml:space="preserve">220 Cf. memorandum received on October 23, 2024 (doc. 117).  </w:t>
        <w:br/>
        <w:t xml:space="preserve">221 Cf. memorandum of November 5, 2024 (doc. 161).  </w:t>
        <w:br/>
        <w:t xml:space="preserve">222 Cf. minutes of the hearing of September 30, 2024 (doc. 69) and memorandum of October 16, 2024 (doc. 104).  </w:t>
        <w:br/>
        <w:t xml:space="preserve">223 Cf. memorandum of October 8, 2024 (doc. 72).  </w:t>
        <w:br/>
        <w:t xml:space="preserve">224 Cf. minutes of the FiberCop hearing of September 30, 2024 (doc. 69).  </w:t>
        <w:br/>
        <w:t xml:space="preserve">225 Cf. minutes of the Retelit hearing of October 4, 2024 (doc. 92).  </w:t>
        <w:br/>
        <w:t>226 Cf. AIIP Memorandum of October 8, 2024 (doc. 72).</w:t>
      </w:r>
    </w:p>
    <w:p>
      <w:r>
        <w:t xml:space="preserve">160 BULLETIN NO. 49 OF DECEMBER 23, 2024  </w:t>
        <w:br/>
        <w:t xml:space="preserve">310. WindTre represented that a possible remedy for the Public Administration market could be the provision of multiple self-excluding lots, put to tender to ensure that more entities can win at least one lot, and the simultaneous prohibition of awarding an excessive number of lots to the same entity, accompanied by the use of Framework Agreements rather than Contracts with a single awardee227. In fact, winning even a small lot would allow a smaller operator like WindTre to acquire the elements (customer base, skills, experience) useful for potentially consolidating its presence in the future.  </w:t>
        <w:br/>
        <w:t xml:space="preserve">IX.3 The position of the Parties  </w:t>
        <w:br/>
        <w:t xml:space="preserve">311. The Parties first noted that in the market under examination, where the expression of demand through tender procedures gives crucial importance to competition for the market, rather than in the market, the historical market shares provide a misleading picture of the competitive dynamics.  </w:t>
        <w:br/>
        <w:t xml:space="preserve">312. In particular, for the purposes of evaluating the present operation, limiting oneself to the current market shares would mean ignoring the significant change that the upcoming SPC3 tender will bring in terms of redefining the market position of existing operators. In fact, the share that can currently be attributed to the New Entity largely results from the combination of the two lots of SPC2 won by Fastweb and Vodafone, [omissis]; prospectively, assuming, as is foreseeable, that the SPC3 tender will also include a limit on the volumes/lots that can be awarded to a single operator, even if the New Entity were to come first, the percentage of awarded volumes would still be far lower than the volumes that Fastweb and Vodafone currently hold together.  </w:t>
        <w:br/>
        <w:t xml:space="preserve">313. Purchasing centers largely control the competitive process and are able to ensure a sufficient level of competition for each tender issued. Practice shows that tenders are structured and designed to ensure a wide pool of participants and winners, with the aim of maximizing the best “quality-price” ratio for the Public Administration.  </w:t>
        <w:br/>
        <w:t xml:space="preserve">314. Barriers to entry are absent or, in any case, extremely limited, which suggests that even stronger competitive dynamics will develop in the future. In particular, currently, the availability of infrastructure does not appear to be an essential requirement for market access, due to the presence in the wholesale market of two large network operators (Open Fiber and FiberCop) as well as Fastweb, who actively compete to sell wholesale access services, including point-to-point services228, to all operators active in the retail markets. In this sense, Iliad's claim about the impossibility of participating in Public Administration tenders due to the lack of its own infrastructure across the entire national territory that utilizes all available technologies must be considered pretextual.  </w:t>
        <w:br/>
        <w:t xml:space="preserve">315. The Parties also emphasize the absence of economic barriers and informational barriers, noting, from the first perspective, that contracting authorities tend to broaden the pool of participants, avoiding setting specific and stringent turnover requirements. Regarding information, the Parties highlight that incumbents are required to provide a range of information on the services provided to Public Administration clients to the contracting authorities (e.g., Consip), which makes it available to all interested parties. The sharing of information during the bidding process allows operators to assess investment returns with due diligence, reducing risk and improving the competitiveness of their offers.  </w:t>
        <w:br/>
        <w:t xml:space="preserve">IX.4 Assessments  </w:t>
        <w:br/>
        <w:t xml:space="preserve">a) The relevant market  </w:t>
        <w:br/>
        <w:t xml:space="preserve">316. In the provision to initiate the present investigation, the Authority, based on its previous229, considered that fixed network services intended for the Public Administration define a distinct market due to the peculiarities of demand, in terms of skills and ad hoc services that must be developed, the necessity, from the supply side, to develop specific structures for managing Public Administration clients, the selection methods for suppliers - based on the selection of the economically most advantageous offer and the request for significantly high participation requirements in terms of financial capacity, as well as the extremely formalized rules governing such supplies.  </w:t>
        <w:br/>
        <w:t xml:space="preserve">317. Regarding the geographical extent of the market, it was deemed that the market has a national dimension, given the geographical extent of the networks, the national regulatory characteristics, as well as the substantial presence of the same operators throughout the national territory.  </w:t>
        <w:br/>
        <w:t xml:space="preserve">318. Within the scope of this investigation, no elements have emerged that could contradict this definition, which has indeed been shared by both the Parties and all interveners.  </w:t>
        <w:br/>
        <w:t xml:space="preserve">b) The effects of the operation  </w:t>
        <w:br/>
        <w:t xml:space="preserve">319. The operation in question results in a significant consolidation of the market for fixed communication services for the Public Administration, in which, with the removal of the competitive constraint exercised by VI, the number of operators will decrease from three to two, effectively concentrating the supply in the hands of the New Entity and TIM.  </w:t>
        <w:br/>
        <w:t xml:space="preserve">320. Regarding the relative position of these operators, the data acquired during this investigation, relating to revenues generated in 2023, indicate that currently Fastweb is the leading market operator, with a share of [40-45]%, which will strengthen as a result of the operation, reaching [55-60]%, compared to a share of [40-45]% for TIM.  </w:t>
        <w:br/>
        <w:t xml:space="preserve">321. The study from PTSCLAS, presented by FiberCop, instead provides a mirrored image of the market, in which TIM is the leading operator, with a value share slightly above [45-50]%, followed by Fastweb, which is currently attributed a share of [35-40]%, which will reach [45-50]% as a result of the operation. Furthermore, the volume data, relating to accesses, show an even more marked distance between the two operators, attributing to TIM a share of [55-60]% and to the New Entity a share of [35-40]%.  </w:t>
        <w:br/>
        <w:t>322. In any case, for the purposes of evaluating the present operation, it does not seem necessary to arrive at a precise reconstruction of the relative position of the two duopolists since the current market structure will inevitably undergo a disruptive change following the awarding of the SPC3 tender, for which Consip is about to publish the announcement: indeed, this will combine connectivity and telephony services, which were previously subject to separate tenders,229 Cf. provision No. 29736 of June 22, 2021, case C12354 TELECOM ITALIA/BRANCHES OF BT ITALIA.</w:t>
      </w:r>
    </w:p>
    <w:p>
      <w:r>
        <w:rPr>
          <w:b/>
        </w:rPr>
        <w:t>[Pages 160–162]</w:t>
      </w:r>
    </w:p>
    <w:p>
      <w:r>
        <w:t xml:space="preserve">162 BULLETIN NO. 49 OF DECEMBER 23, 2024  </w:t>
        <w:br/>
        <w:t xml:space="preserve">expresses a portion of demand that approximates the entirety of the telecommunications services market for the PA.  </w:t>
        <w:br/>
        <w:t xml:space="preserve">323. In this regard, it is believed that the position of the Parties is shared, according to which this tender, if adequately designed in terms of lots that can be awarded to a single operator, will lead the New Entity, even in the event that it qualifies in first place, to win supply volumes lower than the sum of the volumes currently held by Fastweb and Vodafone. In fact, the structuring of the tender into multiple lots, in the presence of constraints on the number of lots that can be awarded to each operator, can be considered a rather plausible tender scenario, in light of the previous experience of the tenders issued by Consip, as well as the representation provided by the contracting authority within this investigation, according to which the tender will be structured into multiple lots, defined in such a way as to allow for broad participation, and will include award rules for the same, “defined in such a way that, even where participation is restricted to the two main operators, a correct competition can develop between them”230.  </w:t>
        <w:br/>
        <w:t xml:space="preserve">324. In this context, what is relevant is rather the competitive proximity between Fastweb and VI, as evidenced by their respective previous experience in participating in public tenders for fixed network telecommunications services. In fact, from the dataset of tenders prepared by the Parties231, it emerges that, although TIM represents Fastweb's main rival, having participated in all the tenders in which Fastweb has also participated, Vodafone nonetheless represents the second main competitor of Fastweb in terms of frequency of participation in tenders. In fact, while both Vodafone and Fastweb have competed, either in RTI or alone, in [omissis] public procedures on [omissis] (45%), the number of tenders that recorded participation from both Fastweb and WindTre ([omissis]), or from Vodafone and WindTre ([omissis]), is lower.  </w:t>
        <w:br/>
        <w:t xml:space="preserve">Table 21: Retail telecommunications services on fixed network - Participation of main operators (both individually and in RTI) in tenders for the PA  </w:t>
        <w:br/>
        <w:t xml:space="preserve">Number of tenders TIM Fastweb Vodafone WindTre Total  </w:t>
        <w:br/>
        <w:t xml:space="preserve">TIM [omissis] [omissis] [omissis] [omissis]  </w:t>
        <w:br/>
        <w:t xml:space="preserve">FASTWEB [omissis] [omissis] [omissis] [omissis]  </w:t>
        <w:br/>
        <w:t xml:space="preserve">VODAFONE [omissis] [omissis] [omissis] [omissis]  </w:t>
        <w:br/>
        <w:t xml:space="preserve">WINDTRE [omissis] [omissis] [omissis] [omissis]  </w:t>
        <w:br/>
        <w:t xml:space="preserve">Source: processing on the “Oxera tender dataset”  </w:t>
        <w:br/>
        <w:t xml:space="preserve">325. Furthermore, the tenders in which both Vodafone and Fastweb participated represent, in terms of the amount of the auction base, over half (53%) of the total value of the tenders contained in the dataset provided by the Parties, while the amount of the auction base of the tenders in which both WindTre and Fastweb competed is only 14% of the total auction base resulting from the [omissis] tenders, and that of the tenders in which Vodafone and WindTre competed represents less than 10%. In other words, Fastweb and Vodafone have both participated in economically significant procedures that cover over half of the total amount of the value of the services put to tender in the main procedures over the last five years.  </w:t>
        <w:br/>
        <w:t xml:space="preserve">326. In the context of the duopolistic market described above, it must be considered that the operation, resulting in the removal of an operator that currently exerts a significant competitive constraint on Fastweb, is likely to result in a significant impediment to competition.  </w:t>
        <w:br/>
        <w:t xml:space="preserve">327. Also based on the previous market developments, it is believed that a competitive constraint sufficient to counterbalance the competitive restriction attributable to this operation could be expressed by alternative operators who, through the award of some lots in the upcoming tender, manage to develop the capacity to express an adequate competitive potential in the future. In this regard, it is important to consider that such a dynamic characterized the previous evolution of the market, in which the historical incumbent in the provision of connectivity and telephony services – TIM, awarded the tenders for the unified network of the PA prior to SPC and the telephony tenders up to the TF2 edition – was supplanted by Fastweb, respectively in the SPC1 tender and the TF3 tender. Fastweb, in turn, following these awards, established a stable and increasingly significant presence in the market.  </w:t>
        <w:br/>
        <w:t xml:space="preserve">328. In this regard, it is important to consider that – as highlighted by Consip – even participation in tenders without the total capacity to make the most qualified offer possible, especially in the case of smaller operators, represents a sort of “training ground,” in the sense that it allows for the acquisition of the necessary skills to gradually present increasingly qualified offers over time. This seems to have been precisely the growth trajectory of VI, which in 2013 participated in RTI in the SPC2, resulting in the award of a 20% share of the Framework Agreement, and in 2015 in the latest edition of the tender for telephony (TF5), being among the awardees within the Framework Agreement.  </w:t>
        <w:br/>
        <w:t xml:space="preserve">329. The evidence gathered in this investigation indicates that the upcoming tender may also represent an opportunity for full entry into the market by some operators that currently occupy a smaller position, such as Retelit or WindTre. The former, in particular, in expressing its interest in participating in the SPC3 tender, stated that it has finally acquired the scale and organization suitable for direct and significant participation even in tenders issued by the PAC232. Consip has also noted that “[omissis] is in a position to make a qualified offer [omissis] while [omissis]; in any case, even [omissis] could make a valid offer and […], useful in the perspective of acquiring the necessary skills to qualify as an important player in the upcoming tenders”233.  </w:t>
        <w:br/>
        <w:t xml:space="preserve">330. However, the ability of new operators to make a qualified entry into the market in question primarily depends on the wholesale market offering conditions where they purchase active access services to the network. In fact, due to the complex structure that characterizes the infrastructural projects dedicated to providing services to various public administrations, for any operator, even if equipped with a portion of its own infrastructure, recourse to the wholesale market for the purchase of a more or less wide range of access services is essential.  </w:t>
        <w:br/>
        <w:t xml:space="preserve">331. Furthermore, the ability of new entrants to make qualified offers in the context of the upcoming tenders, starting from the imminent SPC3 tender, depends on the concrete possibility of having all the information necessary to define the offer and to manage, in the event of award, the process of migrating users (such as, for example, disaggregated information regarding the configuration of access services necessary to provide the service at each of the administration's locations and data on the consumption dynamics expressed by the administration).  </w:t>
        <w:br/>
        <w:t xml:space="preserve">X. THE REMEDIES PROPOSED BY SWISSCOM  </w:t>
        <w:br/>
        <w:t xml:space="preserve">X.1 The First Proposal for Remedies  </w:t>
        <w:br/>
        <w:t xml:space="preserve">332. On October 28, 2024, based on the concerns raised by the Authority in the initiation provision and emerging from the reading of the documentation acquired during the investigation, Swisscom - while believing that these concerns are unfounded - proposed some measures that it considers suitable to effectively and durably remove the alleged detrimental consequences generated by the execution of the concentration project in question.  </w:t>
        <w:br/>
        <w:t xml:space="preserve">333. Essentially, the remedies proposed by Swisscom aim to:  </w:t>
        <w:br/>
        <w:t xml:space="preserve">(i) ensure that competitors can purchase point-to-point (P2P) Ethernet connections from Fastweb for sites already connected to Fastweb's existing proprietary network, as well as for sites in proximity to it (Remedy No. 1);  </w:t>
        <w:br/>
        <w:t xml:space="preserve">(ii) provide granular information relevant for participation in upcoming public tenders for the purchase of fixed telephony and fixed connectivity services (Remedy No. 2);  </w:t>
        <w:br/>
        <w:t xml:space="preserve">(iii) offer wholesale access services aimed at ensuring that operators can continue or start to offer fixed network services to residential/SOHO customers (Remedy No. 3).  </w:t>
        <w:br/>
        <w:t xml:space="preserve">334. Specifically, the measures proposed by Swisscom are articulated in the points illustrated below:  </w:t>
        <w:br/>
        <w:t xml:space="preserve">Commitment No. 1  </w:t>
        <w:br/>
        <w:t xml:space="preserve">Swisscom is willing to commit to ensuring that Fastweb provides wholesale Ethernet Access to Connect (“E2C”) services to create point-to-point (“P2P”) fiber optic connections (“Wholesale P2P Access Services”). These services allow for the establishment of dedicated capacity connections in access and shared transport over Fastweb's fiber optic lines. They will be offered both for sites already connected to Fastweb's existing proprietary network (“ON-Net”) and for sites located near Fastweb's network (“NEAR-Net”)234 based on the following conditions: i) speeds of up to 1 Gbps with symmetrical bandwidth; ii) the Service Level Agreement (“SLA”), as per Fastweb's standard wholesale contracts; and iii) prices not exceeding those indicated in the following table.  </w:t>
        <w:br/>
        <w:t>234 These are typically locations pertaining to exchanges and cabinets where Fastweb is already present with its infrastructure and can therefore be connected to the prices displayed in the price list, even for buildings not yet connected to the network.</w:t>
      </w:r>
    </w:p>
    <w:p>
      <w:r>
        <w:rPr>
          <w:b/>
        </w:rPr>
        <w:t>[Pages 163–165]</w:t>
      </w:r>
    </w:p>
    <w:p>
      <w:r>
        <w:t xml:space="preserve">BULLETIN NO. 49 OF DECEMBER 23, 2024 165  </w:t>
        <w:br/>
        <w:t xml:space="preserve">Duration of  </w:t>
        <w:br/>
        <w:t xml:space="preserve">12 Months 24 Months 36 Months  </w:t>
        <w:br/>
        <w:t xml:space="preserve">contract  </w:t>
        <w:br/>
        <w:t xml:space="preserve">Monthly Fee  </w:t>
        <w:br/>
        <w:t xml:space="preserve">ON-Net NEAR-Net ON-Net NEAR-Net ON-Net NEAR-Net  </w:t>
        <w:br/>
        <w:t xml:space="preserve">(€/month)  </w:t>
        <w:br/>
        <w:t xml:space="preserve">10 Mbps [311-318] [355-362] [280-287] [320-327] [249-256] [283-290]  </w:t>
        <w:br/>
        <w:t xml:space="preserve">20 Mbps [325-332] [375-382] [295-302] [337-344] [260-267] [300-307]  </w:t>
        <w:br/>
        <w:t xml:space="preserve">30 Mbps [355-362] [405-412] [320-327] [365-372] [284-291] [323-330]  </w:t>
        <w:br/>
        <w:t xml:space="preserve">50 Mbps [376-382] [428-435] [337-344] [383-390] [300-307] [340-347]  </w:t>
        <w:br/>
        <w:t xml:space="preserve">100 Mbps [415-422] [476-483] [373-380] [429-436] [333-340] [379-386]  </w:t>
        <w:br/>
        <w:t xml:space="preserve">200 Mbps [445-452] [517-524] [400-407] [465-472] [357-364] [413-420]  </w:t>
        <w:br/>
        <w:t xml:space="preserve">300 Mbps [498-505] [569-576] [446-453] [514-521] [398-405] [458-465]  </w:t>
        <w:br/>
        <w:t xml:space="preserve">500 Mbps [640-647] [738-745] [575-582] [662-669] [512-519] [588-595]  </w:t>
        <w:br/>
        <w:t xml:space="preserve">1 Gbps [740-747] [856-863] [668-675] [771-778] [592-599] [685-692]  </w:t>
        <w:br/>
        <w:t xml:space="preserve">Activation Cost of  </w:t>
        <w:br/>
        <w:t xml:space="preserve">service (€) [850-1150] [2300-2600] [850-1150] [2300-2600] [850-1150] [2300-2600]  </w:t>
        <w:br/>
        <w:t xml:space="preserve">Commitment No. 2  </w:t>
        <w:br/>
        <w:t xml:space="preserve">Swisscom is willing to commit to ensuring that Fastweb and Vodafone provide a set of  </w:t>
        <w:br/>
        <w:t xml:space="preserve">information in the context of any public tender that will be issued by Consip, by individual public  </w:t>
        <w:br/>
        <w:t xml:space="preserve">administrations, or by other regional contracting authorities for the purchase of fixed telephony and  </w:t>
        <w:br/>
        <w:t xml:space="preserve">fixed connectivity services for which the Parties are the suppliers at the time of authorization of the  </w:t>
        <w:br/>
        <w:t xml:space="preserve">operation.  </w:t>
        <w:br/>
        <w:t xml:space="preserve">Such information will be transmitted by the Parties to the contracting authority within 15 working  </w:t>
        <w:br/>
        <w:t xml:space="preserve">days from the request of the latter. In order to facilitate the planning and execution of migration  </w:t>
        <w:br/>
        <w:t xml:space="preserve">activities, Swisscom is also willing to commit to ensuring that the Parties transmit to the new  </w:t>
        <w:br/>
        <w:t xml:space="preserve">successful bidder of the Tender (“New Supplier”) the updated information from the month prior to  </w:t>
        <w:br/>
        <w:t xml:space="preserve">the date of its request (“Updated Information”). The communication of the Updated Information will  </w:t>
        <w:br/>
        <w:t xml:space="preserve">take place within 15 working days from the request of the New Supplier, subject to the insertion of  </w:t>
        <w:br/>
        <w:t xml:space="preserve">the new supply order from the public administration.  </w:t>
        <w:br/>
        <w:t xml:space="preserve">With specific reference to the framework agreement TF5, the information (“TF5 Information”) will  </w:t>
        <w:br/>
        <w:t xml:space="preserve">be as follows:  </w:t>
        <w:br/>
        <w:t xml:space="preserve">i) date of signing of the contract between Fastweb/Vodafone and each public administration;  </w:t>
        <w:br/>
        <w:t xml:space="preserve">ii) date of first activation of the fixed telephony service for each public administration;  </w:t>
        <w:br/>
        <w:t xml:space="preserve">iii) the quantities related to fixed telephony services as of December 31 of the year preceding the  </w:t>
        <w:br/>
        <w:t xml:space="preserve">Tender (“TF5 Quantities”), and specifically:  </w:t>
        <w:br/>
        <w:t xml:space="preserve">a) the total TF5 Quantities purchased by all public administrations, aggregated by municipality;  </w:t>
        <w:br/>
        <w:t xml:space="preserve">166 BULLETIN NO. 49 OF DECEMBER 23, 2024  </w:t>
        <w:br/>
        <w:t xml:space="preserve">b) the disaggregated TF5 Quantities, indicating: 1) the name and location of the premises of each  </w:t>
        <w:br/>
        <w:t xml:space="preserve">public administration; 2) the value of the quantities divided by each service and area, referring to  </w:t>
        <w:br/>
        <w:t xml:space="preserve">such premises;  </w:t>
        <w:br/>
        <w:t xml:space="preserve">iv) the data related to the traffic of fixed telephony services, as of December 31 of the year  </w:t>
        <w:br/>
        <w:t xml:space="preserve">preceding the Tender, divided by individual routes (i.e., national urban/interurban, international,  </w:t>
        <w:br/>
        <w:t xml:space="preserve">fixed mobile, and intelligent network) and specifically:  </w:t>
        <w:br/>
        <w:t xml:space="preserve">a) the total traffic of all public administrations, aggregated by municipality;  </w:t>
        <w:br/>
        <w:t xml:space="preserve">b) the disaggregated traffic, indicating: 1) the name and location of the premises of each public  </w:t>
        <w:br/>
        <w:t xml:space="preserve">administration; and 2) the traffic, disaggregated by individual routes (i.e., national urban/interurban,  </w:t>
        <w:br/>
        <w:t xml:space="preserve">international, fixed mobile, and intelligent network), referring to such premises.  </w:t>
        <w:br/>
        <w:t xml:space="preserve">As for further tenders for fixed telephony services, the information provided will be substantially  </w:t>
        <w:br/>
        <w:t xml:space="preserve">similar to the TF5 Information, but with a lower level of detail due to their lesser complexity and  </w:t>
        <w:br/>
        <w:t xml:space="preserve">size.  </w:t>
        <w:br/>
        <w:t xml:space="preserve">With specific reference to the framework agreement SPC2, the information provided will be as  </w:t>
        <w:br/>
        <w:t xml:space="preserve">follows (“SPC2 Information”):  </w:t>
        <w:br/>
        <w:t xml:space="preserve">i) the date of signing of the contract between Fastweb/Vodafone and each public administration;  </w:t>
        <w:br/>
        <w:t xml:space="preserve">ii) the date of first activation of the fixed connectivity service for each public administration;  </w:t>
        <w:br/>
        <w:t xml:space="preserve">iii) the quantities related to data transport services (“SPC2 Quantities”) as of December 31 of the  </w:t>
        <w:br/>
        <w:t xml:space="preserve">year preceding the Tender, provided according to the items in the price list provided in the context of  </w:t>
        <w:br/>
        <w:t xml:space="preserve">the SPC2 tender, and specifically:  </w:t>
        <w:br/>
        <w:t xml:space="preserve">a) the total SPC2 Quantities purchased by all public administrations, aggregated by municipality;  </w:t>
        <w:br/>
        <w:t xml:space="preserve">b) the disaggregated SPC2 Quantities, indicating: (1) the name and location of each premises of  </w:t>
        <w:br/>
        <w:t xml:space="preserve">each public administration; and (2) the value of the SPC2 Quantities referring to such premises.  </w:t>
        <w:br/>
        <w:t xml:space="preserve">As for further tenders for fixed connectivity services, the information provided will be  </w:t>
        <w:br/>
        <w:t xml:space="preserve">substantially similar to the SPC2 Information, but with a lower level of detail due to their lesser  </w:t>
        <w:br/>
        <w:t xml:space="preserve">complexity and size.  </w:t>
        <w:br/>
        <w:t xml:space="preserve">Commitment No. 3.1  </w:t>
        <w:br/>
        <w:t xml:space="preserve">Swisscom is willing to commit to ensuring that Fastweb - unless substantial changes occur in the  </w:t>
        <w:br/>
        <w:t xml:space="preserve">legal, economic, and regulatory framework - does not terminate the existing wholesale contracts for  </w:t>
        <w:br/>
        <w:t xml:space="preserve">the provision of ultra-broadband access services in areas where Fastweb has (and will have) direct  </w:t>
        <w:br/>
        <w:t xml:space="preserve">coverage availability through co-location in FiberCop exchanges (“Wholesale B2C Access Services”),  </w:t>
        <w:br/>
        <w:t xml:space="preserve">both in FTTH GPON and VULA GPON technology, as well as in FTTC and VULA FTTC technology. The  </w:t>
        <w:br/>
        <w:t xml:space="preserve">right of withdrawal is reserved according to what is already contractually regulated (e.g., in cases  </w:t>
        <w:br/>
        <w:t xml:space="preserve">where the contracting operator is subject to liquidation or bankruptcy procedures).  </w:t>
        <w:br/>
        <w:t xml:space="preserve">Commitment No. 3.2  </w:t>
        <w:br/>
        <w:t xml:space="preserve">Swisscom is willing to commit to ensuring that Fastweb negotiates in good faith and on reasonable  </w:t>
        <w:br/>
        <w:t xml:space="preserve">terms with interested operators the conclusion of new contracts for the provision of Wholesale B2C  </w:t>
        <w:br/>
        <w:t xml:space="preserve">Access Services.  </w:t>
        <w:br/>
        <w:t xml:space="preserve">335. Furthermore, in order to ensure compliance with the Remedies, Swisscom is willing to appoint a  </w:t>
        <w:br/>
        <w:t xml:space="preserve">trustee responsible for their monitoring (“Trustee”). The Trustee must: i) be in a position of  </w:t>
        <w:br/>
        <w:t xml:space="preserve">independence from Swisscom, the parent company, and the companies controlled by it; ii) possess the  </w:t>
        <w:br/>
        <w:t xml:space="preserve">necessary qualifications to carry out his mandate; and iii) not be, nor have been, exposed to a conflict of  </w:t>
        <w:br/>
        <w:t xml:space="preserve">interest with respect to Swisscom, the parent company, and the companies controlled by it (“Trustee  </w:t>
        <w:br/>
        <w:t xml:space="preserve">Requirements”).  </w:t>
        <w:br/>
        <w:t xml:space="preserve">336. Within 30 days from the notification of the closure provision, Swisscom will communicate to the  </w:t>
        <w:br/>
        <w:t xml:space="preserve">Authority a proposal for the appointment of the Trustee (“Trustee Proposal”) which will include: i)  </w:t>
        <w:br/>
        <w:t xml:space="preserve">the name and curriculum vitae of the Trustee; ii) the terms of the proposed mandate, which will  </w:t>
        <w:br/>
        <w:t xml:space="preserve">include all necessary provisions to allow the Trustee to independently fulfill his obligations (“Trustee  </w:t>
        <w:br/>
        <w:t xml:space="preserve">Mandate”); and iii) a work plan describing how the Trustee will monitor the Remedies (“Work Plan”).  </w:t>
        <w:br/>
        <w:t xml:space="preserve">337. The three Remedies, as well as the appointment of the Trustee, will be valid from the date of the  </w:t>
        <w:br/>
        <w:t xml:space="preserve">closing of the operation until December 31, 2027, without prejudice to Swisscom's right to request a  </w:t>
        <w:br/>
        <w:t xml:space="preserve">review of them in the event of significant changes related to the factual, regulatory, or normative  </w:t>
        <w:br/>
        <w:t xml:space="preserve">framework.  </w:t>
        <w:br/>
        <w:t xml:space="preserve">X.2 The final version of the Remedies proposed by Swisscom  </w:t>
        <w:br/>
        <w:t xml:space="preserve">338. In light of the observations made by the operators on the first proposal of Remedies, on  </w:t>
        <w:br/>
        <w:t xml:space="preserve">November 13, 2024, Swisscom submitted a subsequent version of the Remedies (final version)  </w:t>
        <w:br/>
        <w:t xml:space="preserve">containing some modifications and additions to the first version235.  </w:t>
        <w:br/>
        <w:t xml:space="preserve">339. First of all, Swisscom has integrated Remedy 1 by providing, in addition to the offer of standard  </w:t>
        <w:br/>
        <w:t xml:space="preserve">services (“Standard E2C P2P Services”), also the offer of services that provide better performance  </w:t>
        <w:br/>
        <w:t xml:space="preserve">guarantees ensuring compliance with the international MEF standard236 (“MEF E2C P2P Services”)  </w:t>
        <w:br/>
        <w:t xml:space="preserve">based on market price conditions237 and in any case not exceeding the values indicated in the  </w:t>
        <w:br/>
        <w:t xml:space="preserve">following table238.  </w:t>
        <w:br/>
        <w:t xml:space="preserve">235 See Remedy proposal received on November 13, 2024 (doc. 180).  </w:t>
        <w:br/>
        <w:t xml:space="preserve">236 This is a standard defined by the Metro Ethernet Forum, a global association of telecommunications  </w:t>
        <w:br/>
        <w:t xml:space="preserve">service providers and cable and network operators that develops technical specifications and  </w:t>
        <w:br/>
        <w:t xml:space="preserve">implementation agreements to promote interoperability and the implementation of Carrier Ethernet  </w:t>
        <w:br/>
        <w:t xml:space="preserve">worldwide; regarding the services in question, it provides for compliance with a series of technical  </w:t>
        <w:br/>
        <w:t xml:space="preserve">parameters. For example, MEF E2C P2P Services guarantee a packet loss rate of no more than 0.01%,  </w:t>
        <w:br/>
        <w:t xml:space="preserve">compared to a loss rate of 0.1% in the case of Standard E2C P2P Services.  </w:t>
        <w:br/>
        <w:t xml:space="preserve">237 At the highest performance level, a slightly higher price is applied compared to services that are  </w:t>
        <w:br/>
        <w:t xml:space="preserve">non-compliant with the MEF standard.  </w:t>
        <w:br/>
        <w:t xml:space="preserve">238 The SLA in force at the time will be applied to E2C P2P Services, as per Fastweb's standard wholesale  </w:t>
        <w:br/>
        <w:t xml:space="preserve">contracts (Annex 1 contains the SLA in force applicable to Standard E2C P2P Services; Annex 2 contains the  </w:t>
        <w:br/>
        <w:t>SLA in force applicable to MEF E2C P2P Services).</w:t>
      </w:r>
    </w:p>
    <w:p>
      <w:r>
        <w:rPr>
          <w:b/>
        </w:rPr>
        <w:t>[Pages 166–168]</w:t>
      </w:r>
    </w:p>
    <w:p>
      <w:r>
        <w:t xml:space="preserve">168 BULLETIN NO. 49 OF DECEMBER 23, 2024  </w:t>
        <w:br/>
        <w:t xml:space="preserve">Table 23: Economic Conditions for E2C P2P MEF Access Service  </w:t>
        <w:br/>
        <w:t xml:space="preserve">Contract Duration  </w:t>
        <w:br/>
        <w:t xml:space="preserve">12 Months 24 Months 36 Months  </w:t>
        <w:br/>
        <w:t xml:space="preserve">Monthly Fee  </w:t>
        <w:br/>
        <w:t xml:space="preserve">ON-Net NEAR-Net ON-Net NEAR-Net ON-Net NEAR-Net  </w:t>
        <w:br/>
        <w:t xml:space="preserve">(€/month)  </w:t>
        <w:br/>
        <w:t xml:space="preserve">2025 2025 2025 2025 2025 2025  </w:t>
        <w:br/>
        <w:t xml:space="preserve">10 Mbps [329-336] [376-383] [298-305] [338-345] [259-266] [310-307]  </w:t>
        <w:br/>
        <w:t xml:space="preserve">20 Mbps [346-353] [395-402] [309-318] [353-360] [270-277] [323-330]  </w:t>
        <w:br/>
        <w:t xml:space="preserve">30 Mbps [374-383] [424-431] [340-346] [385-392] [294-304] [351-366]  </w:t>
        <w:br/>
        <w:t xml:space="preserve">50 Mbps [395-402] [447-455] [357-364] [399-406] [313-320] [391-401]  </w:t>
        <w:br/>
        <w:t xml:space="preserve">100 Mbps [436-443] [497-504] [391-398] [445-452] [343-353] [424-431]  </w:t>
        <w:br/>
        <w:t xml:space="preserve">200 Mbps [470-477] [539-546] [419-426] [486-493] [368-375] [533-343]  </w:t>
        <w:br/>
        <w:t xml:space="preserve">300 Mbps [518-525] [593-601] [465-475] [535-545] [465-475] [605-612]  </w:t>
        <w:br/>
        <w:t xml:space="preserve">500 Mbps [667-674] [764-771] [600-607] [684-694] [529-536] [643-651]  </w:t>
        <w:br/>
        <w:t xml:space="preserve">600 Mbps [710-720] [823-830] [649-659] [739-749] [566-573] [686-693]  </w:t>
        <w:br/>
        <w:t xml:space="preserve">800 Mbps [761-768] [865-872] [682-692] [782-789] [598-605] [705-712]  </w:t>
        <w:br/>
        <w:t xml:space="preserve">1 Gbps [774-781] [888-895] [695-702] [801-808] [610-617] [310-307]  </w:t>
        <w:br/>
        <w:t xml:space="preserve">Activation Cost of  </w:t>
        <w:br/>
        <w:t xml:space="preserve">Service (€) [850-1150] [2300-2600] [850-1150] [2300-2600] [850-1150] [2300-2600]  </w:t>
        <w:br/>
        <w:t xml:space="preserve">340. In this regard, it has been included that among the duties of the Trustee there is also the verification that Fastweb has correctly executed the requests for new E2C P2P services and effectively activated such services in accordance with the terms provided by the SLA in force from time to time, applying "market prices, [omissis]."  </w:t>
        <w:br/>
        <w:t xml:space="preserve">341. Furthermore, Swisscom has introduced an additional remedy (Remedy 1.2) under which Fastweb will provide wholesale access services through dedicated end-to-end fiber optic P2P connections using DWDM technology ("DWDM Services")239, subject to the completion of a feasibility study ("Feasibility Study"). These services allow for dedicated capacity connections (both in access and transport) on fiber optic lines owned by Fastweb (so-called end-to-end dedicated capacity connections). The Feasibility Study, as per market practices, must take into account whether a Fastweb fiber optic network is already present, the location of the customer, the placement of the endpoints, and the complexity of the network architectures to be traversed. Where the Feasibility Study239 is positive, the price of the DWDM Service will be determined at market conditions.  </w:t>
        <w:br/>
        <w:t xml:space="preserve">342. Again, Swisscom expressly indicates among the duties of the Trustee the verification that Fastweb has correctly executed the requests for DWDM Services by conducting the Feasibility Study, also verifying that, if the latter is positive, "the requested price is in line with [omissis]."  </w:t>
        <w:br/>
        <w:t xml:space="preserve">343. Regarding Remedy 2, Swisscom has provided the following integrations/modifications:  </w:t>
        <w:br/>
        <w:t xml:space="preserve">- the information will be transmitted by Vodafone and Fastweb not only to the contracting authority but also, after informing the latter, directly to the interested operators who meet the participation requirements for the tender ("Requesting Operators");  </w:t>
        <w:br/>
        <w:t xml:space="preserve">- within the TF5 Information, the balances as of December 31 of the two years preceding the tender240 will be transmitted, instead of just the previous year;  </w:t>
        <w:br/>
        <w:t xml:space="preserve">- within the SPC2 Information, the balances as of December 31 of the two years preceding the tender241 will be transmitted, instead of just the previous year;  </w:t>
        <w:br/>
        <w:t xml:space="preserve">- the Trustee must verify that: i) Fastweb and Vodafone have actually transmitted the information to the contracting authority and to the Requesting Operators within 15 working days from the request; ii) any differences between the TF5 and SPC2 Information and those provided by Fastweb and Vodafone for the additional fixed telephony and fixed connectivity tenders are justified by the actual lesser complexity and size of the latter; iii) Fastweb and Vodafone have actually transmitted the Updated Information to the New Supplier within 15 working days from the latter's request.  </w:t>
        <w:br/>
        <w:t xml:space="preserve">344. Regarding Remedy 3, in order to address the concerns of operators regarding the uncertainty related to its actual implementation, Swisscom proposes to expressly assign to the Trustee the task of verifying:  </w:t>
        <w:br/>
        <w:t xml:space="preserve">- in relation to Remedy 3.1 that there has been a "substantial change in the legal, economic, and regulatory framework" such as to make Fastweb's performance excessively burdensome, due to, for example: (i) changes to the current terms and conditions of Fastweb's procurement; and (ii) any significant regulatory or legislative changes occurring after the de-verticalization of TIM S.p.A.;  </w:t>
        <w:br/>
        <w:t xml:space="preserve">- regarding Remedy 3.2, that the conditions offered by Fastweb for the signing of New Contracts are "negotiated in good faith" and at "market conditions," "referring to the conditions established by the Existing Contracts, in light of the type of services, technical conditions, and volumes."  </w:t>
        <w:br/>
        <w:t xml:space="preserve">345. Furthermore, with reference to Remedy 3.2, Swisscom commits to ensuring that Fastweb negotiates with new operators the conclusion of new multi-year contracts with a willingness to guarantee, if requested, a duration of up to 5 years.  </w:t>
        <w:br/>
        <w:t xml:space="preserve">240 To clarify with an example, where the Contracting Authority requests to receive the Provided Information on January 1, 2025, Fastweb will provide the relevant updated information: (i) as of December 31, 2023, and (ii) as of December 31, 2024.  </w:t>
        <w:br/>
        <w:t>241 See previous note.</w:t>
      </w:r>
    </w:p>
    <w:p>
      <w:r>
        <w:t xml:space="preserve">170 BULLETIN NO. 49 OF DECEMBER 23, 2024  </w:t>
        <w:br/>
        <w:t xml:space="preserve">X.3 The Position of Third Parties on the Remedies Proposed by Swisscom  </w:t>
        <w:br/>
        <w:t xml:space="preserve">General Observations on the Remedies  </w:t>
        <w:br/>
        <w:t xml:space="preserve">346. All operators have expressed doubts about the suitability of the proposed remedies to overcome the competitive issues identified at the start of the proceedings, proposing a series of modifications and integrations.  </w:t>
        <w:br/>
        <w:t xml:space="preserve">347. Open Fiber242 believes that, since they do not address the competitive issues concerning the wholesale fixed network access market, the remedies should be rejected or supplemented with substantial commitments: i) in full and substantial compliance with all agreements concluded by the Parties with Open Fiber; and ii) in the termination of the MSA between Fastweb and FiberCop or, alternatively, the removal of the economic conditions provided and the minimum purchase obligations, or alternatively, the alignment of the expiration of the latter with the duration of other existing agreements for the black areas.  </w:t>
        <w:br/>
        <w:t xml:space="preserve">348. According to FiberCop243, the remedies evade the issue of competitive distortion in favor of the new entity as a result of what is established by the MSA between Fastweb and FiberCop. Therefore, the operator reiterates the need for the remedies to bind the post-merger entity to [omissis]. Furthermore, in order to maintain sufficient contestability in the areas where the new entity holds a market share [omissis].  </w:t>
        <w:br/>
        <w:t xml:space="preserve">349. Iliad244 notes that the remedies are inadequate as they are not structural in nature, as the Commission's practice for resolving competitive issues in horizontal concentrations requires, and would not be equivalent to an asset sale. In particular, regarding the residential customer market, Iliad reiterates the opportunity to consider measures such as the sale of the overlapping fixed network assets of the Parties, along with substantial behavioral commitments: i) prohibiting differentiated offers based on the originating operator for both fixed network services and converging fixed-mobile offers; ii) the obligation to conclude an agreement for the transfer/sharing of frequencies or to provide a national roaming service to compete in converging fixed-mobile services.  </w:t>
        <w:br/>
        <w:t xml:space="preserve">350. More generally, TIM245 and Iliad246 have highlighted that, in light of the competitive issues that emerged from the investigation concerning the three retail markets, remedies that merely crystallize the status quo of Fastweb's wholesale offering cannot be deemed suitable to effectively counterbalance the expected reduction in downstream competition resulting from the operation. In other words, according to these operators, the Authority's assessment would present an illogicality between the finding of competitive restriction on one side and the Remedies on the other.  </w:t>
        <w:br/>
        <w:t xml:space="preserve">351. Finally, according to TIM247, the remedies should contain a willingness to commit not only from Swisscom but also from Fastweb and Vodafone, as the latter are directly responsible for the implementation of the measures.  </w:t>
        <w:br/>
        <w:t xml:space="preserve">242 See memorandum of November 5, 2024 (doc. 162)  </w:t>
        <w:br/>
        <w:t xml:space="preserve">243 See memorandum received on November 12, 2024 (doc. 178).  </w:t>
        <w:br/>
        <w:t xml:space="preserve">244 See memorandum of November 5, 2024 (doc. 165).  </w:t>
        <w:br/>
        <w:t xml:space="preserve">245 See memorandum of November 25, 2024 (doc. 216).  </w:t>
        <w:br/>
        <w:t xml:space="preserve">246 See memorandum of November 25, 2024 (doc. 218).  </w:t>
        <w:br/>
        <w:t>247 See memorandum of November 5, 2024 (doc. 163).</w:t>
      </w:r>
    </w:p>
    <w:p>
      <w:r>
        <w:rPr>
          <w:b/>
        </w:rPr>
        <w:t>[Pages 169–171]</w:t>
      </w:r>
    </w:p>
    <w:p>
      <w:r>
        <w:t xml:space="preserve">BULLETIN NO. 49 OF DECEMBER 23, 2024 171  </w:t>
        <w:br/>
        <w:t xml:space="preserve">Specific Observations on Remedy 1  </w:t>
        <w:br/>
        <w:t xml:space="preserve">352. All operators considered that the remedy in question, as initially formulated, was not adequate to overcome the competitive issues in the fixed network telecommunications services markets for business customers and for the Public Administration.  </w:t>
        <w:br/>
        <w:t xml:space="preserve">353. Retelit248, TIM249, Iliad250, AIIP251, and FiberCop252 noted that the remedy is limited to an active service and should also be extended to the provision of passive services and access to infrastructures (Retelit), in order to allow buyers to customize the service and be autonomous in defining the offer in the retail markets.  </w:t>
        <w:br/>
        <w:t xml:space="preserve">354. Retelit, TIM, Iliad, and AIIP pointed out that the service subject to the supply obligation does not fully qualify as an end-to-end dedicated bandwidth service to the extent that the bandwidth downstream of the access network is shared among multiple users. Therefore, in Retelit’s opinion, this service meets at most the needs of SOHO customers and is insufficient for business customers.  </w:t>
        <w:br/>
        <w:t xml:space="preserve">355. Several operators noted the absence of added value compared to what is already currently available in the wholesale market because the service subject to the remedy: i) is already available, moreover under better economic conditions than those indicated in the remedy proposal (Iliad, Colt253, and Retelit); ii) provides reduced performance in terms of the breadth of speed profiles offered (TIM); iii) includes reduced penalties in case of exceeding the supply and service restoration times (Iliad).  </w:t>
        <w:br/>
        <w:t xml:space="preserve">356. Iliad also observed that the remedy under examination, regarding only the profiles related to the availability of access services, does not appear adequate to completely remove the barriers to entry present in the downstream markets for business customers and the Public Administration and to facilitate the entry of new competitors, since in these markets the structural obstacles to the growth of competitors do not depend on mere access to the necessary inputs to formulate offers, but rather on the minimum sizes necessary to operate profitably in the market, on the acquisition of specific know-how by a significant portion of the staff, on access to resources beyond mere connectivity, etc.254.  </w:t>
        <w:br/>
        <w:t xml:space="preserve">357. In addition, some operators believe that the remedy does not clearly define certain aspects of the offer, both economic, not including a price list related to all bandwidth cuts and all associated cost items (WindTre255), and technical, not precisely defining Fastweb's proprietary network and the sites in proximity to it where the wholesale access service will be offered (AIIP). Furthermore, the remedy does not provide any guarantee that a level of services similar to that offered to its retail division will be provided (FiberCop).  </w:t>
        <w:br/>
        <w:t xml:space="preserve">358. Finally, according to Iliad and TIM, the remedy does not include any guarantee that the information received from Fastweb regarding the operator's interest in purchasing the service will not be used by the new entity to carry out retention activities or, as FiberCop believes, to engage in margin squeeze practices given the knowledge that ultimately the post-merger entity will acquire regarding the cost structure of its competitors.  </w:t>
        <w:br/>
        <w:t xml:space="preserve">359. In light of these observations, some operators have proposed some integrations to the remedy in question, indicating in particular that: i) the offer should provide for the provision of a fully end-to-end dedicated bandwidth service (Retelit, Iliad, TIM, AIIP); ii) the offer should also include the provision of passive services (Retelit, TIM, Iliad, AIIP, Colt, FiberCop), appropriately disaggregated into the various components (FiberCop); iii) the economic conditions offered to operators should respect the principle of internal-external non-discrimination (TIM, Iliad); iv) the service should be offered on fair, reasonable, and non-discriminatory conditions (Colt, TIM); v) the economic conditions should reflect the mere costs incurred by Fastweb in the case of services purchased from other access operators, including volume discounts (Retelit, TIM, Colt); vi) a transparency obligation for offers should be provided (e.g., the publication of OR and coverage DB) (Retelit, TIM), including the publication of a reference price list (TIM); vii) a prohibition on the use of wholesale information for the proposal of retail commercial offers should be established (TIM, Iliad); viii) it should be specified that the "Fastweb proprietary network" also includes that on which the Party has long-term exclusive rights, including availability in IRU (AIIP); ix) it should be specified that "sites in proximity to the Fastweb network" also refer to sites within 100 meters (in a straight line) from the Fastweb network (AIIP); x) retail offers aimed at business customers and the Public Administration should be subject to a prior replicability check (Retelit, Colt).  </w:t>
        <w:br/>
        <w:t xml:space="preserve">360. Regarding the final version of the Remedy, Iliad, TIM, and Colt have essentially reiterated the same criticisms already made regarding the first version, reiterating, in particular, the necessity of measures aimed at ensuring that services are offered on fair, reasonable, and non-discriminatory conditions with guarantees of replicability.  </w:t>
        <w:br/>
        <w:t xml:space="preserve">Specific Observations on Remedy 2  </w:t>
        <w:br/>
        <w:t xml:space="preserve">361. All operators represented that the proposed remedy, as initially formulated, was not sufficient to remove the concerns in the fixed telecommunications services market aimed at the Public Administration.  </w:t>
        <w:br/>
        <w:t xml:space="preserve">362. Firstly, according to TIM256, Iliad257, WindTre258, Colt, and FiberCop259, the information that Vodafone and Fastweb should provide to contracting authorities is no different from what outgoing suppliers are already required to transmit to potential participants in the tenders. In this regard, TIM highlights how the entirety of the information subject to the remedy is already subject to a specific obligation that SPC2 suppliers are required to transmit to Consip at the end of each supply year. FiberCop emphasizes how the sharing of the information indicated by the remedies is already subject to periodic reporting that the contracting authority requests to be made available to all operators potentially interested at the time of the publication of the tender.  </w:t>
        <w:br/>
        <w:t xml:space="preserve">363. Secondly, Retelit260 and AIIP261 assessed the remedy as ineffective to the extent that it does not reduce the costs and timelines related to the migration process of Public Administration users from Fastweb and Vodafone to a potential new supplier. In this regard, according to AIIP and Retelit, there are no guarantees that this process will occur promptly and without any interruption in order to avoid any extensions of the existing tender conditions.  </w:t>
        <w:br/>
        <w:t xml:space="preserve">364. Thirdly, Iliad believes that the proposed remedy does not reduce the main barriers to entry of a technical, organizational, reputational, and financial nature.  </w:t>
        <w:br/>
        <w:t xml:space="preserve">365. Based on these observations, some operators believe that the remedy should be supplemented with further provisions and in particular that: i) the new entity should cease entering into new contracts for a period of no less than 36 months and acquiring new customers under the SPC2 Agreement pending the awarding and commencement of contracting under the new SPC3 Agreement (TIM); ii) the Parties should provide the contracting authority with updated information as of the previous month (TIM); iii) the same set of information provided for the SPC3 tender should also be extended to other tenders issued by the Public Administration (TIM); iv) Fastweb and Vodafone should commit not to present themselves as separate entities in the SPC3 tender (Retelit); v) one-time migration costs should be eliminated (Retelit); vi) pending the completion of the migration process, the use of existing services should be facilitated without setting a minimum rental duration for access services and with a maximum notice period of 30 days for cancellation (Retelit).  </w:t>
        <w:br/>
        <w:t xml:space="preserve">366. Regarding the final version of the Remedy, Iliad and TIM have essentially reiterated the same criticisms already made regarding the first version, believing that the proposed integrations do not add anything in terms of the suitability of the commitment to resolve the competitive issues of the operation.  </w:t>
        <w:br/>
        <w:t xml:space="preserve">Specific Observations on Remedy 3  </w:t>
        <w:br/>
        <w:t xml:space="preserve">367. All operators (TIM262, Sky263, Poste264, Iliad265, AIIP266, WindTre267, Colt, FiberCop268) note a substantial generality and lack of novelty in the remedy in question.  </w:t>
        <w:br/>
        <w:t xml:space="preserve">368. Regarding remedy 3.1, according to Sky and Iliad, the proposed remedy is susceptible to not being applicable if: i) changes occur in the legal, economic, and regulatory framework, and ii) the new entity assesses such changes as having a substantial nature. The conditional nature of the remedy thus risks jeopardizing its implementation.  </w:t>
        <w:br/>
        <w:t xml:space="preserve">369. Furthermore, the remedy does not add any element of novelty compared to the current framework (Iliad, TIM, AIIP). In particular, the proposal to continue providing access services with already contracted operators amounts to compliance with an existing contractual obligation.  </w:t>
        <w:br/>
        <w:t xml:space="preserve">260 Cfr. memoria del 5 novembre 2024 (doc. 161).  </w:t>
        <w:br/>
        <w:t xml:space="preserve">261 Cfr. memoria del 5 novembre 2024 (doc. 164).  </w:t>
        <w:br/>
        <w:t xml:space="preserve">262 Cfr. memorie del 5 e del 25 novembre 2024 (doc. 163 e 216).  </w:t>
        <w:br/>
        <w:t xml:space="preserve">263 Cfr. memoria del 5 novembre 2024 (doc. 160).  </w:t>
        <w:br/>
        <w:t xml:space="preserve">264 Cfr. memoria del 5 novembre 2024 (doc. 159).  </w:t>
        <w:br/>
        <w:t xml:space="preserve">265 Cfr. memoria del 5 novembre 2024 (doc. 165).  </w:t>
        <w:br/>
        <w:t xml:space="preserve">266 Cfr. memoria del 5 novembre 2024 (doc. 164).  </w:t>
        <w:br/>
        <w:t xml:space="preserve">267 Cfr. memoria del 5 novembre 2024 (doc. 166).  </w:t>
        <w:br/>
        <w:t>268 Cfr. memoria pervenuta in data 12 novembre 2024 (doc. 178).</w:t>
      </w:r>
    </w:p>
    <w:p>
      <w:r>
        <w:rPr>
          <w:b/>
        </w:rPr>
        <w:t>[Pages 172–174]</w:t>
      </w:r>
    </w:p>
    <w:p>
      <w:r>
        <w:t xml:space="preserve">174 BULLETIN NO. 49 OF DECEMBER 23, 2024  </w:t>
        <w:br/>
        <w:t xml:space="preserve">370. With reference to Remedy 3.2, according to Sky, TIM, Retelit269, Iliad, AIIP, and WindTre, it represents a generic willingness to conclude new supply contracts without any commitment regarding the economic conditions of the supply itself. In particular, the mere criterion of reasonableness does not seem sufficient to ensure a positive conclusion of negotiations with new operators who decide to resort to the service offered by the post-merger entity.  </w:t>
        <w:br/>
        <w:t xml:space="preserve">371. Iliad also notes that, in the absence of early termination clauses in the existing contracts (between Fastweb and the retail operators purchasing access services), Remedy 3.1 does not add any improvement compared to the current situation, also considering that the contracts have a remaining duration of more than three years.  </w:t>
        <w:br/>
        <w:t xml:space="preserve">372. According to WindTre, moreover, the remedy has some shortcomings in that i) it does not provide for reference to SLAs or KPIs, which represent a critical aspect to ensure a quality service to residential customers; ii) it should apply to all areas covered by the FiberCop network that the latter will make available to the new entity.  </w:t>
        <w:br/>
        <w:t xml:space="preserve">373. Finally, in the opinion of Sky and Iliad, the scope of the remedy would be unjustifiably limited as it does not provide for access to the network with FWA technology.  </w:t>
        <w:br/>
        <w:t xml:space="preserve">374. According to Colt, the mere commitment to negotiate in good faith on reasonable terms with the interested operators for the conclusion of new contracts is not sufficient if not accompanied by measures aimed at ensuring the replicability of the offers by competitors who use the wholesale inputs of the new entity.  </w:t>
        <w:br/>
        <w:t xml:space="preserve">375. Based on these assessments, some operators have suggested some integrations consisting of: i) the removal of the conditions to which the application of Remedy 3.1 is subject (Sky); ii) compliance with the principle of internal-external non-discrimination of the offers addressed to operators (TIM, Poste) and in particular in the retail FTTH market (FiberCop); iii) offering the service on fair, reasonable, non-discriminatory, and cost-oriented terms (TIM); iv) publishing a clear and comprehensive reference price list (TIM, Poste); v) including an obligation for good faith renegotiation of the technical and economic conditions of existing contracts, taking into account the synergies arising from the operation and the level of prices charged by competing operators in the wholesale market (Sky); vi) offering complete so-called "turnkey" access services (Poste); vii) indicating specific KPIs useful for monitoring the quality of the service provided (Poste); viii) including the FWA service in the offer (Sky, Iliad) and more generally the technologies available from time to time (Sky); ix) making the service available also for large business customers (TIM); x) applying the offer to all territorial areas, not just to the co-location areas of FiberCop (Sky); xi) ensuring the replicability of the offers of the post-merger entity in relation to new contracts by competitors (Colt).  </w:t>
        <w:br/>
        <w:t xml:space="preserve">376. Regarding the final version of Remedy 3.1, Sky270 observes that the integrations proposed by Swisscom are not suitable to overcome the defect of inadmissibility of Remedy 3.1 as it is conditioned. In particular, according to the operator, the Remedy, by limiting Fastweb's right to terminate existing contracts to cases of excessive onerousness that has arisen, delegating to the Trustee the verification regarding the alteration of the synallagmatic balance, conflicts with Article 1467 of the Civil Code, which entrusts the Ordinary Judicial Authority with the verification, in adversarial proceedings, of the alleged alteration of the contractual synallagma and the eventual consequent termination of the contract. In this context, where the Trustee should verify the excessive onerousness of existing contracts, the Combined Entity may assert in court a "qualified" assessment made – in the absence of procedural guarantees – by a third party approved by the Authority, with consequent aggravation of the evidentiary burdens on the other contracting party. In this way, the Remedy effectively represents a reduction of the contractual protections of wholesale customer operators.  </w:t>
        <w:br/>
        <w:t xml:space="preserve">377. Sky sees a similar critical issue in relation to Remedy 3.2 insofar as the obligation to negotiate in good faith – which the Trustee is responsible for verifying compliance with – replicates the codified provision that the parties in conducting negotiations must behave according to good faith (Article 1337 of the Civil Code), with the consequence that in the event of a dispute regarding the violation of this obligation, the Combined Entity may assert in court the opinion expressed – in the absence of procedural guarantees – by a third party "approved by the Authority," with consequent aggravation of the evidentiary burdens on the other contracting party.  </w:t>
        <w:br/>
        <w:t xml:space="preserve">Specific observations on the duration of the Remedies  </w:t>
        <w:br/>
        <w:t xml:space="preserve">378. Regarding the duration of the remedies, AIIP271 believes that they should have a minimum duration of ten years, unless force majeure intervenes. According to Sky272, their duration should be consistent with the commercial practice of wholesale access agreements that have an average duration of about five years automatically renewable for the same period. In any case, according to Retelit273, a duration limited to only two or three years is completely insufficient.  </w:t>
        <w:br/>
        <w:t xml:space="preserve">379. Iliad274 states that the three-year horizon is particularly inadequate regarding Commitment 2 considering that, even if the SPC3 tender were announced in the first half of 2025, typically several months will be needed at best for the submission of tender offers and the actual assignment of the same, as well as additional timeframes for the migration process of the lines, which would lead overall to a duration presumably exceeding the three years provided by the Remedy.  </w:t>
        <w:br/>
        <w:t xml:space="preserve">Specific observations on the Trustee  </w:t>
        <w:br/>
        <w:t xml:space="preserve">380. TIM275 suggests that the duration of the Trustee's appointment should not end with the conclusion of the validity of the remedies since disputes between the post-merger entity and other operators could continue for a subsequent period.  </w:t>
        <w:br/>
        <w:t xml:space="preserve">381. Furthermore, TIM and Sky276 consider it appropriate that one of the Trustee's tasks be to monitor the reasonableness of the wholesale conditions provided for in Remedy 3, also taking into account, according to Sky, the changed economic context, the synergies arising from the operation, as well as the best economic conditions available on the market. Furthermore, according to Sky, the Trustee should monitor the progress of the renewals of existing contracts as well as negotiations with new wholesale customers.  </w:t>
        <w:br/>
        <w:t xml:space="preserve">382. Additionally, it would be appropriate for the Trustee to have specific expertise in the telecommunications sector and to define the conditions of independence (TIM). In this regard, Sky proposes that the Trustee should not have had professional relationships in the last five years with the Parties and that the Trustee be directly appointed by the Authority.  </w:t>
        <w:br/>
        <w:t xml:space="preserve">383. According to Sky, the outcomes of the activities carried out by the Trustee should be periodically made known to the market through publication on the Authority's website.  </w:t>
        <w:br/>
        <w:t xml:space="preserve">X.4 Swisscom's observations on the Remedies  </w:t>
        <w:br/>
        <w:t xml:space="preserve">384. According to Swisscom, the package of remedies is suitable to overcome the critical issues identified by the Authority in relation to the three markets for the provision of retail fixed telephony services aimed, respectively, at residential customers, business customers, and the Public Administration277.  </w:t>
        <w:br/>
        <w:t xml:space="preserve">385. In particular, Remedy 1 is suitable to facilitate the entry and expansion of new operators in the business and PA markets to the extent that it allows them full access to the connections used by Fastweb to operate in these markets, and in particular:  </w:t>
        <w:br/>
        <w:t xml:space="preserve">i) E2C P2P Services (ON-Net and NEAR-Net), which will allow operators to establish connections with dedicated capacity in access and shared in transport on the fiber optic lines owned by Fastweb even where the B2B and PA sites, although not yet connected to the Fastweb network, are in proximity to it (i.e., NEAR-Net sites);  </w:t>
        <w:br/>
        <w:t xml:space="preserve">ii) DWDM Services, subject to the realization of a Feasibility Study, which will allow operators to establish connections with dedicated capacity (both in access and in transport) on fiber optic lines owned by Fastweb (so-called end-to-end dedicated capacity connections). This will allow interested operators to have greater flexibility and to request a high-speed service tailored to their needs.  </w:t>
        <w:br/>
        <w:t xml:space="preserve">386. This Remedy "crystallizes" the provision of active fiber optic access services to connect the premises of B2B and PA customers that Fastweb currently makes available in the wholesale market. [Omitted]278.  </w:t>
        <w:br/>
        <w:t xml:space="preserve">387. Swisscom also highlights that Fastweb will ensure compliance with specific quality parameters (established in the Service Level Agreements in force from time to time) and will apply market conditions279. Regarding the latter, the Party emphasizes that the comparison with the offers of competitors must take into account the differences in their respective infrastructure endowments (and specifically the incomparably greater extent of those of FiberCop and Open Fiber compared to that of Fastweb), as well as in their respective business models (focused exclusively on the provision of wholesale services in the case of the two competitors)280.  </w:t>
        <w:br/>
        <w:t xml:space="preserve">388. Noting that it will be among the Trustee's tasks to evaluate what the market conditions to be taken as a reference in the evaluation of the offers will be from time to time,  </w:t>
        <w:br/>
        <w:t xml:space="preserve">277 Cf. doc. 180.  </w:t>
        <w:br/>
        <w:t xml:space="preserve">278 [Omitted].  </w:t>
        <w:br/>
        <w:t xml:space="preserve">279 Remedy 1.1 also provides that the conditions must not exceed those provided in the price lists in Tables 22 and 23 of this Procedure.  </w:t>
        <w:br/>
        <w:t>280 Cf. memorandum of November 25, 2024 (doc. 228).</w:t>
      </w:r>
    </w:p>
    <w:p>
      <w:r>
        <w:rPr>
          <w:b/>
        </w:rPr>
        <w:t>[Pages 175–177]</w:t>
      </w:r>
    </w:p>
    <w:p>
      <w:r>
        <w:t xml:space="preserve">BULLETIN NO. 49 OF DECEMBER 23, 2024 177  </w:t>
        <w:br/>
        <w:t xml:space="preserve">Fastweb, taking into account the existing differences between its networks and business model and those of its competitors, Swisscom has expressed its willingness to "remove from the Remedy Proposal the limitations placed on the discretion of the Trustee in evaluating market conditions related to the services included in Remedies 1.1 and 1.2 (i.e. the parameter of existing wholesale contracts of Fastweb)281.  </w:t>
        <w:br/>
        <w:t xml:space="preserve">389. Remedy 2, in Swisscom's opinion282, is suitable to ensure maximum parity of conditions among competitors in the market for fixed telecommunications services aimed at the Public Administration, to the extent that it eliminates (or at least significantly reduces) any potential information asymmetry between the new entity and competing operators. In fact, the set of information that the Parties will provide is complete and will allow competitors i) in the short term to formulate more competitive offers due to reduced uncertainty regarding costs/revenues associated with winning individual tenders and ii) in the long term to accurately plan development and investment strategies in the Public Administration market. This is because the scope of the transmitted information concerns not only the two most important tenders (TF5 and SPC2) of recent years but also all other tenders related to the market in question. Furthermore, such information presents a level of detail and disaggregation that goes well beyond what has been shared to date by the contracting authorities and allows competitors to make an accurate reconstruction of the demand from the Public Administration on which to tailor their offer.  </w:t>
        <w:br/>
        <w:t xml:space="preserve">390. The transmitted information is also suitable to ensure maximum efficiency of the migration process, allowing not only the formulation of a competitive migration plan in the offer for the purpose of scoring in the tender but also the implementation of the same according to the initially planned timelines and cost estimates.  </w:t>
        <w:br/>
        <w:t xml:space="preserve">391. Regarding the sharing methods, Swisscom notes that the commitment to share the Information not only with the Contracting Authorities but also with the Requesting Operators who meet the participation requirements ensures that all operators will have the same informational assets, receiving promptly a complete set of information on the tenders where Fastweb-Vodafone are incumbents.  </w:t>
        <w:br/>
        <w:t xml:space="preserve">392. In relation to the timelines provided by the remedy, Swisscom observes that these allow for timely sharing of useful information for the preparation of offers in due time.  </w:t>
        <w:br/>
        <w:t xml:space="preserve">393. Swisscom283 finally notes that with Remedy 3, ensuring competitors the possibility to (continue to) benefit from the active wholesale access services offered by Fastweb, stabilizes and secures the market's ability to purchase such services, thereby strengthening the pressure exerted by new operators in the fixed telecommunications services market aimed at residential customers, preserving its current dynamism. In fact, the services (active) offered by Fastweb, although representing less than [5-10]% of FTTH and FTTC lines in the wholesale market, are extremely relevant as they allow operators active in the retail market to provide services to residential customers without incurring significant investments to equip themselves with their own infrastructures.  </w:t>
        <w:br/>
        <w:t xml:space="preserve">281 Cf. memorandum of November 25, 2024 (doc. 228).  </w:t>
        <w:br/>
        <w:t xml:space="preserve">282 Cf. doc. 180.  </w:t>
        <w:br/>
        <w:t>283 Cf. doc. 180.</w:t>
      </w:r>
    </w:p>
    <w:p>
      <w:r>
        <w:t xml:space="preserve">178 BULLETIN NO. 49 OF DECEMBER 23, 2024  </w:t>
        <w:br/>
        <w:t xml:space="preserve">394. In particular, Remedy 3.1 is suitable to ensure the continuity of the offer of wholesale access services by Fastweb, allowing competitors in the residential market who already procure from it to confirm and/or develop growth strategies. Furthermore, Remedy 3.2 ensures that the provision of services currently offered by Fastweb in the wholesale market will be available - based on contracts negotiated in good faith and under market conditions284 - both for potential new entrants who have not yet entered the market and for already active competitors who wish to start or continue to turn to Fastweb for the purchase of the same.  </w:t>
        <w:br/>
        <w:t xml:space="preserve">395. In order to clearly highlight the opportunities that the Remedy offers to operators who have a supply contract with Fastweb, the Party specified that some contracts ([omitted]) will expire well beyond the cessation of the remedies, [omitted], so that for them the effects of Remedy 3.1 will last at least until [omitted]; conversely, for Existing Contracts that will expire during the validity period of the Remedies ([omitted]), the operator will have the right to request Fastweb to enter into a New Contract (based on Remedy 3.1), thus accumulating the positive effects deriving from Remedies 3.1 and 3.2.  </w:t>
        <w:br/>
        <w:t xml:space="preserve">396. Regarding the duration of the Remedies, Swisscom observes that a three-year horizon is consistent with the recent (and future) evolution of the B2B and Public Administration markets. In this latter context, in particular, the upcoming SPC3 tender (scheduled for February 2025) will represent a true "revolution," ensuring that a significant share of the market is made contestable again; on the other hand, the business customer market is now directed towards the integration of connectivity services with ICT/VAS services, allowing any interested operator (even smaller ones) to join forces with system integrators and large tech companies and thus easily gain market shares285.  </w:t>
        <w:br/>
        <w:t xml:space="preserve">397. Furthermore, regarding Remedy 3, the obligation not to withdraw from existing contracts and to enter into multi-year New Contracts (with Fastweb's willingness to also provide for a five-year duration) for a period of 3 years means that the effects of the Remedy could potentially last up to 8 years. In Swisscom's opinion, this is a time extension that is entirely sufficient to address any concerns, especially considering that the market is characterized by a high rate of technological innovation and strong dynamism.  </w:t>
        <w:br/>
        <w:t xml:space="preserve">X.5 Evaluation of the Remedies  </w:t>
        <w:br/>
        <w:t xml:space="preserve">General Considerations  </w:t>
        <w:br/>
        <w:t xml:space="preserve">398. Preliminary observations indicate that the remedies proposed by Swisscom – particularly Remedy 1 and Remedy 3 – while concerning behaviors that Fastweb must implement in the wholesale access services market, should not be evaluated with regard to the competitive conditions characterizing that market, in which - as represented in Section VI of this document - the transaction under examination is not likely to produce restrictive effects on competition. These remedies should rather be evaluated with regard to their suitability to counterbalance the obstacles to effective competition that the transaction itself would be likely to produce in the downstream markets related to the provision of services to residential customers, business customers, and the Public Administration. From this perspective, therefore, the considerations of Open Fiber and those of FiberCop appear to lack merit, to the extent that they highlight the inadequacy of the remedies to address the critical issues they themselves raised regarding the wholesale market.  </w:t>
        <w:br/>
        <w:t xml:space="preserve">399. On the other hand, it must be considered that, in light of the fact that the position held by Fastweb in the national wholesale services market - reconstructed in Section VI of this document - does not appear to be dominant, it would be disproportionate to impose on Fastweb the obligations of access to its owned infrastructure. Therefore, the remedies under examination (specifically, Remedy 1 and Remedy 3), to the extent that they crystallize the status quo of Fastweb's wholesale offer, should be deemed worthy of appreciation, since, in the absence of them, it would fall within the operator's (non-dominant) powers to deny access to its owned infrastructure. In this context, the requests from operators to integrate the remedies presented by Swisscom with obligations – which in a regulatory perspective are typically imposed on an operator with significant market power – related to the replicability of offers and their cost orientation, compliance with the principle of internal-external non-discrimination, transparency of offers, and the publication of a reference price list or the prohibition of using wholesale information for the proposal of retail commercial offers, thus appear to lack merit.  </w:t>
        <w:br/>
        <w:t xml:space="preserve">400. It should also be noted that, in light of Fastweb's significant contribution to the provision of access services – recognized by several operators heard during the investigation (for example, Poste286 and Sky287), as well as by AGCOM, in its coordinated analysis of access service markets288 and by the European Commission in the evaluation of the KKR/Netco transaction289 – it should be considered that the crystallization of the status quo of this operator's wholesale offer, guaranteed by the Remedies, is adequate to fuel and increase the competitive pressure expressed by the current remaining competition, as well as, in perspective, by potential competition, thus removing the obstacles to effective competition that otherwise the transaction would risk producing. As noted by AGCOM, in fact, "the wholesale offer of this operator [Fastweb] plays a key role in the current market context [...] and thus serves as a guarantee for the development of downstream markets in the face of a significant reduction in the number of operators resulting from the concentration transaction"290. In this sense, the criticism of illogicality of the evaluation raised by Iliad and TIM appears entirely without merit.  </w:t>
        <w:br/>
        <w:t xml:space="preserve">401. Conversely, the structural remedy sought by Iliad should be considered disproportionate, since the separation and sale of Vodafone's entire fixed division (or at least that active in providing fixed network services to business and Public Administration customers), including the  </w:t>
        <w:br/>
        <w:t xml:space="preserve">286 Cf. hearing minutes of September 27, 2024 (doc. 82).  </w:t>
        <w:br/>
        <w:t xml:space="preserve">287 Cf. hearing minutes of September 25, 2024 (doc. 67).  </w:t>
        <w:br/>
        <w:t xml:space="preserve">288 Cf. Resolution No. 114/24/CONS, of April 30, 2024.  </w:t>
        <w:br/>
        <w:t xml:space="preserve">289 Cf. M.11386 KKR / NETCO, cited.  </w:t>
        <w:br/>
        <w:t>290 Cf. Resolution No. 509/24/CONS containing the "Opinion to the Antitrust Authority regarding the draft provision relating to the concentration transaction C12659 Swisscom Italia/Vodafone Italia."</w:t>
      </w:r>
    </w:p>
    <w:p>
      <w:r>
        <w:rPr>
          <w:b/>
        </w:rPr>
        <w:t>[Pages 178–180]</w:t>
      </w:r>
    </w:p>
    <w:p>
      <w:r>
        <w:t xml:space="preserve">180 BULLETIN NO. 49 OF DECEMBER 23, 2024  </w:t>
        <w:br/>
        <w:t xml:space="preserve">relative network infrastructures and customer base, by hindering the exploitation of any synergies that the New Entity could achieve in relation to the provision of fixed telecommunications services, would impose on the Parties a remedy more burdensome than strictly necessary to remove the competitive issues of the operation, highlighted in the previous sections of this document. In this regard, it is noteworthy that the evidence on file has excluded the need to have proprietary copper infrastructure291 - which is why, according to Iliad, the divestiture of Vodafone's infrastructure assets would be essential - to access the markets for business and public administration customers. Furthermore, the experience of operators active in these last two markets does not seem to indicate the existence of synergies with the offer of services to residential customers that would make it necessary to combine the respective customer bases: in the business and public administration markets, specialized operators operate on a stable basis who do not direct their offer to residential customers.  </w:t>
        <w:br/>
        <w:t xml:space="preserve">402. Similar considerations arise with reference to a structural remedy, equally sought by Iliad, concerning the sale of the business unit consisting of Vodafone's FTTH customers and the assets dedicated exclusively to providing these customers with fixed network services using fiber optic technology: the recent evolution of the market shows that some operators have managed to enter the market with exclusively fiber offers and to acquire a significant position, with coverage extending almost throughout the national territory, with a business model focused on the wholesale purchase of the entire range of access services that are necessary.  </w:t>
        <w:br/>
        <w:t xml:space="preserve">403. On the other hand, Iliad's requests for behavioral remedies, consisting, on the one hand, of a ban on differentiated offers based on the originating operator for both fixed network services and converging fixed-mobile offers and, on the other hand, of the obligation to conclude an agreement for the transfer/sharing of frequencies or to provide a national roaming service to compete in converging fixed-mobile services, must be considered extraneous to the assessment subject to this procedure - in which only the markets related to the offer of fixed telecommunications services are examined.  </w:t>
        <w:br/>
        <w:t xml:space="preserve">Considerations on Remedy 1  </w:t>
        <w:br/>
        <w:t xml:space="preserve">404. Remedy 1 addresses the competitive issues identified during the investigation related to the retail markets for business and public administration customers to the extent that it is suitable to facilitate qualified entry by new operators or the expansion of already active competitors in these markets in order to counterbalance the reduction of competitive pressure resulting from the operation. This is achieved by allowing competitors to make use of the infrastructure of the post-merger entity, through the provision of an obligation for the latter to supply active fiber optic access services that Fastweb produces in "self-production" through its own network and uses to connect the premises of its business and public administration customers.  </w:t>
        <w:br/>
        <w:t xml:space="preserve">405. The new formulation of the remedy also provides, in response to operators' comments, for the provision of services - based on DWDM technology - entirely with dedicated capacity, i.e. both on the access network and on the transport network, so that the new entity will make available to competitors the entire set of services that Fastweb currently uses to serve its business and public administration customers.  </w:t>
        <w:br/>
        <w:t xml:space="preserve">406. Furthermore, the E2C P2P services - which Fastweb claims to use predominantly, allowing the connection of over 90% of the served sites of business and public administration customers - have been integrated by also providing an option for the supply of services compliant with the international MEF standard, which provide certain performance guarantees.  </w:t>
        <w:br/>
        <w:t xml:space="preserve">407. With specific reference to the contractual conditions of the services offered, the changes to the remedies proposed by Swisscom are commendable, as they aim to ensure that Fastweb's wholesale offer constitutes an effective procurement alternative for operators wishing to connect their customers without having to make infrastructure investments. In fact, it is explicitly provided that the Trustee must verify that all services (both E2C P2P type and with DWDM technology) are provided by Fastweb according to well-defined SLAs (attached to this Decision) and under market conditions that it will be the Trustee's task to evaluate, also in light of competitors' offers, taking due account of the differences between the infrastructure endowments of the latter and those of Fastweb.  </w:t>
        <w:br/>
        <w:t xml:space="preserve">408. On the other hand, the operators' comments on the need to include the provision of passive services among those that the new entity is required to offer do not appear to be shareable. In this regard, it should first be noted that the investigative evidence indicates that the need for access services to operate in the retail markets, including those for business and public administration customers to which the services subject to the Remedy under examination are specifically directed, can be satisfied with the purchase of active services292. It has also emerged that Fastweb does not sell passive wholesale connections on the basis of which an operator can connect the end customer as [omitted]293; consequently, a remedy consisting of the obligation to provide passive services would not be proportionate, given that the Parties jointly do not hold a dominant position in the markets in question. In fact, considering that Fastweb's infrastructure was not designed and developed to offer passive services, such a remedy would entail the need to incur new investments, thus placing this burden on the new entity rather than on the operators who compensate for their infrastructure shortcomings through the purchase of access services.  </w:t>
        <w:br/>
        <w:t xml:space="preserve">409. More generally, it is believed that Remedies 1.1 and 1.2, as presented in the final version, are suitable to remove the main obstacle to the growth of effective competitors, as well as to the entry of potential ones, which the evidence acquired during the investigation leads to identify with the availability of access services (see section VII.4).  </w:t>
        <w:br/>
        <w:t xml:space="preserve">Considerations on Remedy 2  </w:t>
        <w:br/>
        <w:t xml:space="preserve">410. The remedy in question contributes, along with the previous one, to stimulate the growth of alternative operators to the two main ones resulting from the operation in the public administration market, as it reduces the competitive advantage of the post-merger entity in terms of information available in the tenders in which the Parties are the outgoing suppliers, resizing the information asymmetry between the latter and the potential participants in the tenders. In this way, the commitment helps to overcome the main barrier to entry into the market.  </w:t>
        <w:br/>
        <w:t xml:space="preserve">411. As for the suitability of the described commitment to reduce barriers to entry and growth in the public administration market - questioned by Iliad - it should be noted that in the assessment of other concentrations carried out in the same market, the Authority has had the opportunity to appreciate the positive contribution, in terms of support for effective and potential competition, of measures aimed at making useful information available to tender participants294. Furthermore, in the case at hand, it is relevant to consider that the services subject to Remedies 1.1 and 1.2 are adequate to meet the needs of operators active in providing services to the public administration, so that the related access obligations contribute to increasing the effectiveness of the entire package of Remedies presented by Swisscom in reducing entry barriers in this market.  </w:t>
        <w:br/>
        <w:t xml:space="preserve">412. With specific regard to the content of Remedy 2 presented by Swisscom in this context, it is noted that the obligation to provide, both to the contracting authority and to the subjects who, based on the evaluation of the latter, meet the participation requirements for the tenders, detailed and disaggregated information, in an organized, complete manner and in one solution - rather than in response to individual requests submitted from time to time by the contracting authority - can facilitate the participation and awarding of alternative competitors, placing them in a position to have a complete picture from the outset to present more competitive bids in the tender, having less uncertainty about expected costs and revenues, and also to more easily face a possible migration process.  </w:t>
        <w:br/>
        <w:t xml:space="preserve">413. The information provided is also relevant for proceeding with a migration of customers according to the initially planned timelines and costs, as it does not require the need to carry out a complex reconstruction of the information necessary to carry out this process once the tender has been awarded.  </w:t>
        <w:br/>
        <w:t xml:space="preserve">414. In this regard, contrary to what has been argued by the operators, it should be emphasized that the proposed measure appears broader than the obligations already in force. From a subjective perspective, the transparency obligation currently applies only to contracting authorities and not also to operators.  </w:t>
        <w:br/>
        <w:t>415. From an objective perspective, the transmission of information also concerns the volumes of the last two years preceding the tender, which allows operators to have not only an updated and complete view of the services offered to the public administration but also a dynamic framework in terms of the trend of their demand. Furthermore, the information on the date of signing the executive contracts and the first activation of the supply allows operators to have a precise indication of the average time needed to achieve initial revenues295. Finally, the detailed information for each public administration customer appears to have a higher granularity than that currently provided to contracting authorities. In particular, the remedy provides, for the purpose of participating in the upcoming SPC3 connectivity and fixed telephony tender, for the transmission of data regarding295. In this regard, it is noteworthy that there is generally a rather long and uncertain time between the date of publication of the Tender, the date of awarding, the date of signing the executive contract, and the actual first activation of the services subject to the Tender. In light of this, having precise information on the date of signing the contract and the first activation of the service ensures competitors an important indication of the average time necessary to achieve the first revenues from the specific supply.</w:t>
      </w:r>
    </w:p>
    <w:p>
      <w:r>
        <w:rPr>
          <w:b/>
        </w:rPr>
        <w:t>[Pages 181–183]</w:t>
      </w:r>
    </w:p>
    <w:p>
      <w:r>
        <w:t xml:space="preserve">BULLETIN NO. 49 OF DECEMBER 23, 2024 183  </w:t>
        <w:br/>
        <w:t xml:space="preserve">the consistencies and traffic related to the fixed telephony service of each location pertaining to the individual PA detailed also for each direction.  </w:t>
        <w:br/>
        <w:t xml:space="preserve">416. Finally, the integration to the remedy proposed by Swisscom aimed at delegating the Trustee the task of verifying the appropriateness of extending the obligation to provide the same level of granularity of information required for Consip tenders to other tenders constitutes a safeguard to ensure that such a level of disaggregation also applies to these latter ones if necessary to promote the effective participation in tenders by other operators.  </w:t>
        <w:br/>
        <w:t xml:space="preserve">Considerations on Remedy 3  </w:t>
        <w:br/>
        <w:t xml:space="preserve">417. Remedy 3 is suitable to support the growth of already active operators, as well as the entry of new competitors into the residential market, as it will allow such operators to benefit from the access services offered by Fastweb to operate in this market.  </w:t>
        <w:br/>
        <w:t xml:space="preserve">418. In light of the competitive issues identified in this proceeding, the scope of the remedy appears entirely appropriate296. In particular, the proposed solution of offering "turnkey" active services meets the needs of smaller, non-infrastructured operators who, on one hand, have constituted a significant competitive constraint in recent years and have growth prospects, and on the other hand, represent the type of potential competitors who are likely to enter the market in the coming years.  </w:t>
        <w:br/>
        <w:t xml:space="preserve">419. In this context, the modifications to the remedy recently made by Swisscom alleviate the concerns expressed by operators regarding the high risk of non-implementation of the same. In fact, with regard to existing contracts, it is provided that the Trustee will evaluate the substantial nature of changes to the legal, economic, and regulatory framework that would lead to their termination. Furthermore, the aforementioned modifications have been substantially limited to two situations - related to the procurement conditions of the post-merger entity and the regulatory or legislative framework linked to the de-verticalization of TIM - which appear to be effectively capable of significantly impacting the competitive scenario of the retail residential market subject to the remedy.  </w:t>
        <w:br/>
        <w:t xml:space="preserve">420. Finally, regarding the signing of new contracts, the uncertainty related to the implementation of the measure is reduced as one of the Trustee's tasks is precisely to verify that the negotiation takes place in good faith and under market conditions, which he himself must verify, also in light of the offers from competitors, taking due account of the differences between the infrastructure endowments of the latter and those of Fastweb.  </w:t>
        <w:br/>
        <w:t xml:space="preserve">421. As for the suitability of Remedy 3 to add improvements over the current situation, questioned by Iliad considering the remaining duration of existing contracts and the absence of early termination clauses, it is noted that - based on the clarifications provided by Swisscom - there are some contracts that will expire during the validity period of the Remedies ([omissis]), for which the operator will have the right to request Fastweb to enter into a New Contract (based on Remedy 3.1), thus accumulating the positive effects deriving from Remedies 3.1 and 3.2.  </w:t>
        <w:br/>
        <w:t xml:space="preserve">422. Lastly, it is noted that the observations made by Sky regarding the substantial overlap with civil law norms of the criteria according to which the Trustee must evaluate, for remedy 3.1, whether a substantial change has occurred in the legal, economic, and regulatory framework such as to alter the contractual balance and make Fastweb's performance excessively burdensome and, for Remedy 3.2, that the conditions offered by Fastweb for the signing of new contracts are negotiated in good faith, appear to be entirely without merit. It is indeed evident that any evaluation that the Trustee will carry out in implementing the Remedies under consideration is relevant solely for the purpose of determining whether Swisscom is complying with the Measures made binding by this decision, without prejudice to any right of the Parties to appeal to the Ordinary Judicial Authority for assessments within its competence.  </w:t>
        <w:br/>
        <w:t xml:space="preserve">Considerations on the Duration of the Remedies  </w:t>
        <w:br/>
        <w:t xml:space="preserve">423. The time horizon set for the Remedies - equal to 3 years - appears adequate, taking into account the stage of evolution and current practices in the affected markets. In this regard, it is relevant to consider that the practice in use in the wholesale market of signing multi-year access contracts means that defining a three-year time horizon for their signing is likely to produce potentially much more lasting effects. Furthermore, with specific reference to the PA market, it is noted that the next SPC3 tender will soon be announced, which, by combining connectivity and telephony services that were previously subject to separate tenders, will make a significantly large portion of market demand contestable.  </w:t>
        <w:br/>
        <w:t xml:space="preserve">424. In this regard, the concern expressed by Iliad regarding the adequacy of the three-year horizon in relation to the possible timing of the SPC3 tender appears to be without merit, as it is about to be announced, so that Fastweb's commitment to make available an adequate information set to facilitate participation by competitors is likely to be implemented imminently; on the other hand, in light of the experience of previous tenders, it must be considered reasonable that the related award will also take place within the next three years, so that the awardee can effectively benefit from the useful information for migration that Fastweb commits to make available.  </w:t>
        <w:br/>
        <w:t xml:space="preserve">Considerations on the Role of the Trustee  </w:t>
        <w:br/>
        <w:t>425. While sharing the opportunity for the implementation of the articulated package of Remedies under consideration to be monitored by a Trustee, it is noted that, due to the delicate role that he is called to perform (particularly in relation to Remedy 1 and Remedy 3), "enhanced" guarantees of his independence from the Parties appear necessary. In particular, it is deemed appropriate to provide that, in order to avoid the Trustee being or having been exposed to a conflict of interest with Swisscom and the parent company, its subsidiaries, and Vodafone, the Trustee must not have had professional relationships on behalf of such entities in the three years preceding his appointment, nor may he have any in the three years following the conclusion of his assignment. Furthermore, the Trustee cannot have been classified as an employee in the organization of Swisscom, the parent company, its subsidiaries, and Vodafone.</w:t>
      </w:r>
    </w:p>
    <w:p>
      <w:r>
        <w:t xml:space="preserve">BULLETIN NO. 49 OF DECEMBER 23, 2024 185  </w:t>
        <w:br/>
        <w:t xml:space="preserve">XI. THE OPINION OF THE AUTHORITY FOR GUARANTEES IN COMMUNICATIONS  </w:t>
        <w:br/>
        <w:t xml:space="preserve">426. On December 3, 2024, the Authority for Guarantees in Communications (AGCOM) was requested, pursuant to Article 1, paragraph 6, letter c), no. 11, of Law No. 249 of July 31, 1997, establishing "The Authority for Guarantees in Communications and rules on telecommunications and broadcasting systems," to express an opinion regarding the concentration operation in question, in view of the adoption of the final provision.  </w:t>
        <w:br/>
        <w:t xml:space="preserve">427. The opinion was received on December 18, 2024. With it, AGCOM shares the definition of the markets made by the Authority, recalling - with specific reference to the geographical dimension of the wholesale fixed network access services market - that it has deemed it appropriate to conduct a detailed geographical analysis of the markets and their related competitive conditions in the last two regulatory cycles. Furthermore, having found the assessments made by the Authority regarding the effects of the operation in question to be shareable, AGCOM considers that the Remedies proposed by Swisscom can resolve the competitive issues identified in the retail markets for residential, business, and PA customers, as they promote the growth of operators already present in these markets and encourage the entry of new operators, compensating for the loss of competitive pressure resulting from the concentration. In particular, in AGCOM's view, the commitment for the post-merger entity to ensure that competing operators can purchase the same wholesale active services currently provided by Fastweb (related to both the residential and business markets) balances the detrimental effects on the market resulting from the reduction in the number of active operators in the retail markets.  </w:t>
        <w:br/>
        <w:t xml:space="preserve">428. In light of these assessments, AGCOM, for the aspects within its competence, expressed a favorable opinion on the draft final provision regarding the concentration in question.  </w:t>
        <w:br/>
        <w:t xml:space="preserve">XII. CONCLUSIONS  </w:t>
        <w:br/>
        <w:t xml:space="preserve">429. In conclusion, the investigation in question has established that the concentration under examination significantly hinders effective competition in the retail fixed network services markets for residential customers, fixed network services for business customers, and fixed network services for public administration, pursuant to Article 6, paragraph 1, of Law No. 287/1990.  </w:t>
        <w:br/>
        <w:t xml:space="preserve">430. In light of this, it is believed that the corrective measures proposed by Swisscom are suitable to address the competitive issues analyzed above. The notified concentration operation is, therefore, susceptible to being conditionally authorized subject to the prescription, pursuant to Article 6, paragraph 2, of Law No. 287/1990, of the measures referred to in Section X, in accordance with what has been proposed by the Parties.  </w:t>
        <w:br/>
        <w:t xml:space="preserve">CONSIDERING that the operation in question is likely to significantly hinder effective competition in the retail fixed network services markets for residential customers, fixed network services for business customers, and fixed network services for public administration, pursuant to Article 6, paragraph 1, of Law No. 287/1990;  </w:t>
        <w:br/>
        <w:t>CONSIDERING it necessary to prescribe, to Swisscom Italia S.r.l., pursuant to Article 6, paragraph 2, of Law No. 287/1990, measures to prevent the realization of the distorting effects caused by the implementation of the concentration in question;</w:t>
      </w:r>
    </w:p>
    <w:p>
      <w:r>
        <w:rPr>
          <w:b/>
        </w:rPr>
        <w:t>[Pages 184–186]</w:t>
      </w:r>
    </w:p>
    <w:p>
      <w:r>
        <w:t xml:space="preserve">186 BULLETIN NO. 49 OF DECEMBER 23, 2024  </w:t>
        <w:br/>
        <w:t xml:space="preserve">CONSIDERED, therefore, that the operation in question is authorized subject to the full and effective implementation of all measures prescribed in this provision;  </w:t>
        <w:br/>
        <w:t xml:space="preserve">CONSIDERED, furthermore, that the non-competition obligations, the prohibition on poaching employees, the service contracts, and the other ancillary agreements between the parties are ancillary to this Operation only to the extent described above and that the Authority reserves the right to evaluate the aforementioned agreements that exceed the limits indicated therein;  </w:t>
        <w:br/>
        <w:t xml:space="preserve">RESOLVES  </w:t>
        <w:br/>
        <w:t xml:space="preserve">to authorize the communicated concentration operation, provided that Swisscom Italia S.r.l. fully and effectively implements the following measures prescribed pursuant to Article 6, paragraph 2, of Law No. 287/1990, which will be valid from the date of closing of the Operation until December 31, 2027:  </w:t>
        <w:br/>
        <w:t xml:space="preserve">1. Wholesale access services to the network for the provision of retail services to business clientele and Public Administration  </w:t>
        <w:br/>
        <w:t xml:space="preserve">Swisscom Italia S.r.l. must ensure that:  </w:t>
        <w:br/>
        <w:t xml:space="preserve">1.1. Fastweb provides wholesale Ethernet to Connect (“E2C”) access services to establish point-to-point (“P2P”) Ethernet connections in fiber optic (“E2C P2P Services”). The E2C P2P Services will be offered both for sites already connected to Fastweb's existing proprietary network (“ON-Net”) and for sites located near the Fastweb network for which standard list prices and connection times can be applied (“NEAR-Net”), ensuring compliance with MEF profiles (“E2C P2P MEF Services”), and without this latter guarantee (“Standard E2C P2P Services”). To this end, Fastweb will propose to interested operators a contract for the activation of new E2C P2P Services that provides for: (i) speeds of up to 1 Gbps with symmetrical bandwidth; (ii) the Service Level Agreements (“SLA”) in force from time to time, as per Fastweb's standard wholesale contracts (attached to this provision); and (iii) prices on market conditions and in any case not exceeding those indicated in Tables 22 and 23 of this Provision.  </w:t>
        <w:br/>
        <w:t xml:space="preserve">1.2. Fastweb provides wholesale access services through dedicated end-to-end fiber optic P2P connections with DWDM technology (“DWDM Services”), subject to the completion of a feasibility study (“Feasibility Study”). The Feasibility Study, as per market practices, may take into account whether there is already a Fastweb fiber optic network, the location of the customer, the placement of the endpoints, and the complexity of the network architectures to be traversed. If the Feasibility Study is positive, the price of the DWDM Service will be determined on market conditions.  </w:t>
        <w:br/>
        <w:t xml:space="preserve">The execution of the remedy in question is subject to monitoring by the Monitoring Trustee.  </w:t>
        <w:br/>
        <w:t xml:space="preserve">2. Provision of information in tender procedures  </w:t>
        <w:br/>
        <w:t xml:space="preserve">Swisscom undertakes to ensure that Fastweb and Vodafone (“FW-VI”) provide the necessary information to ensure maximum equality of conditions among competitors (“Provided Information”) in any public tender that will be issued by Consip, by individual Public Administrations, or by other regional contracting authorities (“Contracting Authority”) for the purchase of fixed telephony and fixed connectivity services for which FW-VI are the outgoing suppliers. The Provided Information will be transmitted by FW-VI (i) to the Contracting Authority and (ii) after informing the latter, to interested operators who meet the participation requirements for the Tender (“Requesting Operators”).  </w:t>
        <w:br/>
        <w:t xml:space="preserve">Regarding the TF5 framework agreement, the Provided Information will be as follows (“TF5 Information”):  </w:t>
        <w:br/>
        <w:t xml:space="preserve">i) the date of signing the contract between Fastweb/Vodafone and each Public Administration; ii) the date of first activation of the fixed telephony service for each Public Administration; iii) the volumes, as of December 31 of the two years preceding the Tender,11 related to fixed telephony services (“TF5 Volumes”) and specifically: the total TF5 Volumes purchased by all Public Administrations, aggregated by municipality; the disaggregated TF5 Volumes, indicating: (a) the name and location of the offices of the individual Public Administration; and (b) the value of the TF5 Volumes, broken down by each service and area, attributable to those offices; iv) the data relating to the traffic of fixed telephony services, as of December 31 of the two years preceding the Tender, broken down by individual routes (i.e., national urban/interurban, international, fixed mobile, and intelligent network) (“Traffic”) and specifically: the total Traffic of all Public Administrations, aggregated by Municipality and the disaggregated Traffic, indicating: (a) the name and location of the offices of the individual Public Administration; and (b) the Traffic, disaggregated by individual routes (i.e., national urban/interurban, international, fixed mobile, and intelligent network), attributable to those offices.  </w:t>
        <w:br/>
        <w:t xml:space="preserve">Regarding further Tenders for fixed telephony services, the Provided Information will be similar to the TF5 Information, but with a different level of detail due to their lesser complexity and size.  </w:t>
        <w:br/>
        <w:t xml:space="preserve">Regarding the SPC2 framework agreement, the Provided Information will be as follows (“SPC2 Information”): i) the date of signing the contract between Fastweb/Vodafone and each Public Administration; ii) the date of first activation of the fixed connectivity service for each Public Administration; the volumes, as of December 31 of the two years preceding the Tender, related to data transport services (“SPC2 Volumes”), provided according to the items of the price list provided for in the SPC2 tender, and specifically: the total SPC2 Volumes purchased by all Public Administrations, aggregated by municipality and the disaggregated SPC2 Volumes, indicating: (a) the name and location of each office of the individual Public Administration; and (b) the value of the SPC2 Volumes attributable to those offices.  </w:t>
        <w:br/>
        <w:t xml:space="preserve">Regarding further Tenders for fixed connectivity services, the Provided Information will be similar to the SPC2 Information, but with a different level of detail due to their lesser complexity and size.  </w:t>
        <w:br/>
        <w:t xml:space="preserve">The communication of the Provided Information will take place within 15 working days from the request of the Contracting Authority or the Requesting Operators.  </w:t>
        <w:br/>
        <w:t xml:space="preserve">In order to facilitate the planning and execution of migration activities, Swisscom must ensure that FW-VI transmit to the new successful bidder of the Tender (“New Supplier”) the Provided Information updated to the month preceding the date of its request (“Updated Information”).  </w:t>
        <w:br/>
        <w:t xml:space="preserve">The communication of the Updated Information will take place within 15 working days from the request of the New Supplier, subject to the insertion of the new supply order from the Public Administration.  </w:t>
        <w:br/>
        <w:t>The execution of the remedy in question is subject to monitoring by the Monitoring Trustee.</w:t>
      </w:r>
    </w:p>
    <w:p>
      <w:r>
        <w:t xml:space="preserve">188 BULLETIN NO. 49 OF DECEMBER 23, 2024  </w:t>
        <w:br/>
        <w:t xml:space="preserve">3. Wholesale access services for the provision of retail services to residential clientele  </w:t>
        <w:br/>
        <w:t xml:space="preserve">Swisscom ensures that:  </w:t>
        <w:br/>
        <w:t xml:space="preserve">3.1. Fastweb - unless substantial changes occur in the legal, economic, and regulatory framework - does not terminate the existing wholesale service supply contracts (“Existing Contracts”) for the provision of ultra-broadband access services in areas where Fastweb has (and will have) direct coverage availability and through co-location in FiberCop exchanges (“Wholesale Access Services B2C”), both in FTTH GPON and VULA GPON technology, and in FTTC and VULA FTTC technology. The right of withdrawal is reserved according to what is already contractually regulated (e.g., in cases where the contracting operator is subject to preventive concordat procedures, liquidation, or bankruptcy).  </w:t>
        <w:br/>
        <w:t xml:space="preserve">3.2. Fastweb negotiates in good faith and on market conditions with new operators the conclusion of new multi-year contracts (with availability to guarantee, if requested, a duration of up to 5 years) for the provision of Wholesale Access Services B2C.  </w:t>
        <w:br/>
        <w:t xml:space="preserve">The execution of the remedy in question is subject to monitoring by the Monitoring Trustee.  </w:t>
        <w:br/>
        <w:t xml:space="preserve">4. Appointment of a Monitoring Trustee  </w:t>
        <w:br/>
        <w:t xml:space="preserve">Swisscom will appoint a trustee responsible for monitoring the Remedies (Trustee), whose term will be the same as that of the Remedies.  </w:t>
        <w:br/>
        <w:t xml:space="preserve">Within 30 days from the notification of the Closure Provision of procedure C12659, Swisscom will communicate to the Authority a proposal for the appointment of the Trustee (“Trustee Proposal”). The Trustee must: (i) be in a position of independence from Swisscom, the parent company, and the companies controlled by it; (ii) possess the necessary qualifications to carry out his mandate; and (iii) not be, nor have been, exposed to a conflict of interest with respect to Swisscom, the parent company, and the companies controlled by it and, in particular, must not have held any significant position on behalf of Swisscom in the three years preceding his appointment, nor have any in the three years following the conclusion of his mandate.  </w:t>
        <w:br/>
        <w:t xml:space="preserve">The Trustee Proposal will include: (i) the name and curriculum vitae of the Trustee; (ii) sufficient information to allow the Authority to verify that the proposed Trustee meets the Trustee Requirements; (iii) the terms of the proposed mandate, which will include all necessary provisions to allow the Trustee to independently fulfill his obligations (“Trustee Mandate”); and (iv) a work plan describing how the Trustee will monitor the Remedies (“Work Plan”).  </w:t>
        <w:br/>
        <w:t xml:space="preserve">According to the Work Plan, the Trustee must:  </w:t>
        <w:br/>
        <w:t xml:space="preserve">- regarding Remedy No. 1.1, verify that Fastweb has correctly executed the requests for new E2C P2P Services and has effectively activated such services in accordance with the terms provided by the SLA in force from time to time, as well as applied prices on market conditions and in any case not exceeding those provided in the price list of Tables 22 and 23 of this Provision;  </w:t>
        <w:br/>
        <w:t>- regarding Remedy No. 1.2: verify that Fastweb has correctly executed the requests for DWDM Services by carrying out the Feasibility Study considering the existing coverage of Fastweb's fiber network, the location of the customer, the placement of the endpoints of the interested operator, and the complexity of the network architectures to be traversed and, if the Feasibility Study has a positive outcome, verify that Fastweb has correctly executed the requests for DWDM Services and applied prices on market conditions;</w:t>
      </w:r>
    </w:p>
    <w:p>
      <w:r>
        <w:rPr>
          <w:b/>
        </w:rPr>
        <w:t>[Pages 187–189]</w:t>
      </w:r>
    </w:p>
    <w:p>
      <w:r>
        <w:t xml:space="preserve">BULLETIN NO. 49 OF DECEMBER 23, 2024 189  </w:t>
        <w:br/>
        <w:t xml:space="preserve">- regarding Remedy No. 2, verify that: (i) FW-VI have actually transmitted the Provided Information to the Contracting Authority and to the Requesting Operators within 15 working days from the request; (ii) any differences between the TF5 and SPC2 Information and those provided by FW-VI for the additional fixed telephony and fixed connectivity tenders are justified by the actual lesser complexity and size of the latter; and (iii) FW-VI have actually transmitted the Updated Information to the New Supplier within 15 working days from the latter's request, following the insertion of the new supply order by the PA;  </w:t>
        <w:br/>
        <w:t xml:space="preserve">- regarding Remedy No. 3.1, in the event that Fastweb wishes to terminate the Existing Contracts, verify that there has been a "substantial change to the legal, economic, and regulatory framework" such as to alter the contractual balance and make Fastweb's performance excessively burdensome, arising for example: (i) from changes to the current terms and conditions of Fastweb's supply; and (ii) from any significant regulatory or legislative changes occurring downstream of the de-verticalization of TIM S.p.A.;  </w:t>
        <w:br/>
        <w:t xml:space="preserve">- regarding Remedy No. 3.2, verify that the conditions offered by Fastweb for the subscription of New Contracts have been "negotiated in good faith" and are "market conditions."  </w:t>
        <w:br/>
        <w:t xml:space="preserve">The Authority has the power to approve or reject the Trustee's Proposal, as well as to approve or modify the Trustee's Mandate in order to allow the Trustee to perform its functions. In the event of approval: Swisscom must: (i) assign the task to the Trustee within 7 working days from the communication of the resolution approving the Trustee's Proposal by the Authority; (ii) provide the Trustee with the cooperation, assistance, and information that the Trustee may reasonably need in executing the Work Plan and, in general, in carrying out its functions; and (iii) provide the Trustee with the agreed compensation; and the Trustee must: (i) assume the obligations specified in the Trustee's Mandate and in the Work Plan; (ii) sign a confidentiality agreement aimed at ensuring that the information acquired in the performance of its functions is shared exclusively with the Authority and Swisscom; (iii) transmit to the Authority and Swisscom a semi-annual report starting from its appointment and until the expiration of the Remedies, with the results of the verifications carried out pursuant to the Work Plan; (iv) inform the Authority whenever critical issues arise in the implementation of the Remedies; and (v) act as an arbitrator in any disputes that may arise regarding the proper execution of the Remedies.  </w:t>
        <w:br/>
        <w:t>This provision will be notified to the interested parties and published in the Bulletin of the Competition and Market Authority.</w:t>
      </w:r>
    </w:p>
    <w:p>
      <w:r>
        <w:t xml:space="preserve">190 BULLETIN NO. 49 OF DECEMBER 23, 2024  </w:t>
        <w:br/>
        <w:t xml:space="preserve">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  </w:t>
        <w:br/>
        <w:t xml:space="preserve">THE SECRETARY GENERAL THE PRESIDENT  </w:t>
        <w:br/>
        <w:t xml:space="preserve">Guido Stazi Roberto Rustichelli  </w:t>
        <w:br/>
        <w:t xml:space="preserve">_______________________________________________________________  </w:t>
        <w:br/>
        <w:t xml:space="preserve">TECHNICAL APPENDIX ON GUPPI  </w:t>
        <w:br/>
        <w:t xml:space="preserve">1. In order to assess the incentive to raise prices (or more generally deteriorate the offer) of the post-merger entity, the GUPPI index has been calculated for each participating firm in the concentration, based on the following formula:  </w:t>
        <w:br/>
        <w:t xml:space="preserve">where  </w:t>
        <w:br/>
        <w:t xml:space="preserve">DR from Party i to Party j  </w:t>
        <w:br/>
        <w:t xml:space="preserve">mj = average contribution margin (net of variable costs) percentage (relative to price) per customer of Party j  </w:t>
        <w:br/>
        <w:t xml:space="preserve">pj = average unit price applied by Party j  </w:t>
        <w:br/>
        <w:t xml:space="preserve">pi = average unit price applied by Party i  </w:t>
        <w:br/>
        <w:t xml:space="preserve">2. For the estimation of the GUPPI of Fastweb and Vodafone, the following have been used:  </w:t>
        <w:br/>
        <w:t xml:space="preserve">- the DR, whose values are reported in the text, based on the FNP data provided by the Parties for 2023;  </w:t>
        <w:br/>
        <w:t xml:space="preserve">- the average contribution margin of Vodafone and Fastweb as inferred from an internal document attached to the notification form, equal to [30-40]% in 2023298;  </w:t>
        <w:br/>
        <w:t xml:space="preserve">- the ratio of ARPU (per customer and on a monthly basis) of the Parties that have been provided by them299 as a proxy for the ratio of pieces.  </w:t>
        <w:br/>
        <w:t xml:space="preserve">298 See annex X.5.3. to the notification form.  </w:t>
        <w:br/>
        <w:t xml:space="preserve">299 In particular, the ratio is quantifiable at approximately [omitted], and consequently the ratio is approximately [omitted].  </w:t>
        <w:br/>
        <w:t xml:space="preserve">𝐷 𝑅  </w:t>
        <w:br/>
        <w:t xml:space="preserve">𝑖𝑗  </w:t>
        <w:br/>
        <w:t xml:space="preserve">=  </w:t>
        <w:br/>
        <w:t xml:space="preserve">𝐺 𝑈 𝑃 𝑃 𝐼  </w:t>
        <w:br/>
        <w:t xml:space="preserve">𝑖  </w:t>
        <w:br/>
        <w:t xml:space="preserve">= 𝐷 𝑅  </w:t>
        <w:br/>
        <w:t xml:space="preserve">𝑖𝑗  </w:t>
        <w:br/>
        <w:t xml:space="preserve">∗ 𝑚  </w:t>
        <w:br/>
        <w:t xml:space="preserve">𝑗  </w:t>
        <w:br/>
        <w:t xml:space="preserve">∗  </w:t>
        <w:br/>
        <w:t xml:space="preserve">𝑝  </w:t>
        <w:br/>
        <w:t xml:space="preserve">𝑝  </w:t>
        <w:br/>
        <w:t xml:space="preserve">𝑗  </w:t>
        <w:br/>
        <w:t>𝑖</w:t>
      </w:r>
    </w:p>
    <w:p>
      <w:r>
        <w:t xml:space="preserve">BULLETIN NO. 49 OF DECEMBER 23, 2024 191  </w:t>
        <w:br/>
        <w:t xml:space="preserve">3. It follows that the GUPPI of Fastweb, which measures the incentive of the post-merger entity to raise prices on the clientele currently served by Fastweb, is estimated at a value of [5-10]%, significantly above the critical threshold of 5% used in its practice by the Authority.  </w:t>
        <w:br/>
        <w:t xml:space="preserve">4. The GUPPI of Vodafone, which captures the incentive to raise prices on the pool of users currently supplied by the latter, is equal to [5-10]%, also exceeding the aforementioned critical threshold.  </w:t>
        <w:br/>
        <w:t xml:space="preserve">5. Regarding the value of the parameters used for the calculation of the GUPPI, it is noteworthy that the Parties provided estimates of the margins, in response to an information request300, which were not used for a number of reasons.  </w:t>
        <w:br/>
        <w:t xml:space="preserve">6. Firstly, it is noted that some of the cost items included in the margin calculation carried out ad hoc by the Parties are of a fixed or semi-variable nature301 whereas the appropriate margin for the calculation of the index is net of only variable costs.  </w:t>
        <w:br/>
        <w:t xml:space="preserve">7. Secondly, some of the cost items presented by the Parties were excluded by the Commission in the calculation of margins in some recent precedents302.  </w:t>
        <w:br/>
        <w:t xml:space="preserve">8. Thirdly, the margin data provided by the Parties are significantly different from those contained in the aforementioned internal document – used for the preparation of the Business Plan of the new entity – which the Parties transmitted at the time of notification of the operation. The lack of comparability of the values provided compared to those acquired at the time of notification is evident, for example, from the analysis of margins gross and net of customer acquisition costs. Regarding the former, in the estimates provided by the Parties, it varies in 2023 in a range of [30-40]% (as a percentage of revenues, at ARPU) whereas the value contained in the internal document stands at [45-55]%. Regarding the margin net of customer acquisition costs, the latter reports a figure in 2023 equal to [30-40]%, whereas the Parties provided estimates in response to the information request of the order of [20-30]%. Moreover, if in the internal document the value of the margin net of customer acquisition costs corresponds to the contribution margin (as stated equal to [30-40]%), in their estimate the Parties subtract from revenues additional costs to arrive at a final contribution margin of [10-20]%.  </w:t>
        <w:br/>
        <w:t xml:space="preserve">300 See responses to the information request received on October 4 and October 9, 2024.  </w:t>
        <w:br/>
        <w:t xml:space="preserve">301 For example, in the calculation of Fastweb's margin, the Party included, despite the request to include only variable costs, a cost - by the Party's own admission following a request for clarification - of a fixed nature. This particularly concerns the item "Access Network Set-Up," consisting of the pro-rata allocation of investments in the access network. Also by way of example, in the calculation of the margin, Vodafone included costs on commissions recognized in the various sales channels for the acquisition of new customers. However, by the Party's own admission, it included in this item – without providing its weight on the total value - both commissions on the sale of each individual line and commissions upon reaching certain thresholds.  </w:t>
        <w:br/>
        <w:t>302 For example, in case M10896- ORANGE / MASMOVIL / JV decision of 20/02/2024, the Commission excluded costs related to customer assistance and installation or logistics (understood as shipping of fixed devices). For example, regarding customer assistance costs, it considered that such costs, while they may vary depending on call volumes, do not necessarily vary depending on the number of customers.</w:t>
      </w:r>
    </w:p>
    <w:p>
      <w:r>
        <w:rPr>
          <w:b/>
        </w:rPr>
        <w:t>[Pages 190–192]</w:t>
      </w:r>
    </w:p>
    <w:p>
      <w:r>
        <w:t xml:space="preserve">192 BULLETIN NO. 49 OF DECEMBER 23, 2024  </w:t>
        <w:br/>
        <w:t xml:space="preserve">9. The Parties explained that this divergence between the data provided in response to the request for information and that contained in the internal document is attributable to the fact that the former refers to the revenues and activation costs of new lines303, while the internal document reports data related to the existing customer stock.  </w:t>
        <w:br/>
        <w:t xml:space="preserve">10. However, in light of such a significant difference between the estimates in response to the request for information and the data used for the preparation of the Business Plan of the new entity, the Parties did not provide adequate evidence to demonstrate that the former are more reliable than the data contained in the internal document.  </w:t>
        <w:br/>
        <w:t xml:space="preserve">11. Furthermore, the internal document reveals forecasts for future years of [omitted].  </w:t>
        <w:br/>
        <w:t xml:space="preserve">12. In addition, the margin value indicated in the internal document is absolutely in line with that considered in its previous decisions by the Commission304, while those provided ad hoc in response to the request for information are significantly lower.  </w:t>
        <w:br/>
        <w:t xml:space="preserve">13. Therefore, the exercise of quantifying the incentives for price increases by the post-merger entity was carried out solely based on the margin value from the internal document, considering it significantly more reliable.  </w:t>
        <w:br/>
        <w:t xml:space="preserve">303 It should be noted that Vodafone indicated that the value of the costs mentioned is at least partially not based on actual values but constitutes forecasts.  </w:t>
        <w:br/>
        <w:t>304 For example, in M10896- ORANGE / MASMOVIL / JV, the margin considered is 30-40% for one operator and 60-70% for the other (see page 10 of Appendix A of the decision). In M.10663 – ORANGE / VOO / BRUTÉLÉ, decision of March 20, 2023, the contribution margins of the Parties range from 37.6% to 76.3% (see page 91 of the decision).</w:t>
      </w:r>
    </w:p>
    <w:p>
      <w:r>
        <w:t xml:space="preserve">BULLETIN NO. 49 OF DECEMBER 23, 2024 193  </w:t>
        <w:br/>
        <w:t xml:space="preserve">INVESTIGATIVE INQUIRIES  </w:t>
        <w:br/>
        <w:t xml:space="preserve">IC56 - PRICE ALGORITHMS IN PASSENGER AIR TRANSPORT ON NATIONAL ROUTES TO AND FROM SICILY AND SARDINIA  </w:t>
        <w:br/>
        <w:t xml:space="preserve">Provision No. 31411  </w:t>
        <w:br/>
        <w:t xml:space="preserve">THE ANTITRUST AUTHORITY  </w:t>
        <w:br/>
        <w:t xml:space="preserve">IN ITS MEETING of December 17, 2024;  </w:t>
        <w:br/>
        <w:t xml:space="preserve">HAVING HEARD the Rapporteur, Saverio Valentino;  </w:t>
        <w:br/>
        <w:t xml:space="preserve">HAVING REGARD to Law No. 287 of October 10, 1990;  </w:t>
        <w:br/>
        <w:t xml:space="preserve">HAVING REGARD, in particular, to Article 12, paragraph 2, of Law No. 287 of October 10, 1990, pursuant to which the Authority may conduct general investigative inquiries in economic sectors where the evolution of trade, price behavior, or other circumstances suggest that competition is impeded, restricted, or distorted;  </w:t>
        <w:br/>
        <w:t xml:space="preserve">HAVING REGARD to Decree-Law No. 104 of August 10, 2023, converted with amendments by Law No. 136 of October 9, 2023, containing urgent provisions for the protection of users, in the field of economic and financial activities and strategic investments;  </w:t>
        <w:br/>
        <w:t xml:space="preserve">HAVING REGARD to Presidential Decree No. 217 of April 30, 1998, and its subsequent amendments and additions;  </w:t>
        <w:br/>
        <w:t xml:space="preserve">HAVING REGARD to the Communication regarding the application of Article 1, paragraph 5, of Decree-Law No. 104 of August 10, 2023, converted with amendments by Law No. 136 of October 9, 2023, adopted by the Authority on May 7, 2024;  </w:t>
        <w:br/>
        <w:t xml:space="preserve">HAVING REGARD to its provision of November 14, 2023, with which the Authority decided to initiate, pursuant to Article 12, paragraph 2, of Law No. 287 of October 10, 1990, an investigative inquiry into the algorithms used in the air sector for determining the prices of passenger transport services on a national level to and from Sicily and Sardinia;  </w:t>
        <w:br/>
        <w:t xml:space="preserve">HAVING REGARD to its provision of November 26, 2024, with which the Authority ordered the publication, on the Authority's website, of the Preliminary Report related to the investigative inquiry into the algorithms used in the air sector for determining the prices of passenger transport services on a national level to and from Sicily and Sardinia, setting January 15, 2025, as the deadline by which interested parties may submit their observations;  </w:t>
        <w:br/>
        <w:t xml:space="preserve">HAVING REGARD to the requests for an extension of the deadline for submitting observations on the Preliminary Report, received by the Authority;  </w:t>
        <w:br/>
        <w:t xml:space="preserve">RESOLVES  </w:t>
        <w:br/>
        <w:t>to extend to January 31, 2025, the deadline by which interested parties may submit their observations on the Preliminary Report related to the investigative inquiry into the algorithms used in the air sector for determining the prices of passenger transport services on a national level to and from Sicily and Sardinia.</w:t>
      </w:r>
    </w:p>
    <w:p>
      <w:r>
        <w:t xml:space="preserve">194 BULLETIN NO. 49 OF DECEMBER 23, 2024  </w:t>
        <w:br/>
        <w:t xml:space="preserve">This provision will be published in the Bulletin and on the website of the Antitrust Authority.  </w:t>
        <w:br/>
        <w:t xml:space="preserve">THE SECRETARY GENERAL THE PRESIDENT  </w:t>
        <w:br/>
        <w:t>Guido Stazi Roberto Rustichelli</w:t>
      </w:r>
    </w:p>
    <w:p>
      <w:r>
        <w:rPr>
          <w:b/>
        </w:rPr>
        <w:t>[Pages 193–195]</w:t>
      </w:r>
    </w:p>
    <w:p>
      <w:r>
        <w:t xml:space="preserve">BULLETIN NO. 49 OF DECEMBER 23, 2024 195  </w:t>
        <w:br/>
        <w:t xml:space="preserve">ACTIVITY OF REPORTING AND CONSULTATION  </w:t>
        <w:br/>
        <w:t xml:space="preserve">AS2041 - SUPPLY OF MINIMALLY INVASIVE VIDEO-ASSISTED ROBOTIC SURGERY SYSTEMS FOR PUBLIC ADMINISTRATIONS  </w:t>
        <w:br/>
        <w:t xml:space="preserve">Rome, October 31, 2024  </w:t>
        <w:br/>
        <w:t xml:space="preserve">Ministry of Economy and Finance  </w:t>
        <w:br/>
        <w:t xml:space="preserve">With reference to the request for an opinion, formulated by the Ministry of Economy and Finance, regarding the draft of the "Open procedure tender for the supply of minimally invasive video-assisted robotic surgery systems for Public Administrations, Edition 1 (ID SIGeF 2766)", the Competition Authority, in its meeting of October 29, 2024, has resolved to carry out, pursuant to Article 22 of Law No. 287 of October 10, 1990, the considerations set forth below.  </w:t>
        <w:br/>
        <w:t xml:space="preserve">Preliminarily, the Authority expresses appreciation for the objective pursued by the tender to centralize, for the first time, at the national level the supply of minimally invasive video-assisted robotic surgery systems, also bridging regional gaps in their procurement.  </w:t>
        <w:br/>
        <w:t xml:space="preserve">This objective is all the more relevant in the reference market, characterized by the presence of a dominant operator holding over 95% of installations in the national territory, predominantly in public hospital facilities. Although, in fact, in the market for minimally invasive video-assisted robotic surgery systems, the entry of two alternative operators to the historical incumbent has been recorded since 2018, following the expiration of patent rights on the related technologies, their market share in Italy remains very modest, below 5%.  </w:t>
        <w:br/>
        <w:t xml:space="preserve">In this context, the Authority believes that the importance of the procedure in question for the market of minimally invasive video-assisted robotic surgery systems requires careful evaluation of the tender provisions, as they could not only condition the outcome of its award but also impact the more general process of market opening, determining long-term consequences on its competitive structure.  </w:t>
        <w:br/>
        <w:t xml:space="preserve">Indeed, the availability of robotic systems at healthcare centers and the training of healthcare personnel in their use appear to be decisive elements in the subsequent adoption and diffusion of specific robotic systems. From the supply side, market opening allows new entrants to achieve a minimum efficient scale that justifies their presence in the Italian market. From the demand side, however, it is observed that the usage habits of medical personnel can affect the future adoption of the robotic system, for example, through scientific production related to the use of a specific robot or the presence of already trained personnel, both of which are evaluation elements in the purchasing decisions not only of public administrations but also of the private sector.  </w:t>
        <w:br/>
        <w:t xml:space="preserve">The procedure in question consists of a multi-award framework agreement, with an annual duration, extendable for an additional year in case of non-reach of the maximum adherence limit, for the supply of fifty robotic systems, divided into twenty-five units provided under a five-year rental formula and twenty-five through purchase. The tender rules provide that: the first awarded party may supply up to 65% of the robotic systems (equivalent to thirty-two units, evenly divided between rental and purchase); the second awarded party may supply up to 50% of the robotic systems (twenty-five units), while the remaining awardees may supply up to 35% of the robots (eighteen units distributed evenly among them). Furthermore, following each specific tender, the administrations will enter into a five-year contract for the supply of surgical kits and services related to the use of the robotic system (such as maintenance and assistance) and must provide personnel training, services that currently represent the predominant part of public administration expenditure.  </w:t>
        <w:br/>
        <w:t xml:space="preserve">The Authority observes that the framework agreement tool appears to be the most appropriate in the current context of market opening for robotic systems, where competition is observed among robotic surgical systems that are prima facie substitutable, although differentiated by the technical solutions adopted by each supplier. However, in this context and with a view to ensuring market opening and preserving the necessary incentives to compete, the Authority intends to make observations on certain aspects of the tender that could jeopardize a competitive development of the market.  </w:t>
        <w:br/>
        <w:t xml:space="preserve">Firstly, the identification in the tender of a need for fifty units appears disproportionate to the demand of public administration. In fact, preliminary market investigations have shown that, in the period 2021-2023, the number of robotic systems purchased by public administrations was about twenty units and that, even considering the combined public and private demand, the number of units purchased in Italy was, on average, about thirty-four units.  </w:t>
        <w:br/>
        <w:t xml:space="preserve">It should also be noted that the current number of robotic systems installed at public administrations stands at about one hundred and forty units, half of which (seventy units) have been installed in the last three years and, therefore, will not be subject to replacement for a medium-long period. The current installed base has also been supplied, as noted by Consip itself, for about 95% by the incumbent. The procedure under examination, therefore, provides for a need (fifty units) corresponding to about one-third of the entire installed base at public administration and fits into a context where the current installed base has been, almost entirely, supplied by a single operator and that, for about half, will not be replaced in the coming years. The tender, therefore, takes place in an extremely crystallized market context in favor of a single operator.  </w:t>
        <w:br/>
        <w:t xml:space="preserve">According to estimates by Consip, public spending allocated to robotic systems in Italy amounts to about ninety million euros annually, including not only the expenditure for the acquisition of the robotic system but also the expenditure for consumables (surgical instruments suitable for use with the robotic system such as forceps, scissors, staplers, etc.) which covers about 50% of the expenditure and for services related to the supply (amounting to about 20% of the expenditure value).  </w:t>
        <w:br/>
        <w:t xml:space="preserve">The disproportion of the need identified in the present procedure (fifty units), therefore, creates the risk that the first-ranked supplier (who, according to the tender rules, can supply up to thirty-two units) exhausts the entire demand for the entire duration of the framework agreement and acquires, with a single tender, a significant number of robots compared to the entire installed base in Italy, diminishing the framework agreement tool.  </w:t>
        <w:br/>
        <w:t xml:space="preserve">There is, therefore, a significant risk of creating a market closure that could persist in the long term. In fact, although the framework agreement has a duration of one year (potentially extendable for an additional year) - the effects of the award will extend for a longer period, as it concerns the supply of durable goods and contracts for rental and related services exceeding five years. These effects will occur in a market context already significantly asymmetric towards a single operator.  </w:t>
        <w:br/>
        <w:t xml:space="preserve">The provision of a need disproportionate to the demand recorded at public administration is even less justified in light of the possibility of modifying the Framework Agreement, accepting Specific Contracts that exceed the maximum quantity up to a threshold not exceeding 30% of the same maximum of the Framework Agreement stipulated with each individual Supplier. The tender rules, therefore, allow for an increase in the number of robotic systems to sixty-five units, that is, corresponding to the need of almost three years of public administrations and to almost half of the entire installed base of surgical systems in Italy.  </w:t>
        <w:br/>
        <w:t xml:space="preserve">In addition to the allowed overrun, the tender also recognizes the possibility of increasing the maximum amount for the so-called mandatory fifth (however, this provision also refers to related services and not only to robotic systems).  </w:t>
        <w:br/>
        <w:t xml:space="preserve">The Authority therefore believes that the total number of equipment subject to tender should be significantly reduced to a value more appropriate to the needs of public administration, whose demand has averaged about twenty-three units annually in the period 2021-2023. In this way, and also considering the possibility of increasing the Framework Agreement, a balance would be achieved between the need to ensure the satisfaction of the entire public demand and to preserve static competition, that is, the incentives to compete in the tender, and dynamic competition, consisting of avoiding that supplies concentrate in a single supplier for a long period.  </w:t>
        <w:br/>
        <w:t>A second aspect concerns the tender rules according to which the ordering Administrations must turn to the first-ranked supplier until their respective quota is exhausted.</w:t>
      </w:r>
    </w:p>
    <w:p>
      <w:r>
        <w:rPr>
          <w:b/>
        </w:rPr>
        <w:t>[Pages 196–198]</w:t>
      </w:r>
    </w:p>
    <w:p>
      <w:r>
        <w:t xml:space="preserve">198 BULLETIN NO. 49 OF DECEMBER 23, 2024  </w:t>
        <w:br/>
        <w:t xml:space="preserve">the maximum limit but will, however, have the opportunity to send the supply order to a different awardee based on specific "technical" needs. On this aspect, the Authority notes the risk that this provision, if not adequately circumscribed, may lead public administrations to request robotic systems from the second awardee by justifying the presence of technical needs that do not have a real correspondence with their actual needs and, in any case, are devoid of connection with objective functional necessities. In fact, the Authority and the National Anti-Corruption Authority (hereinafter, "ANAC"), within the framework of the collaboration protocol established between them, have observed the existence of practices by many Companies and Entities of the National Health Service, consisting of requests for technical specifications exclusively related to a certain robotic system, thus disregarding the verification of equivalent systems capable of meeting the needs of the public administration.  </w:t>
        <w:br/>
        <w:t xml:space="preserve">In the absence of adequate corrective measures, this provision could result in situations where, if the first-ranked bidder were one of the new entrants, administrations would still acquire services from the incumbent not because it ranked first and, therefore, in the absence of the best technical-economic offer, but rather due to its established presence in the market and the possible technological lock-in to which hospital facilities could be subjected.  </w:t>
        <w:br/>
        <w:t xml:space="preserve">The Authority therefore believes that specific technical needs must be adequately detailed in the tender notice and be as objective as possible, in order to avoid such a mechanism distorting the tender results, also frustrating the incentive to compete by presenting the economically most advantageous offer. Furthermore, it would be necessary to introduce a quantitative limit on adherence to this mechanism, thus confirming the exceptional nature of this provision (for example, the supply orders that can be sent to an awardee other than the first should not exceed 50% of the supply limit for each awardee).  </w:t>
        <w:br/>
        <w:t xml:space="preserve">Thirdly, regarding the evaluation of technical scores7, which weigh 70% of the offer, attention is invited to ensure that they do not become criteria that could favor the incumbent operator, for example, through the allocation of disproportionate scores to additional certifications, which, however, have a residual impact on the functionality of robotic systems in almost all surgical interventions, or to scientific publications whose production is a direct consequence of the availability of robotic systems in healthcare facilities and therefore of the historically held position by operators. In general, it is necessary to avoid that the criteria for evaluating the technical offer, which are purely discretionary in nature8, reward exclusively aspects related to the presence of a consolidated installed base over time, without there being real competition based on the functionalities and capabilities of each robot and, therefore, competition based on merits.  </w:t>
        <w:br/>
        <w:t xml:space="preserve">Lastly, attention must be paid to the identification of the minimum requirements for robotic systems9, as this aspect affects the ability of the already very limited number of operators to participate in the tender. In this regard, there is a discrepancy between the minimum requirements requested by the tender and those indicated by operators during the preliminary market consultations, as in the case of surgical arms10, whose specificity appears excessive and additional to the technical requirements shared by operators, unnecessary for meeting the needs and suitable for unjustifiably excluding the already limited competitors.  </w:t>
        <w:br/>
        <w:t xml:space="preserve">The Authority therefore hopes for a revision of these minimum technical requirements, including only those strictly necessary, and generally states that - in light of the circumstance that the tender requires certification for use in the specialties of Urology, Gynecology, and General Surgery (not in all subspecialties) - the presence of the homologation requirement for these specialties already ensures the suitability of the surgical system to meet the minimum characteristics for performing minimally invasive video-assisted surgical operations in these specialties.  </w:t>
        <w:br/>
        <w:t xml:space="preserve">In conclusion, the Authority, reiterating its appreciation for the competitive procedure in question in the national market for minimally invasive video-assisted robotic surgery systems, hopes that the modifications to the tender notice, as previously specified, will be adopted in order to ensure the competitiveness of both the minimally invasive video-assisted robotic surgery market and to ensure a correct competitive comparison not only of the individual awarding procedure but also from a dynamic perspective over time.  </w:t>
        <w:br/>
        <w:t xml:space="preserve">The recipients of this opinion are kindly requested to promptly inform the Authority of the modifications to the tender notice that they intend to adopt, particularly regarding those hoped for here.  </w:t>
        <w:br/>
        <w:t xml:space="preserve">In any case, the Authority reserves the right to evaluate the published tender as well as the outcomes of the tender, should elements emerge during its conduct that could configure anti-competitive illicit acts.  </w:t>
        <w:br/>
        <w:t xml:space="preserve">This opinion will be published in the Bulletin of the Competition and Market Authority following the publication of the tender notice in question.  </w:t>
        <w:br/>
        <w:t xml:space="preserve">THE PRESIDENT  </w:t>
        <w:br/>
        <w:t xml:space="preserve">Roberto Rustichelli  </w:t>
        <w:br/>
        <w:t>10 In particular, it should be noted that, although during the market consultations the minimum number of arms, equal to four units, was requested, the draft tender additionally requires that these arms must all be capable of managing both the endoscope and the surgical instruments. However, this additional characteristic could exclude certain robotic systems certified for the required surgical specialties, equipped with four arms but which, due to the adoption of equivalent technical solutions, are not all able to manage the endoscope and other surgical systems.</w:t>
      </w:r>
    </w:p>
    <w:p>
      <w:r>
        <w:t xml:space="preserve">200 BULLETIN NO. 49 OF DECEMBER 23, 2024  </w:t>
        <w:br/>
        <w:t xml:space="preserve">UNFAIR COMMERCIAL PRACTICES  </w:t>
        <w:br/>
        <w:t xml:space="preserve">PS10009C - POSTE ITALIANE-CASSA DEPOSITI E PRESTITI/SMART PASSBOOK  </w:t>
        <w:br/>
        <w:t xml:space="preserve">Provision No. 31409  </w:t>
        <w:br/>
        <w:t xml:space="preserve">THE COMPETITION AND MARKET AUTHORITY  </w:t>
        <w:br/>
        <w:t xml:space="preserve">IN ITS MEETING of December 3, 2024;  </w:t>
        <w:br/>
        <w:t xml:space="preserve">HEARD the Rapporteur, Saverio Valentino;  </w:t>
        <w:br/>
        <w:t xml:space="preserve">VIEWED Part II, Title III of Legislative Decree No. 206 of September 6, 2005, and subsequent amendments (hereinafter, "Consumer Code");  </w:t>
        <w:br/>
        <w:t xml:space="preserve">VIEWED the "Regulation on investigative procedures regarding misleading and comparative advertising, unfair commercial practices, violation of consumer rights in contracts, unfair clauses" (hereinafter, "Regulation 2014"), adopted by the Authority with resolution No. 24955 of June 5, 2014, subsequently replaced by the "Regulation on investigative procedures regarding misleading and comparative advertising, unfair commercial practices, violation of consumer rights in contracts, violation of the prohibition of discrimination and unfair clauses" (hereinafter, "Regulation 2015"), adopted by the Authority with resolution No. 45211 of April 1, 2015, which was subsequently replaced by the new "Regulation on investigative procedures in consumer protection and misleading and comparative advertising" (hereinafter "new Regulation"), adopted with the Authority's Resolution No. 31356 of November 5, 2024, and published in the Official Gazette on November 18, 2024;  </w:t>
        <w:br/>
        <w:t xml:space="preserve">VIEWED the communication of the initiation of procedure PS10009 of March 9, 2015, which contested the violation of Articles 20, 21, and 22 of the Consumer Code by Poste Italiane S.p.A.;  </w:t>
        <w:br/>
        <w:t xml:space="preserve">VIEWED the communication of July 3, 2015, extending the subject matter of procedure PS10009 to Cassa Depositi e Prestiti S.p.A.;  </w:t>
        <w:br/>
        <w:t xml:space="preserve">VIEWED all the acts of the procedure and, in particular, its provision of December 2, 2015, No. 25758, with which it was decided that the commercial practice described in point II of the aforementioned provision, carried out by Poste Italiane S.p.A., constitutes an unfair commercial practice pursuant to Articles 20, 21, and 22 of the Consumer Code, prohibiting its dissemination or repetition and also imposing an administrative pecuniary sanction of €540,000 (five hundred forty thousand euros) against Poste Italiane S.p.A.;  </w:t>
        <w:br/>
        <w:t xml:space="preserve">VIEWED the ruling of the Council of State of July 9, 2024, No. 6077, which annulled the aforementioned provision of December 2, 2015, No. 25758, due to the failure to request an opinion from the National Commission for Companies and the Stock Exchange (hereinafter, "CONSOB"), identified by the Administrative Judge as the competent regulatory Authority pursuant to Article 27, paragraph 1-bis, of the Consumer Code;  </w:t>
        <w:br/>
        <w:t>VIEWED its provision of September 17, 2024, communicated to Poste Italiane S.p.A. and Cassa Depositi e Prestiti S.p.A. on September 24, 2024, with which the reopening was ordered</w:t>
      </w:r>
    </w:p>
    <w:p>
      <w:r>
        <w:rPr>
          <w:b/>
        </w:rPr>
        <w:t>[Pages 199–201]</w:t>
      </w:r>
    </w:p>
    <w:p>
      <w:r>
        <w:t xml:space="preserve">BULLETIN NO. 49 OF DECEMBER 23, 2024 201  </w:t>
        <w:br/>
        <w:t xml:space="preserve">of procedure PS10009, in order to acquire the opinion of CONSOB, pursuant to Article 27, paragraph 1-bis, of the Consumer Code, without prejudice to previous procedural acts;  </w:t>
        <w:br/>
        <w:t xml:space="preserve">HAVING REGARD TO the acts of the procedure;  </w:t>
        <w:br/>
        <w:t xml:space="preserve">I. THE PARTIES  </w:t>
        <w:br/>
        <w:t xml:space="preserve">1. Poste Italiane S.p.A. (hereinafter also "Poste Italiane"), as a professional pursuant to Article 18, paragraph 1, letter b), of the Consumer Code. The company is active, among other things, in the collection of postal savings, that is, the fundraising with a repayment obligation, assisted by the guarantee of the State, carried out by Cassa Depositi e Prestiti S.p.A. using Poste Italiane1. Until October 2015, approximately 62% of its capital was held by the Ministry of Economy and Finance. In the 2014 financial year, it generated total revenues of 9 billion euros, of which 5.3 billion euros were from financial services, including revenues from the placement of Postal Savings, amounting to approximately 1.6 billion euros.  </w:t>
        <w:br/>
        <w:t xml:space="preserve">2. Cassa Depositi e Prestiti S.p.A. (hereinafter also "CDP"), as a professional pursuant to Article 18, paragraph 1, letter b), of the Consumer Code, is responsible, among other things, for the issuance of postal savings products and the use of such resources in financing for the State, regions, and local authorities. Its capital is held 80% by the Ministry of Economy and Finance and approximately 15% by Banking Foundations. In the 2014 financial year, its turnover, calculated pursuant to Article 16, paragraph 2, of Law 287/1990 (one-tenth of the total assets/liabilities of the balance sheet), amounted to 35 billion euros, of which 25 billion euros came from postal collection.  </w:t>
        <w:br/>
        <w:t xml:space="preserve">II. THE COMMERCIAL PRACTICE  </w:t>
        <w:br/>
        <w:t xml:space="preserve">3. The procedure concerns the dissemination of advertising messages related to the postal savings collection product called "Libretto Smart", without transparently representing the actual characteristics of the offer.  </w:t>
        <w:br/>
        <w:t xml:space="preserve">4. In particular, the messages subject to the procedure were disseminated within an advertising campaign during the period January - March 2015 carried out through video spots, the Poste Italiane website, via print media, with the sending of 643,000 emails and SMS to Bancoposta customers, as well as through flyers and posters2.  </w:t>
        <w:br/>
        <w:t xml:space="preserve">5. In particular, the video spot, aired on major television networks from January 25 to February 14, 2015, in cinemas from January 29, 2015, to March 4, 2015, on the web from February 18 to March 31, 2015, on Postamat screens and internal circuits of post offices from February 18 to March 31, 2015, consists of a sequence of the following writings, in very prominent characters and read by the narrating voice, "libretto Smart Gross annual rate 1.50%", "zero expenses and zero commissions" "guaranteed by the Italian state", concluding with the frame shown in figure no. 1. During the spot, at the bottom of the screen, writings in very small characters scroll, which are not readable3.  </w:t>
        <w:br/>
        <w:t xml:space="preserve">Figure no. 1 final frame of the video spot  </w:t>
        <w:br/>
        <w:t xml:space="preserve">6. The Poste Italiane website, at the address http://www.poste.it/, during the period January 19 - March 25, 2015, prominently displays, at the top of the site, the message shown in figure no. 2, which presents the possibility of achieving the "gross annual rate of 1.5%" through the Libretto Smart. To the left of this claim, the characteristics of the Libretto Smart are listed, namely the possibility of receiving transfers, using an "electronic card", online dispositive services, as well as the fact that the product is guaranteed by the Italian State4.  </w:t>
        <w:br/>
        <w:t xml:space="preserve">3 Cf. doc. 8, 21 and 35.  </w:t>
        <w:br/>
        <w:t>4 Cf. docs. 7, 21 and 35.</w:t>
      </w:r>
    </w:p>
    <w:p>
      <w:r>
        <w:t xml:space="preserve">BULLETIN NO. 49 OF DECEMBER 23, 2024 203  </w:t>
        <w:br/>
        <w:t xml:space="preserve">Figure no. 2: advertising message at the address http://www.poste.it/ during the period January 19 - March 31, 2015  </w:t>
        <w:br/>
        <w:t>7. By clicking on the image in figure no. 2 or on the text "Discover more," the consumer is directed to the address http://www.poste.it/landing/libretto-smart/index.shtml?WT.ac=BP-Libretto-Smart-HP-v2-21012015, where the illustration from figure no. 2 reappears followed by additional information about the product. Through a graphic layout that uses large icons, it reiterates the possibility of achieving the rate of 1.50%, the fact that the product is guaranteed by the Italian State, that "easy transfers from the current account" can be made, that it is a "free tool," with "free operations" and a "free card." It continues by providing other information such as the possibility of using online services and apps securely. Only at the end of this page, in extremely small characters, does the text "Advertising message for promotional purposes" appear (see figure no. 3). Below this text is the information regarding the period of application of the rate and some of the conditions to obtain it. Other information, such as the concept of "additional sums" for those who already hold a Postal Book, is learned only by clicking on the additional text "discover more," which leads to another page of the Poste Italiane website.</w:t>
      </w:r>
    </w:p>
    <w:p>
      <w:r>
        <w:rPr>
          <w:b/>
        </w:rPr>
        <w:t>[Pages 202–204]</w:t>
      </w:r>
    </w:p>
    <w:p>
      <w:r>
        <w:t xml:space="preserve">204 BULLETIN NO. 49 OF DECEMBER 23, 2024  </w:t>
        <w:br/>
        <w:t xml:space="preserve">Figure 3: Information placed at the bottom of the webpage http://www.poste.it/landing/libretto-smart/index.shtml?WT.ac=BP-Libretto-Smart-HP-v2-21012015  </w:t>
        <w:br/>
        <w:t xml:space="preserve">8. The advertising campaign through print media was carried out, among other things, through various advertising formats present in a single issue of the same publication (domination). In particular, on March 23, 2015, the daily newspaper "il Corriere della Sera" featured on its front page the logos of CDP and Poste Italiane, and at the bottom an image similar to that of Figure 1 with the text "get ready to elevate your savings." In the following pages, three other messages appeared that reported the rate of 1.5%, the possibility of crediting transfers and managing savings online, and the guarantee of the Italian State; an additional full page of the newspaper advertised the claim "zero expenses and commissions" and another one the gross annual rate of 1.50%. Only at the bottom of this last page, in very small print, were the conditions for obtaining this rate presented, according to a graphic layout similar to that of Figure 3.  </w:t>
        <w:br/>
        <w:t xml:space="preserve">Furthermore, the print campaign also took place from January 18 to February 7 and on February 24, 2015, through full pages of newspapers that featured images similar to those of Figure 1, prominently displaying the rate of 1.5% and in very small print, at the bottom of the page after the text "advertising message for promotional purposes," the information similar to that reported in Figure 35.  </w:t>
        <w:br/>
        <w:t xml:space="preserve">III. THE OUTCOMES OF THE PROCEDURE  </w:t>
        <w:br/>
        <w:t xml:space="preserve">1) The procedure process  </w:t>
        <w:br/>
        <w:t xml:space="preserve">9. In relation to the commercial practice described above, on March 9, 2015, Poste Italiane S.p.A. was notified of the initiation of the investigative procedure PS10009 for possible violation of Articles 20, 21, and 22 of the Consumer Code.  </w:t>
        <w:br/>
        <w:t xml:space="preserve">In this context, the omission of the ongoing advertising campaign related to the Libretto Smart product was specifically contested, pursuant to Article 22 of the Consumer Code, as it presented a "gross annual rate of 1.5%" and gave particular emphasis to certain characteristics of the product linked to payment services and the presence of a guarantee from the Italian State, without simultaneously informing about the main conditions under which the remuneration of 1.5% was actually granted, which could fail to represent the real characteristics of the offer in a complete and truthful manner. Furthermore, the fact that particular emphasis was given in the advertising messages, among the numerous characteristics of the product, to functionalities that recall payment and dispositive services characteristic of non-restricted current accounts (SEPA transfers, electronic card, online dispositive and informational services, easy transfers, free operations), could mislead the consumer regarding the nature of the product, which actually presents characteristics of a restricted product, thus integrating a violation of Article 21 of the Consumer Code.  </w:t>
        <w:br/>
        <w:t xml:space="preserve">10. Poste Italiane responded to the request for information made concurrently with the initiation of the procedure on April 3, 2015; further information was provided on May 14, 2015. The professional submitted statements on April 1, July 27, September 29, and October 27, 2015. An audition with the professional took place on April 30, 2015. The professional exercised the right of access on March 24 and October 20, 2015.  </w:t>
        <w:br/>
        <w:t xml:space="preserve">11. By communication dated April 24, 2015, pursuant to Article 27, paragraph 7, of the Consumer Code, supplemented on May 14, 2015, Poste Italiane presented commitments aimed at removing the unfairness profiles of the contested commercial practice. These commitments were rejected by the Authority in its meeting on June 10, 2015, with communication to the professional on June 12, 2015. The commitments concerned modifications to the webpage dedicated to the Libretto Smart, future television spots for Libretto Smart offers, and other advertising forms for future Libretto Smart offers, as well as communication to the Post Offices and the Call Center regarding information sheets on the requirements and conditions to benefit from the premium rate, customer phone contacts, and the sending of registered letters in case of non-activation of the Libretto Card. The Authority rejected these commitments, considering that they related to conduct that, if established, could constitute cases of "manifestly unfair and serious" commercial practices, for which Article 27, paragraph 7, of the Consumer Code cannot be applied.  </w:t>
        <w:br/>
        <w:t xml:space="preserve">12. By act of July 3, 2015, the subjective extension of the PS10009 procedure was communicated to Cassa Depositi e Prestiti S.p.A. and Poste Italiane S.p.A., for having engaged in the same commercial practice subject to the initiation communication of the procedure.  </w:t>
        <w:br/>
        <w:t xml:space="preserve">13. CDP responded to the request for information made concurrently with the subjective extension of the procedure on July 17, 2015; it submitted statements on July 31 and October 26, 2015. It exercised the right of access on July 15, 2015, and September 17, 2015.  </w:t>
        <w:br/>
        <w:t xml:space="preserve">14. On October 6, 2015, the date of conclusion of the investigative phase was communicated to the Parties pursuant to Article 16, paragraph 1, of Regulation 2015.  </w:t>
        <w:br/>
        <w:t xml:space="preserve">2) The evidence acquired  </w:t>
        <w:br/>
        <w:t xml:space="preserve">15. The Libretto Smart, issued by Cassa Depositi e Prestiti since 2013, is a type of Libretto Postale that provides for "premium rates" for a certain period, granted if numerous and articulated conditions are met, and a "base rate" otherwise. The evolution of the premium rates and the conditions for obtaining them is defined at the expiration of each "edition" of the Libretto by CDP. Various editions of the product have thus succeeded one another, characterized by different economic conditions, also differentiating within the same edition depending on the date of opening of the Libretto, and between new liquidity and sums already present on Libretto Postali.  </w:t>
        <w:br/>
        <w:t xml:space="preserve">The conditions for obtaining the "premium rate" and the characteristics of the Libretto Smart  </w:t>
        <w:br/>
        <w:t xml:space="preserve">16. For the Libretto Smart issued from January 2015, to which the messages subject to the procedure refer, the advertised rate of 1.50% is the "premium rate" applied until June 30, 2015. This rate is not recognized on all sums deposited during this entire period, but only on those deposited by March 31, 2015. Finally, all of the following "premium conditions" must be met:  </w:t>
        <w:br/>
        <w:t xml:space="preserve">- the balance of the Libretto must be maintained, daily, at least equal to 90% of the "Initial Balance," defined as the balance at the time of adhesion for new customers and the balance as of 12/31/2014 of the ordinary Libretto, which must necessarily be converted into Libretto Smart for those who already held an ordinary Libretto and wanted to open a Libretto Smart;  </w:t>
        <w:br/>
        <w:t xml:space="preserve">- the premium rate is recognized only for "Additional Sums," which, for those who already held an Ordinary Libretto, are defined as the additional sums compared to the Initial Balance of the Ordinary Libretto converted into Libretto Smart;  </w:t>
        <w:br/>
        <w:t xml:space="preserve">- the customer must activate by June 2015 an "electronic card" (Libretto card), according to certain procedures;  </w:t>
        <w:br/>
        <w:t xml:space="preserve">- the Libretto must remain open until December 30, 2015 (even without deposited money and at no cost); interest is recognized on that date.  </w:t>
        <w:br/>
        <w:t xml:space="preserve">In the absence of compliance with all the described conditions, a "base rate" of 0.15% is recognized.  </w:t>
        <w:br/>
        <w:t xml:space="preserve">17. The sums present on January 1, 2015, in previously opened Libretto Smart, were remunerated, starting from that date, at the premium rate of 1% for Libretto opened from January 1, 2013, to October 28, 2014, and at 1.75% for subscriptions from October 29, 2014, to December 31, 2014.  </w:t>
        <w:br/>
        <w:t xml:space="preserve">18. The dispositive functions of the Libretto Smart consist of the possibility of depositing money with checks or via bank transfers from a bank or postal account in the same person's name and after authorization from the post offices. The electronic card can be used to withdraw or deposit at the Postamat counter or at post offices instead of operations carried out on the paper Libretto. In any case, the premium rate is not recognized if, even for a single day, the balance of the account falls below 90% of the initial amount.  </w:t>
        <w:br/>
        <w:t xml:space="preserve">The consumers affected by the advertising campaign  </w:t>
        <w:br/>
        <w:t xml:space="preserve">19. Postal savings represented, as of December 2013, 13.9% of the financial assets of Italian households in the form of bank deposits, managed savings, government bonds, and life insurance, with a weight slightly lower than that of mutual funds and almost half of that of bank deposits.  </w:t>
        <w:br/>
        <w:t xml:space="preserve">The number of Libretto Smart as of December 31, 2014, was approximately [1.2-2]* million, for a value of approximately [30-40] billion euros. By the end of February 2015, these figures had risen, respectively, to [1.2-2] million Libretto for a value of [30-40] billion euros.  </w:t>
        <w:br/>
        <w:t>* In this version, some data are omitted, as elements of confidentiality or secrecy of the information were deemed to exist.</w:t>
      </w:r>
    </w:p>
    <w:p>
      <w:r>
        <w:rPr>
          <w:b/>
        </w:rPr>
        <w:t>[Pages 205–207]</w:t>
      </w:r>
    </w:p>
    <w:p>
      <w:r>
        <w:t xml:space="preserve">BULLETIN NO. 49 OF DECEMBER 23, 2024 207  </w:t>
        <w:br/>
        <w:t xml:space="preserve">Therefore, the advertising campaign subject to the proceedings contributed to inducing the adhesion of approximately [100,000-500,000] new consumers at least until February 2015. The greater collection for the Parties, which may derive from newly opened Libretti or from new deposits on pre-existing Libretti, amounts to approximately [1-5] billion euros12.  </w:t>
        <w:br/>
        <w:t xml:space="preserve">The roles and responsibilities of the Parties for the conduct subject to the proceedings  </w:t>
        <w:br/>
        <w:t xml:space="preserve">20. The Smart Libretto, like all Postal Savings products, backed by the State guarantee, is designed and issued by Cassa Depositi e Prestiti (CDP), which defines the rates, conditions, and their developments over time, communicating them to Poste Italiane. Poste Italiane is responsible for exclusively placing it. The activities of CDP related to the collection of postal savings have the nature of a service of general economic interest13.  </w:t>
        <w:br/>
        <w:t xml:space="preserve">CDP and Poste Italiane have entered into a Convention to regulate, for the five-year period 2014-2018, their roles and responsibilities for the postal savings collection service14, pursuant to which Poste Italiane receives a remuneration proportional to the average balance of the stock and linked to net collection and service quality objectives15.  </w:t>
        <w:br/>
        <w:t xml:space="preserve">21. The aforementioned Convention provides that Poste Italiane identifies “in agreement with CDP, the editorial lines of the advertising activity […] supporting the related costs […]”. Furthermore, Poste Italiane “is responsible for the preparation as well as the adequate and effective allocation and distribution of the Advertising Material” transmitting it to CDP “for review” 15 days before dissemination “for any comments from CDP regarding the parts of its competence”. Poste Italiane “as the distributor and author” of the Advertising Material “is responsible for all the information contained therein, except for the information relating to the issuer and the financial characteristics of the Postal Savings product provided to it by CDP for the related drafting, for which CDP remains responsible”16.  </w:t>
        <w:br/>
        <w:t xml:space="preserve">The same Convention provides that CDP, as the issuer of Postal Savings products, takes care of drafting the information sheets of the products and approves the contents of the “Regulatory Material” for the aspects of its competence17.  </w:t>
        <w:br/>
        <w:t xml:space="preserve">The initiatives taken by Poste Italiane after the initiation of the proceedings  </w:t>
        <w:br/>
        <w:t xml:space="preserve">22. Starting from March 25, 2015, Poste Italiane modified the Smart Libretto website by expanding the information provided, explicitly and schematically specifying the period and conditions of validity of the premium rate on a single dedicated page18.  </w:t>
        <w:br/>
        <w:t xml:space="preserve">12 Cf. doc. 21.  </w:t>
        <w:br/>
        <w:t xml:space="preserve">13 Cf. D.M. October 6, 2014, Article 10.  </w:t>
        <w:br/>
        <w:t xml:space="preserve">14 Cf. Convention of December 4, 2014, entered into in implementation of Article 2 of Law Decree December 1, 1993, No. 487, converted into Law January 29, 1994, No. 71.  </w:t>
        <w:br/>
        <w:t xml:space="preserve">15 Cf. doc. 46, CDP balance sheet p. 384.  </w:t>
        <w:br/>
        <w:t xml:space="preserve">16 Cf. docs. 35 and 45, Article 6 of the Convention between Poste Italiane and CDP.  </w:t>
        <w:br/>
        <w:t xml:space="preserve">17 Cf. docs. 35 and 45, Article 5 of the Convention between Poste Italiane and CDP.  </w:t>
        <w:br/>
        <w:t>18 Cf. doc. 23 and doc. 58.</w:t>
      </w:r>
    </w:p>
    <w:p>
      <w:r>
        <w:t xml:space="preserve">208 BULLETIN NO. 49 OF DECEMBER 23, 2024  </w:t>
        <w:br/>
        <w:t xml:space="preserve">From April 1, 2015, coinciding with a new edition of the Smart Libretto, the advertising campaign was conducted only through the Poste Italiane website, clearly specifying the conditions for obtaining the new premium rate.  </w:t>
        <w:br/>
        <w:t xml:space="preserve">23. On April 15 and May 15, 2015, Poste Italiane contacted consumers holding Smart Libretti who had not activated the Libretto Card, reminding them to activate it by June 30, 2015, in order to obtain the premium rate. The professional sent approximately [5,000-10,000] SMS, made [4,000-9,000] phone calls from post offices, and sent [6,000-11,000] letters. In June 2015, Poste Italiane also sent letters to remind approximately [30,000-70,000] consumers with inactive Libretto cards and about [1-2] million consumers with active cards of the conditions of validity of the premium rate. This resulted in a total expenditure for Poste Italiane of approximately [200,000-400,000] euros.  </w:t>
        <w:br/>
        <w:t xml:space="preserve">3) The defensive arguments of the Parties  </w:t>
        <w:br/>
        <w:t xml:space="preserve">On the prescription of the contested unlawful conduct  </w:t>
        <w:br/>
        <w:t xml:space="preserve">24. In a communication dated November 4, 2024, CDP, in the margin of a request for access to documents, raised the issue of the prescription of the contested unlawful conduct, as more than five years had passed since its implementation.  </w:t>
        <w:br/>
        <w:t xml:space="preserve">On the misleading and omissive nature of the conduct  </w:t>
        <w:br/>
        <w:t xml:space="preserve">25. Poste Italiane believes that the information regarding the conditions of the offer would have been correctly reported in the advertising material.  </w:t>
        <w:br/>
        <w:t xml:space="preserve">In particular, all relevant information would have been included in the television commercials, within the limits of the spaces allowed by the means of dissemination and the complexity of the product, whose characteristics are defined by CDP. In post offices, moreover, where the videos were broadcast, information sheets and flyers related to the product were available. On the website, the information was reported on the dedicated landing page for the product, and the relevant information was included in the press releases19.  </w:t>
        <w:br/>
        <w:t xml:space="preserve">26. In any case, the requirements regarding the need to activate an electronic card and to keep the Libretto open until December 2015 could not constitute a misleading omission, as they do not prejudice the economic behavior of consumers since they do not entail any burden or cost for them.  </w:t>
        <w:br/>
        <w:t xml:space="preserve">The requirement for “additional sums” applied only to consumers who were already holders of a Standard Libretto, and those who had adhered to previous editions enjoyed the premium rate provided on the sums already deposited.  </w:t>
        <w:br/>
        <w:t xml:space="preserve">Finally, the requirement for a daily balance of 90% would not be fundamental, as the Authority itself would have recognized by tracing the cessation of the practice back to March 25, 2015, when the Poste Italiane website was modified, without this condition being specified20.  </w:t>
        <w:br/>
        <w:t xml:space="preserve">19 Cf. ibidem.  </w:t>
        <w:br/>
        <w:t>20 Cf. ibidem.</w:t>
      </w:r>
    </w:p>
    <w:p>
      <w:r>
        <w:t xml:space="preserve">BULLETIN NO. 49 OF DECEMBER 23, 2024 209  </w:t>
        <w:br/>
        <w:t xml:space="preserve">27. All dispositive functions of the Smart Libretto are correctly described in the messages, and therefore such indications could not collectively mislead the consumer regarding the nature of the product21.  </w:t>
        <w:br/>
        <w:t xml:space="preserve">On the responsibility of Cassa Depositi e Prestiti for the conduct subject to the proceedings  </w:t>
        <w:br/>
        <w:t xml:space="preserve">28. Cassa Depositi e Prestiti believes it is not responsible for the allegedly misleading nature of the messages subject to the proceedings.  </w:t>
        <w:br/>
        <w:t xml:space="preserve">Pursuant to the Convention that regulates the roles and responsibilities of the Parties, CDP believes it has only the competence for the information relating to the issuer and the financial characteristics of the products, for the purpose of preparing the regulatory documentation (“Regulatory Material”), while Poste Italiane would be exclusively responsible for the preparation and drafting of the “Advertising Material”22. The reference in the Convention to the joint identification of editorial lines of the advertising activity would refer to the guidelines aimed at programmatically identifying the macro objectives that must be achieved in the preparation and drafting of the advertising material, which is the responsibility of Poste Italiane23.  </w:t>
        <w:br/>
        <w:t xml:space="preserve">CDP would only review the advertising material prepared and transmitted by Poste Italiane.  </w:t>
        <w:br/>
        <w:t xml:space="preserve">Comments on the “Advertising Material” would be limited to “regulatory” content related to the characteristics of the issuer and the financial products subject to the offer, which transcend promotional and advertising purposes. Moreover, not all suggestions made by CDP would have been accepted by Poste Italiane.  </w:t>
        <w:br/>
        <w:t xml:space="preserve">IV. OPINION OF THE AUTHORITY FOR GUARANTEES IN COMMUNICATIONS  </w:t>
        <w:br/>
        <w:t xml:space="preserve">29. Since the commercial practice subject to this provision was disseminated via television, through the press, and via the internet, on October 27, 2015, an opinion was requested from the Authority for Guarantees in Communications, pursuant to Article 27, paragraph 6, of the Consumer Code.  </w:t>
        <w:br/>
        <w:t xml:space="preserve">30. In an opinion received on November 25, 2015, the aforementioned Authority expressed its evaluations regarding the suitability of the specific means of communication used to disseminate the commercial practice and their ability to affect and amplify any incorrectness thereof. In particular, the Authority considered that due to the combined effect of the television campaign and the information provided by the website, the consumer could indeed be induced to avail themselves of the services offered by the professional, developing the full promotional potential of the advertising message, whose penetration and pervasiveness capacity is strengthened by the joint use of these means of dissemination.  </w:t>
        <w:br/>
        <w:t xml:space="preserve">V. OPINION OF THE BANK OF ITALY  </w:t>
        <w:br/>
        <w:t xml:space="preserve">31. Since the commercial practice subject to this provision concerns the credit sector, on October 27, 2015, an opinion was requested from the Bank of Italy, pursuant to and for the effects of which  </w:t>
        <w:br/>
        <w:t xml:space="preserve">21 Cf. ibidem.  </w:t>
        <w:br/>
        <w:t xml:space="preserve">22 Cf. doc. 49.  </w:t>
        <w:br/>
        <w:t>23 Cf. doc. 65.</w:t>
      </w:r>
    </w:p>
    <w:p>
      <w:r>
        <w:rPr>
          <w:b/>
        </w:rPr>
        <w:t>[Pages 208–210]</w:t>
      </w:r>
    </w:p>
    <w:p>
      <w:r>
        <w:t xml:space="preserve">210 BULLETIN NO. 49 OF DECEMBER 23, 2024  </w:t>
        <w:br/>
        <w:t xml:space="preserve">to Article 27, paragraph 1-bis, of the Consumer Code, introduced by Article 1, paragraph 6, letter a), of Legislative Decree No. 21/2014.  </w:t>
        <w:br/>
        <w:t xml:space="preserve">32. In a communication received on November 23, 2015, the aforementioned Authority stated that it could not express the requested opinion as the current "Provisions on the transparency of banking and financial operations and services. Fairness of relations between intermediaries and clients" do not apply to the collection of savings carried out by Poste Italiane S.p.A. on behalf of Cassa Depositi e Prestiti through postal savings books.  </w:t>
        <w:br/>
        <w:t xml:space="preserve">VI. OPINION OF CONSOB  </w:t>
        <w:br/>
        <w:t xml:space="preserve">33. Since the Council of State, with judgment No. 6077 of July 9, 2024, identified CONSOB as the competent regulatory Authority regarding the conduct subject to this proceeding, on October 18, 2024, an opinion was requested from CONSOB pursuant to Article 27, paragraph 1-bis, of the Consumer Code, introduced by Article 1, paragraph 6, letter a), of Legislative Decree No. 21/2014.  </w:t>
        <w:br/>
        <w:t xml:space="preserve">34. In a communication received on November 18, 2024, the aforementioned Authority specified that it does not consider itself included among the "regulatory authorities" referred to in Article 27, paragraph 1-bis, of the Consumer Code and pointed out that the distribution activity by Poste Italiane S.p.A. of postal books issued by Cassa Depositi e Prestiti S.p.A. falls outside the supervisory competencies of CONSOB, which does not have informational elements regarding the reported cases.  </w:t>
        <w:br/>
        <w:t xml:space="preserve">VII. CONCLUDING EVALUATIONS  </w:t>
        <w:br/>
        <w:t xml:space="preserve">35. This proceeding concerns the advertising campaign carried out from January 2015 to March 2015 regarding the Smart Book product, presenting a promotional interest rate of 1.5%. The profiles of unfairness concerned:  </w:t>
        <w:br/>
        <w:t xml:space="preserve">a) the presence of informational omissions regarding the main conditions under which the advertised remuneration was actually granted;  </w:t>
        <w:br/>
        <w:t xml:space="preserve">b) an overall misleading representation of the nature of the product resulting from the emphasis placed, in the absence of the information referred to in point a), on certain dispositive characteristics linked to payment services.  </w:t>
        <w:br/>
        <w:t xml:space="preserve">The Authority believes that there is a current public interest in ascertaining the unfairness of the conduct in question and in imposing the related sanctions, in order to increase the legal certainty of consumers and businesses - guiding their future behavior in the market also in light of the informational asymmetries that typically characterize the postal savings collection sector - and to ensure the effective deterrence of unlawful behaviors, thus averting the risk of the recurrence of similar conduct.  </w:t>
        <w:br/>
        <w:t xml:space="preserve">On the alleged prescription of the contested unlawful conduct  </w:t>
        <w:br/>
        <w:t>36. With regard to the alleged expiration of the five-year prescription period from the commission of the act, contained in Law No. 689/1981, raised by CDP, it should be noted that there have been intervening facts capable of interrupting the running of that term, verifiable both in the conduct of the proceeding by the Authority and in the two levels of judgment before the administrative judge.</w:t>
      </w:r>
    </w:p>
    <w:p>
      <w:r>
        <w:t xml:space="preserve">BULLETIN NO. 49 OF DECEMBER 23, 2024 211  </w:t>
        <w:br/>
        <w:t xml:space="preserve">In fact, the unfair practice was carried out from January to March 2015, the proceeding was initiated in March 2015 and concluded in December 2015, while the judgment of the Lazio TAR rejecting the appeal was issued in August 2022 and that of the Council of State annulling it for procedural defect in July 2024. Therefore, the exception raised by CDP appears to be without any foundation.  </w:t>
        <w:br/>
        <w:t xml:space="preserve">On the responsibility of Cassa Depositi e Prestiti  </w:t>
        <w:br/>
        <w:t xml:space="preserve">37. From the above, it is believed that a responsibility of Cassa Depositi e Prestiti for the messages subject to the proceeding cannot be configured.  </w:t>
        <w:br/>
        <w:t xml:space="preserve">38. From the Convention signed between Poste Italiane and CDP, in fact, a division of roles and responsibilities emerges between the issuing entity, CDP, which defines the characteristics of the product and is responsible for the "Regulatory Material," and the entity responsible for the distribution of the product, Poste Italiane, which is exclusively responsible for the drafting and dissemination of the "Advertising Material." The preliminary sharing with CDP appears limited to the general lines of the information campaigns in view of defining the related objectives. CDP reviews the advertising material solely to verify the information regarding the issuing entity and the financial characteristics of the Smart Book, as the issuing entity of the product.  </w:t>
        <w:br/>
        <w:t xml:space="preserve">On the merits of the conduct  </w:t>
        <w:br/>
        <w:t xml:space="preserve">39. With regard to profile a) mentioned above, the advertising messages omitted to specify that the remuneration of 1.5%, to which absolute and almost exclusive emphasis is given, was actually recognized with significant limitations and conditions as follows:  </w:t>
        <w:br/>
        <w:t xml:space="preserve">i) the promotional rate was recognized only until June 30, 2015, and for amounts paid not throughout the entire time frame, as is commonly the case for collection products with similar periods, but only for amounts paid by March 2015. The interest was then paid at the end of December 2015;  </w:t>
        <w:br/>
        <w:t xml:space="preserve">ii) moreover, the initially deposited amounts had to remain almost entirely bound, as if the balance fell below 90% of the initial balance even for one day, the promotional rate would not be paid for the entire period. Furthermore, this initial balance, for those who were already holders of a Standard Book, was equal to the amount held on that product and only the additional amounts were remunerated with the promotional rate;  </w:t>
        <w:br/>
        <w:t xml:space="preserve">iii) finally, the consumer had to request and activate an electronic card according to certain procedures.  </w:t>
        <w:br/>
        <w:t xml:space="preserve">Finally, it was not clarified that the amounts present in January 2015 on Smart Books opened previously had been remunerated, starting from that date, at the rate of 1% for Books opened from January 1, 2013, to October 28, 2014.  </w:t>
        <w:br/>
        <w:t xml:space="preserve">40. With regard to profile b), it is noted that in the advertising messages the additional information compared to the interest rate alone concerned the characteristics of the product linked to dispositive functions such as SEPA transfers, the possibility of depositing checks, online functions, dedicated apps, electronic card, free transactions.  </w:t>
        <w:br/>
        <w:t>In the overall representation of the product, the choice to highlight such information, instead of that related to the limitations to obtain the interest rate, could have the effect of misleading the consumer regarding the nature of the Smart Book, leading them to believe that it was a product whose main characteristic, in addition to the advantageous rate, was to offer</w:t>
      </w:r>
    </w:p>
    <w:p>
      <w:r>
        <w:t xml:space="preserve">212 BULLETIN NO. 49 OF DECEMBER 23, 2024  </w:t>
        <w:br/>
        <w:t xml:space="preserve">payment instruments, whereas in reality, being a product bound for the purpose of obtaining the advertised rate, it allowed in fact a limited use of the dispositive functions.  </w:t>
        <w:br/>
        <w:t xml:space="preserve">41. Contrary to what Poste Italiane claimed, moreover, all the omitted elements mentioned appear capable of affecting the economic choices of the consumer.  </w:t>
        <w:br/>
        <w:t xml:space="preserve">In particular, although the electronic card could be activated at no cost, what matters is the informational omission regarding the need to carry out such activation by June 2015. And indeed, as emerges from the numerous reminder messages that Poste Italiane sent in April and May 2015, many consumers had not yet activated the Book card by that date. The condition regarding the need to keep the Book open until December 2015, moreover, implied a prejudice arising from the fact that the interests were not paid at the end of the maturity period (June), but in December, determining a different value, even purely financial, for the consumer. The condition regarding a 90% balance constraint, moreover, characterized the product making it almost bound. The circumstance that the message on the website is evaluated in its configuration until March 25, 2015, does not imply, as claimed by Poste Italiane, the recognition of the irrelevance of the information on the 90% balance requirement, of which the new version of the site still lacked indication; it is noted, in fact, that at the end of March 2015 this condition did not appear to be the most relevant, while the information regarding the deadline of March 31 for the payment of new liquidity to which the promotional rate would apply was fundamental, which was indeed included in the message. Moreover, a new version of the site was then drafted starting from April 1, 2015, with the dissemination of the new edition of the product.  </w:t>
        <w:br/>
        <w:t xml:space="preserve">42. Finally, contrary to what Poste Italiane claimed, the reference in the messages to other and richer sources of information, specifically represented by the information sheets, cannot be considered sufficient to exclude the deceptive nature of the messages. While taking into account the restrictions imposed by the means of communication used, in fact, the information necessary for a correct understanding of the advertised offer must be provided simultaneously and clearly, with the reference to another source serving, at most, to supplement the contents of what is presented, but not to circumscribe and downsize the scope of claims likely to generate specific expectations in the consumer regarding the extent of the benefits derived from adherence to the offer itself. In this specific case, moreover, there was ample space and time in all the means of dissemination used to inform the consumer more clearly at least about some fundamental limiting elements of the offer, such as the deadlines of March and June 2015, having moreover the professionals chosen, in some cases, to include, instead of such information, those related to dispositive functions of dubious utility for the product in question.  </w:t>
        <w:br/>
        <w:t xml:space="preserve">Moreover, the potentially deceptive nature of the messages appears even more evident - and the need for more relevant transparent information - if one considers that the conditions for obtaining the promotional rate appear characterized by a certain complexity, which has also increased over time.  </w:t>
        <w:br/>
        <w:t>In some cases, then, the detrimental effect for consumers seems almost inevitable, as for the messages disseminated in a period close to the deadline for depositing the amounts (March 31, 2015), which, therefore, presented a yield - of 1.5% - that was actually difficult to achieve and valid, possibly, for a very limited period of only three months. In this context, the inclusion, as done in some messages, of the complex limiting conditions of the offer</w:t>
      </w:r>
    </w:p>
    <w:p>
      <w:r>
        <w:rPr>
          <w:b/>
        </w:rPr>
        <w:t>[Pages 211–213]</w:t>
      </w:r>
    </w:p>
    <w:p>
      <w:r>
        <w:t xml:space="preserve">BULLETIN NO. 49 OF DECEMBER 23, 2024 213  </w:t>
        <w:br/>
        <w:t xml:space="preserve">in lowercase characters in a limited and final portion of the message, moreover after the wording "Advertising message for promotional purposes" (which does not encourage the consumer to seek further information), does not appear at all suitable to correctly inform the consumer.  </w:t>
        <w:br/>
        <w:t xml:space="preserve">43. For the reasons stated, the commercial practice carried out by Poste Italiane induced the consumer, to whom high returns compared to current market rates were presented, to adhere to the offer, without having provided transparent and immediately accessible information in the numerous informational channels described above regarding the conditions for obtaining such a rate, which were peculiar compared to other products available on the market, in violation of Article 22 of the Consumer Code.  </w:t>
        <w:br/>
        <w:t xml:space="preserve">Moreover, the circumstance that the advertising messages particularly highlighted, among the numerous characteristics of the offered product, functionalities that recall payment and device services characteristic of non-bound products, could have misled the consumer regarding the nature of the product, which in light of the requirement of a daily balance equal to 90% of the initial sum appeared to be of the type of bound products, thus constituting a violation of Article 21 of the Consumer Code.  </w:t>
        <w:br/>
        <w:t xml:space="preserve">44. This practice potentially affected at least all those who opened a new Smart Booklet starting from January 2015 (at least [100,000-500,000] consumers), as well as those who increased the balance of pre-existing Smart Booklets, who may have deposited sums believing they could enjoy the 1.5% rate under conditions that in reality turned out to be different from those expected (for a total of approximately [1-5] billion euros). Furthermore, consumers who opened the Booklet from January 1, 2013, to October 28, 2014, may have decided not to withdraw their savings in January 2015 believing they could enjoy the 1.5% rate, when in reality the rate reserved for them was 1% (this concerns approximately [1.2-2] million Booklets for a value of approximately [30-40] billion euros).  </w:t>
        <w:br/>
        <w:t xml:space="preserve">45. Finally, the commercial practice must be considered non-compliant with the level of professional diligence reasonably required in this case, considering the importance of the professional involved, and the specific product, characterized by significant complexity, issued in the exercise of an activity of general economic interest, with the guarantee of the Italian State, placed at postal counters generating in consumers a particular reliance on the correctness of the professional's actions.  </w:t>
        <w:br/>
        <w:t xml:space="preserve">46. In light of the above considerations, the commercial practice in question is deemed unfair pursuant to Articles 20, 21, and 22 of the Consumer Code, as it is contrary to professional diligence and capable of appreciably distorting consumer behavior.  </w:t>
        <w:br/>
        <w:t xml:space="preserve">VIII. QUANTIFICATION OF THE SANCTION  </w:t>
        <w:br/>
        <w:t xml:space="preserve">47. Pursuant to Article 27, paragraph 9, of the Consumer Code, with the provision that prohibits the unfair commercial practice, the Authority orders the application of an administrative pecuniary sanction from €5,000 to €10,000,000, taking into account the severity and duration of the violation. For the purposes of quantifying the sanction, it is noted that the maximum applicable measure provided for by Article 27, paragraph 9, of the Consumer Code, has been raised from €5,000,000 to €10,000,000 by Legislative Decree No. 26 of March 7, 2023, which came into force on April 2, 2023, and that, therefore, the previous edict limit of €5,000,000 in force at the time the conduct was carried out applies to the actions subject to this proceeding.  </w:t>
        <w:br/>
        <w:t xml:space="preserve">48. Regarding the quantification of the sanction, account must be taken, as applicable, of the criteria identified by Article 11 of Law No. 689/1981,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  </w:t>
        <w:br/>
        <w:t xml:space="preserve">49. With regard to the severity of the violation, the conduct in question appears characterized by a high degree of offensiveness, as it is capable of appreciably distorting the economic behavior of the large number of affected consumers (at least [100,000-500,000] for a collection value of [1-5] billion euros), concerning an element, such as the interest rate obtainable from their savings, in relation to which distorted choices can cause significant harm to consumers, also as it was carried out by a professional, Poste Italiane, with significant notoriety and market position, in the performance of an activity falling within services of general economic interest, emphasizing the presence of the guarantee of the Italian State and through a widely disseminated advertising campaign carried out via television, internet channels, and print media, with a particularly effective combined effect of all these modalities, as highlighted by the Authority for Communications Guarantees.  </w:t>
        <w:br/>
        <w:t xml:space="preserve">Regarding the duration of the violation, from the available elements in the records, it appears that the commercial practice was carried out at least from January 18, 2015, to March 31, 2015, the period of dissemination of the analyzed messages.  </w:t>
        <w:br/>
        <w:t xml:space="preserve">50. Based on these elements, it is deemed appropriate to determine the base amount of the administrative pecuniary sanction applicable to Poste Italiane S.p.A. at €520,000 (five hundred twenty thousand euros).  </w:t>
        <w:br/>
        <w:t xml:space="preserve">51. Considering that there is, in this case, an aggravating circumstance as the professional is already the recipient of measures adopted in application of the provisions contained in the Consumer Code24, it is deemed appropriate to determine the amount of the sanction at €570,000 (five hundred seventy thousand euros).  </w:t>
        <w:br/>
        <w:t xml:space="preserve">52. Furthermore, account is taken of a mitigating circumstance as the professional has adopted initiatives aimed at allowing consumers to effectively enjoy the premium rate, and it is therefore deemed appropriate to determine the amount of the sanction at €540,000 (five hundred forty thousand euros).  </w:t>
        <w:br/>
        <w:t xml:space="preserve">CONSIDERING, therefore, taking into account the opinions of the Authority for Communications Guarantees, the Bank of Italy, and CONSOB, based on the aforementioned considerations, that the commercial practice in question is deemed unfair pursuant to Articles 20, 21, and 22 of the Consumer Code, as it is contrary to professional diligence and capable, through the dissemination of misleading and omissive advertising messages regarding the characteristics and limitations of the Postal Savings product known as Smart Booklet, to appreciably distort the economic behavior of the average consumer in relation to the aforementioned product;  </w:t>
        <w:br/>
        <w:t xml:space="preserve">RESOLUTION  </w:t>
        <w:br/>
        <w:t xml:space="preserve">a) that the commercial practice described in point II of this provision, carried out by the company Poste Italiane S.p.A., constitutes, for the reasons and within the limits stated in the motivation, an unfair commercial practice pursuant to Articles 20, 21, and 22 of the Consumer Code, and prohibits its dissemination or repetition;  </w:t>
        <w:br/>
        <w:t xml:space="preserve">b) to impose on the company Poste Italiane S.p.A. an administrative pecuniary sanction of €540,000 (five hundred forty thousand euros).  </w:t>
        <w:br/>
        <w:t xml:space="preserve">The imposed administrative sanction must be paid within thirty days from the notification of this provision, using the tax codes indicated in the attached F24 model with identifying elements, pursuant to Legislative Decree No. 241/1997.  </w:t>
        <w:br/>
        <w:t xml:space="preserve">Payment must be made electronically with a debit from one's bank or postal account, through the home banking and CBI services provided by banks or by Poste Italiane S.p.A., or by using the telematic services of the Revenue Agency, available on the website www.agenziaentrate.gov.it.  </w:t>
        <w:br/>
        <w:t xml:space="preserve">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role is transmitted to the collection agent; in this case, the increase absorbs the late interest accrued in the same period.  </w:t>
        <w:br/>
        <w:t xml:space="preserve">Immediate communication of the payment must be given to the Authority by sending the documentation certifying the payment made.  </w:t>
        <w:br/>
        <w:t xml:space="preserve">This provision will be notified to the interested parties and published in the Bulletin of the Authority for the Guarantee of Competition and the Market.  </w:t>
        <w:br/>
        <w:t xml:space="preserve">Pursuant to Article 27, paragraph 12, of the Consumer Code, in case of non-compliance with the provision, the Authority applies an administrative pecuniary sanction from €10,000 to €10,000,000. In cases of repeated non-compliance, the Authority may order the suspension of business activity for a period not exceeding thirty days.  </w:t>
        <w:br/>
        <w:t>Against this provision, an appeal may be filed with the TAR of Lazio, pursuant to Article 135, paragraph 1, letter b), of the Administrative Process Code (Legislative Decree No. 104 of July 2, 2010), within sixty days from the date of notification of the provision itself, subject to</w:t>
      </w:r>
    </w:p>
    <w:p>
      <w:r>
        <w:rPr>
          <w:b/>
        </w:rPr>
        <w:t>[Pages 214–216]</w:t>
      </w:r>
    </w:p>
    <w:p>
      <w:r>
        <w:t xml:space="preserve">216 BULLETIN NO. 49 OF DECEMBER 23, 2024  </w:t>
        <w:br/>
        <w:t xml:space="preserve">without prejudice to the longer terms referred to in Article 41, paragraph 5, of the Code of Administrative Procedure, or an extraordinary appeal may be filed with the President of the Republic, pursuant to Article 8 of the Decree of the President of the Republic of November 24, 1971, No. 1199, within the period of one hundred and twenty days from the date of notification of the provision itself.  </w:t>
        <w:br/>
        <w:t xml:space="preserve">THE SECRETARY GENERAL THE PRESIDENT  </w:t>
        <w:br/>
        <w:t>Guido Stazi Roberto Rustichelli</w:t>
      </w:r>
    </w:p>
    <w:p>
      <w:r>
        <w:t xml:space="preserve">BULLETIN NO. 49 OF DECEMBER 23, 2024 217  </w:t>
        <w:br/>
        <w:t xml:space="preserve">VARIOUS  </w:t>
        <w:br/>
        <w:t xml:space="preserve">BUDGET FORECAST FOR THE FINANCIAL YEAR 2025 AND MULTIYEAR 2025-2027  </w:t>
        <w:br/>
        <w:t xml:space="preserve">Provision No. 31406  </w:t>
        <w:br/>
        <w:t xml:space="preserve">THE ANTITRUST AUTHORITY  </w:t>
        <w:br/>
        <w:t xml:space="preserve">IN ITS MEETING of December 11, 2024;  </w:t>
        <w:br/>
        <w:t xml:space="preserve">HAVING REGARD to paragraph 7 of Article 10 of Law No. 287 of October 10, 1990;  </w:t>
        <w:br/>
        <w:t xml:space="preserve">HAVING REGARD to the Regulation concerning the discipline of the accounting autonomy of the Authority published in the Special Edition of the Bulletin - supplement to No. 40/2015 of November 9, 2015, and in particular Article 17;  </w:t>
        <w:br/>
        <w:t xml:space="preserve">HAVING REGARD to paragraph 7-ter of Article 10 of Law No. 287/90, introduced by paragraph 1 of Article 5-bis of Decree-Law No. 1 of January 24, 2012, as amended by the conversion law No. 27 of March 24, 2012, which establishes that the burden arising from the operation of the Antitrust Authority is covered by a contribution from capital companies with total revenues exceeding 50 million euros;  </w:t>
        <w:br/>
        <w:t xml:space="preserve">HAVING REGARD to the provisions for containing public spending introduced by Law No. 160 of December 27, 2019, "State budget forecast for the financial year 2020 and multiannual budget for the three-year period 2020-2022";  </w:t>
        <w:br/>
        <w:t xml:space="preserve">HAVING REGARD to the draft annual budget forecast for 2025 and multiannual 2025-2027 prepared by the Budget and Self-financing Office of the Budget, Self-financing and Personnel Directorate of the Administration Department and presented by the Secretary General;  </w:t>
        <w:br/>
        <w:t xml:space="preserve">HAVING REGARD to the report of the Board of Auditors attached to minutes No. 236 of November 29, 2024, which expressed a favorable opinion for the approval of the draft annual budget forecast for 2025 and multiannual 2025-2027;  </w:t>
        <w:br/>
        <w:t xml:space="preserve">ON THE PROPOSAL of the Secretary General;  </w:t>
        <w:br/>
        <w:t xml:space="preserve">RESOLVES  </w:t>
        <w:br/>
        <w:t xml:space="preserve">1. to approve the annual budget forecast for 2025 and multiannual 2025-2027 in the attached version, which is an integral part of this resolution;  </w:t>
        <w:br/>
        <w:t xml:space="preserve">2. to publish this resolution and the draft budget forecast for the year 2025 in the Official Gazette of the Italian Republic and on the institutional website of the Authority.  </w:t>
        <w:br/>
        <w:t xml:space="preserve">THE SECRETARY GENERAL THE PRESIDENT  </w:t>
        <w:br/>
        <w:t>Guido Stazi Roberto Rustichelli</w:t>
      </w:r>
    </w:p>
    <w:p>
      <w:r>
        <w:t xml:space="preserve">Antitrust Authority Weekly Bulletin  </w:t>
        <w:br/>
        <w:t xml:space="preserve">of Competition and Market Year XXXIV - No. 49 - 2024  </w:t>
        <w:br/>
        <w:t xml:space="preserve">Editorial Coordination Giulia Antenucci  </w:t>
        <w:br/>
        <w:t xml:space="preserve">Editorial Staff Angela D’Auria, Valerio Ruocco, Manuela Villani  </w:t>
        <w:br/>
        <w:t xml:space="preserve">Antitrust Authority  </w:t>
        <w:br/>
        <w:t xml:space="preserve">Document Management, Protocol and Statistical Services Directorate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