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https://agcm.it/dotcmsdoc/bollettini/2019/5-19.pdf</w:t>
      </w:r>
    </w:p>
    <w:p>
      <w:r>
        <w:t>Pages translated : 18</w:t>
      </w:r>
    </w:p>
    <w:p/>
    <w:p>
      <w:r>
        <w:rPr>
          <w:b/>
        </w:rPr>
        <w:t>[Pages 1–3]</w:t>
      </w:r>
    </w:p>
    <w:p>
      <w:r>
        <w:t>Bulletin</w:t>
        <w:br/>
        <w:t>Weekly</w:t>
        <w:br/>
        <w:t>Year XXIX - No. 5</w:t>
        <w:br/>
        <w:t>Published on the website www.agcm.it</w:t>
        <w:br/>
        <w:t>February 4, 2019</w:t>
      </w:r>
    </w:p>
    <w:p>
      <w:r>
        <w:t>SUMMARY</w:t>
        <w:br/>
        <w:t>CONCENTRATION OPERATIONS 5</w:t>
        <w:br/>
        <w:t>C12212 - NB AURORA SICAF RAIF-GIONDI FAMILY/CDS HOLDING</w:t>
        <w:br/>
        <w:t>Measure No. 27501 5</w:t>
        <w:br/>
        <w:t>C12213 - F2I RENEWABLE ENERGIES-MARTE/ENEL F2I SOLARE ITALIA</w:t>
        <w:br/>
        <w:t>Measure No. 27506 10</w:t>
        <w:br/>
        <w:t>REPORTING AND CONSULTATIVE ACTIVITIES 13</w:t>
        <w:br/>
        <w:t>AS1559 - IDENTIFICATION AND ANALYSIS OF MARKETS FOR VOICE CALL TERMINATION SERVICES ON INDIVIDUAL MOBILE NETWORKS 13</w:t>
        <w:br/>
        <w:t>MARKET NO. 2/2014</w:t>
        <w:br/>
        <w:t>UNFAIR TRADE PRACTICES 16</w:t>
        <w:br/>
        <w:t>PS11142 - FERRARELLE-PRIZE COMPETITION</w:t>
        <w:br/>
        <w:t>Measure No. 27505 16</w:t>
      </w:r>
    </w:p>
    <w:p>
      <w:r>
        <w:t>BULLETIN NO. 5 OF FEBRUARY 4, 2019 5</w:t>
        <w:br/>
        <w:t>CONCENTRATION OPERATIONS</w:t>
        <w:br/>
        <w:t>C12212 - NB AURORA SICAF RAIF-GIONDI FAMILY/CDS HOLDING</w:t>
        <w:br/>
        <w:t>Measure No. 27501</w:t>
        <w:br/>
        <w:t>THE COMPETITION AND MARKET AUTHORITY</w:t>
        <w:br/>
        <w:t>IN ITS MEETING of January 10, 2019;</w:t>
        <w:br/>
        <w:t>HEARD the Rapporteur Dr. Gabriella Muscolo;</w:t>
        <w:br/>
        <w:t>HAVING REGARD to Reg. (EC) No. 139/2004;</w:t>
        <w:br/>
        <w:t>HAVING REGARD to the law of October 10, 1990, No. 287;</w:t>
        <w:br/>
        <w:t>HAVING REGARD to the D.P.R. of April 30, 1998, No. 217;</w:t>
        <w:br/>
        <w:t>HAVING REGARD to the communication from NB Aurora S.A. SICAF-RAIF and the Giondi Family, received on December 20, 2018, and subsequently supplemented on December 27, 2018;</w:t>
        <w:br/>
        <w:t>HAVING REGARD to the documentation on file;</w:t>
        <w:br/>
        <w:t>CONSIDERING the following:</w:t>
        <w:br/>
        <w:t>I. THE PARTIES</w:t>
        <w:br/>
        <w:t>1. NB Aurora S.A. SICAF – RAIF (hereinafter, “NB Aurora”) is a Luxembourg law fund, specifically a permanent capital vehicle, listed on the Italian Stock Exchange, which invests in unlisted SMEs to support their growth and internationalization. Currently, NB Aurora, through a participation in the Italian Investment Fund, holds stakes in eight Italian law SMEs. NB Aurora is part of the Neuberger Berman Group, a private and independent investment company.</w:t>
        <w:br/>
        <w:t>In 2017, the Neuberger Berman Group generated revenue in Italy of [700-1,000]* million euros.</w:t>
        <w:br/>
        <w:t>2. The Giondi Family is a family composed of seven individuals (natural persons) who hold controlling stakes in tourist villages/campsites, as well as in companies active in the real estate sector. The members of the Giondi Family are bound by a close family tie such that, based on the Authority's precedents1 and in line with what is provided by the Commission2, they are considered to have a commonality of interests in the management of the aforementioned stakes.</w:t>
        <w:br/>
        <w:t>In 2017, the companies whose exclusive or joint controlling stakes are held by the Giondi Family generated revenue in Italy of [10-30] million euros, to which is added the revenue generated by the activities that are being transferred to CDS Holding S.p.A., which is the subject of this notification.</w:t>
        <w:br/>
        <w:t>* In this version, some data is omitted, as elements of confidentiality or secrecy of the information were deemed to exist.</w:t>
        <w:br/>
        <w:t>1 See, for example, measure 22634 of July 19, 2011 - C11138 - Pianoforte Holding/Inticom-Kuvera, measure 15429 of May 3, 2006 - C7651 - Natural Persons/Finanziaria San Benedetto.</w:t>
        <w:br/>
        <w:t>2 See the consolidated Communication of the Commission on the criteria for jurisdictional competence pursuant to Council Regulation (EC) No. 139/2004 on the control of concentrations.</w:t>
      </w:r>
    </w:p>
    <w:p>
      <w:r>
        <w:rPr>
          <w:b/>
        </w:rPr>
        <w:t>[Pages 4–6]</w:t>
      </w:r>
    </w:p>
    <w:p>
      <w:r>
        <w:t>6 BULLETIN NO. 5 OF FEBRUARY 4, 2019</w:t>
        <w:br/>
        <w:t>3. CDS Holding S.p.A. (hereinafter, “CDS”) is a company specifically established for the purpose of this operation (hereinafter, “operation”) with the aim of acquiring the management of certain tourist villages/campsites. It is jointly controlled by NB Aurora and the Giondi Family. In particular, following the completion of the operation, CDS (and through it, NB Aurora and the Giondi Family) will acquire:</w:t>
        <w:br/>
        <w:t>(i) 99.66% of the share capital3, and thus control, of Club del Sole S.r.l., a company also jointly controlled by the Giondi Family and the investment fund Emisys SGR S.p.A. (hereinafter Emisys), which holds 100% of the share capital of eleven companies4 managing the same number of tourist accommodation facilities, active in the provinces of Ferrara, Forlì, Gorizia, Grosseto, Ravenna, Rimini, and Venice, as well as the company responsible for catering services in these facilities (Club Ristorazione S.r.l.);</w:t>
        <w:br/>
        <w:t>(ii) 100% of the share capital of five companies5 owning the real estate related to the same number of villages/campsites managed by Club del Sole S.r.l., active in the provinces of Ferrara, Forlì, and Ravenna and currently exclusively controlled by the Giondi Family (hereinafter, “Real Estate Companies”);</w:t>
        <w:br/>
        <w:t>(iii) 100% of the share capital of Campeggio Città di Bologna S.r.l., the management company of the Città di Bologna village/campsite, in the province of Bologna, previously held by Coop. Costruzioni Soc. Coop.;</w:t>
        <w:br/>
        <w:t>(iv) the management of the Stella del Mare village/campsite, through a business lease agreement, a facility active in the province of Grosseto, previously managed by the company Agricola Rocchette S.r.l..</w:t>
        <w:br/>
        <w:t>In 2017, the total activities described here that are subject to transfer to CDS generated a turnover of [30-100] million euros, exclusively in Italy.</w:t>
        <w:br/>
        <w:t>II. DESCRIPTION OF THE OPERATION</w:t>
        <w:br/>
        <w:t>4. The operation consists of the acquisition, by NB Aurora and the Giondi Family, of the joint control of CDS and all the companies and/or businesses conferred to it. It develops through several steps, and in particular:</w:t>
        <w:br/>
        <w:t>- NB Aurora has acquired a stake of no less than 39.27% of the share capital of CDS by subscribing to a capital increase of CDS itself;</w:t>
        <w:br/>
        <w:t>- a Framework Agreement has been entered into between NB Aurora, the Giondi Family, Roseto S.r.l.6, and Emisys which provided for the reorganization of the activities pertaining to Club del Sole S.r.l. so that CDS will come to own, directly or indirectly, 100% of the Real Estate Companies and, through them, 57.51% of the share capital of Club del Sole;</w:t>
        <w:br/>
        <w:t>- the Framework Agreement provided for the subsequent acquisition by CDS of the entire stake of Emisys in Club del Sole, through the proceeds of the capital increase subscribed by NB Aurora.</w:t>
        <w:br/>
        <w:t>3 Before the closing, however, the Giondi Family concluded separate agreements with the remaining three minority shareholders of Club del Sole S.r.l. through which the latter committed to confer their minority shares to CDS within 6 months from the closing.</w:t>
        <w:br/>
        <w:t>4 In particular, these are the following companies: Adriano-Marina Gest S.r.l., Spina Gest S.r.l., Vigna Gest S.r.l., Tirreno Gest S.r.l., Stork Gest S.r.l., Desenzano Gest S.r.l., Jesolo Gest S.r.l., Marina Julia Gest S.r.l., Riccione Gest S.r.l., Romagna Gest S.r.l., Club Ristorazione S.r.l.</w:t>
        <w:br/>
        <w:t>5 In particular, these are Grand Tour Italia S.r.l., Marina Camping Village S.r.l., Camping Holidays S.r.l., Vigna sul Mar S.r.l., Tirreno S.r.l.. These companies also hold stakes in Club del Sole S.r.l.</w:t>
        <w:br/>
        <w:t>6 Company already controlled by Club del Sole S.r.l. (see supra par. 3).</w:t>
      </w:r>
    </w:p>
    <w:p>
      <w:r>
        <w:t>BULLETIN NO. 5 OF FEBRUARY 4, 2019 7</w:t>
        <w:br/>
        <w:t>Consequently, at the time of closing, CDS will hold, directly and indirectly, 100% of the share capital of the Real Estate Companies and 99.66% of the share capital of Club del Sole.</w:t>
        <w:br/>
        <w:t>Finally, subsequent to the signing, Club del Sole, and thus CDS, will acquire 100% of the capital of Campeggio Città di Bologna S.r.l. and will sign the business lease agreement related to the Stella del Mare village/campsite.</w:t>
        <w:br/>
        <w:t>As for the share capital of CDS, following the closing it will be held by NB Aurora for approximately 40.7%, by the Giondi Family (both directly and through the companies Roseto S.r.l. and Spina Village S.r.l.) for approximately 56.6%, and by three individuals, for a share of approximately 2.6%.</w:t>
        <w:br/>
        <w:t>5. Regarding the governance of CDS, it is noted that the operation provides for the subscription by NB Aurora and the Giondi Family of a shareholders' agreement under which the Board of Directors of CDS will be composed of five members, three appointed by the Giondi Family and two appointed by NB Aurora, and will decide with the favorable vote of the majority of the Directors, subject to decisions regarding certain matters including the approval of the Business plan and the annual Budget, for which the favorable vote of the Directors appointed by NB Aurora is expressly required. By virtue of the provisions of the shareholders' agreement, and in particular the veto right now described, it is believed that the Giondi Family and NB Aurora will have, under antitrust law, joint control of CDS, and thus of the activities conferred to it.</w:t>
        <w:br/>
        <w:t>Finally, the shareholders' agreement signed between the Parties provides that certain members of the Giondi Family, who hold the position of directors in CDS, (i) do not engage in activities in competition with CDS for the entire duration of their respective offices, as well as for the 24 months following the termination of such offices; and that (ii) they do not hire employees who are, or have been in the 24 months prior to hiring, linked to CDS by subordinate employment or collaboration relationships. These commitments are provided with reference to the entire European territory.</w:t>
        <w:br/>
        <w:t>III. QUALIFICATION OF THE OPERATION</w:t>
        <w:br/>
        <w:t>6. The operation, as it involves the modification of the subjects that jointly control multiple businesses and, with reference to the company Campeggio Città di Bologna S.r.l. and the business branch constituted by the Stella del Mare tourist village/campsite, the acquisition of control over parts of a business, constitutes a concentration pursuant to Article 5, paragraph 1 letter b), of Law No. 287/90.</w:t>
        <w:br/>
        <w:t>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companies involved was over 495 million euros and the total turnover achieved individually at the national level by at least two of the companies involved is over 30 million euros.</w:t>
        <w:br/>
        <w:t>7. Without prejudice to the provisions of paragraph 36 of the Commission's Communication on restrictions directly related and necessary to concentrations7, which limits the non-competition obligations to which the founding companies are bound in favor of the joint venture to the duration of the latter and its operational territory, the non-competition agreement and the non-solicitation agreement described above do not constitute restrictions directly related and necessary to the realization of the operation, as they refer to individuals (some members of the Giondi family) in their capacity as directors of CDS.</w:t>
        <w:br/>
        <w:t>8 BULLETIN NO. 5 OF FEBRUARY 4, 2019</w:t>
        <w:br/>
        <w:t>8. The operation concerns the acquisition of certain companies and/or businesses active in the tourist accommodation sector. According to established practice of this Authority8, in the aforementioned sector it is possible to identify a plurality of distinct product markets with reference to the differences existing between the various structures in relation to the factors that influence consumer choices, such as type, size, services offered, geographical location, and prices. These distinctive elements affect consumer preferences, limiting the substitutability between hotel establishments to the subset of those that present and offer similar characteristics. As far as is relevant in this case, a distinction can be made between hotel establishments and tourist villages9, considering that the latter offer a very different tourist accommodation service from that of hotels, both in consideration of the type of structure in which the customer is hosted (which generally extends over a very large area), and regarding the ancillary services and entertainment activities that are made available to the customer.</w:t>
        <w:br/>
        <w:t>Further subdivisions can then be based on more specific distinctive elements and characteristics of the individual structures, such as their type, size, services offered, location, and price range10.</w:t>
        <w:br/>
        <w:t>9. From a geographical perspective, these markets present limited dimensions, essentially of a local nature, as the consumer is oriented to choose accommodation solutions located as close as possible to their destination or near the places where activities will be carried out during the stay.</w:t>
        <w:br/>
        <w:t>10. In consideration of the cited case law, and given the type of accommodation structures involved in the operation, it is believed that in this case, the relevant market from a product perspective is that of the organization and management of villages/campsites. As for the definition of the relevant market from a geographical point of view, regardless of the exact size of the local reference area, in this case, the operation will not entail limitations on competition; this definition can therefore be left open.</w:t>
        <w:br/>
        <w:t>In fact, from a competitive perspective, it is observed that, with reference to the eleven companies previously subject to the control of the Giondi Family, jointly with the Emisys Fund, the operation has resulted in the entry of NB Aurora into the joint control of these companies in place of Emisys. In this regard, it is noted that NB Aurora does not control any company active in the tourist accommodation sector, therefore the operation does not result in any overlap from a competitive perspective. The acquisition of joint control by NB Aurora also extends to the five real estate companies (as defined above), previously exclusively controlled by the Giondi family.</w:t>
        <w:br/>
        <w:t>As for the two structures located respectively in the municipalities of Bologna and Castiglione della Pescaia (GR), they have been acquired by Club del Sole S.r.l., and thus by CDS,</w:t>
        <w:br/>
        <w:t>8 See Measure No. 21939 of December 15, 2010, C10851 – NH Italy Management/Ramo di azienda di Lingotto Hotels.</w:t>
        <w:br/>
        <w:t>9 See Measure No. 14869 of November 9, 2005, C7335 – I Grandi Viaggi/Rami di azienda di Parmatour; Measure No. 6716 of December 17, 1998, C3336, H.I.T. – Holding Italiana Turismo / Parco Costa dei Monaci – Baia Paraelios.</w:t>
        <w:br/>
        <w:t>10 See Measure No. 22360 of April 28, 2011, case C11033, NH Italia-Dorapal / Carlina; Measure No. 17498 of October 18, 2007, case C8841, NH Italia / Hotel Porta Rossa; Measure No. 15488 of May 16, 2006, case C7693, Altamarea V&amp;H Compagnia Alberghiera / Hotel Cicerone; Measure No. 14598 of August 4, 2005, case C7175, Alpitour / Altamarea V&amp;H Compagnia Alberghiera.</w:t>
      </w:r>
    </w:p>
    <w:p>
      <w:r>
        <w:rPr>
          <w:b/>
        </w:rPr>
        <w:t>[Pages 7–9]</w:t>
      </w:r>
    </w:p>
    <w:p>
      <w:r>
        <w:t>BULLETIN NO. 5 OF FEBRUARY 4, 2019 9</w:t>
      </w:r>
    </w:p>
    <w:p>
      <w:r>
        <w:t>only within the scope of the operation. Regardless of the exact definition of the local geographic area, these areas are characterized by the presence of numerous villages/campsites; furthermore, specifically, it is noted that CDS is not active in these two areas, as none of the other facilities managed by it are located there. Therefore, even in this case and regardless of the exact definition of the geographic market, the operation does not entail limitations from a competition perspective.</w:t>
      </w:r>
    </w:p>
    <w:p>
      <w:r>
        <w:t>CONSIDERED, therefore, that the operation in question does not result, pursuant to Article 6, paragraph 1, of Law No. 287/90, in the creation or strengthening of a dominant position in the relevant market, such as to eliminate or substantially and durably reduce competition;</w:t>
      </w:r>
    </w:p>
    <w:p>
      <w:r>
        <w:t>CONSIDERED, furthermore, that the non-compete and non-solicitation obligations do not constitute the subject of this resolution as they are non-accessory restrictions to the concentration operation in question;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 pro tempore</w:t>
        <w:br/>
        <w:t>Filippo Arena Gabriella Muscolo</w:t>
      </w:r>
    </w:p>
    <w:p>
      <w:r>
        <w:t>10 BULLETIN NO. 5 OF FEBRUARY 4, 2019</w:t>
      </w:r>
    </w:p>
    <w:p>
      <w:r>
        <w:t>C12213 - F2I RENEWABLE ENERGIES-MARTE/ENEL F2I SOLARE ITALIA</w:t>
      </w:r>
    </w:p>
    <w:p>
      <w:r>
        <w:t>Measure no. 27506</w:t>
      </w:r>
    </w:p>
    <w:p>
      <w:r>
        <w:t>THE COMPETITION AND MARKET AUTHORITY</w:t>
      </w:r>
    </w:p>
    <w:p>
      <w:r>
        <w:t>IN ITS MEETING of January 16, 2019;</w:t>
      </w:r>
    </w:p>
    <w:p>
      <w:r>
        <w:t>HEARD the Rapporteur Professor Michele Ainis;</w:t>
      </w:r>
    </w:p>
    <w:p>
      <w:r>
        <w:t>HAVING REGARD to the law of October 10, 1990, No. 287;</w:t>
      </w:r>
    </w:p>
    <w:p>
      <w:r>
        <w:t>HAVING REGARD to the D.P.R. of April 30, 1998, No. 217;</w:t>
      </w:r>
    </w:p>
    <w:p>
      <w:r>
        <w:t>HAVING REGARD to the communication from F2i Energie Rinnovabili S.p.A. pursuant to Law No. 287/90, received on December 21, 2018;</w:t>
      </w:r>
    </w:p>
    <w:p>
      <w:r>
        <w:t>HAVING REGARD to the documentation on file;</w:t>
      </w:r>
    </w:p>
    <w:p>
      <w:r>
        <w:t>CONSIDERING the following:</w:t>
      </w:r>
    </w:p>
    <w:p>
      <w:r>
        <w:t>I. THE PARTIES</w:t>
      </w:r>
    </w:p>
    <w:p>
      <w:r>
        <w:t>1. F2i Energie Rinnovabili S.p.A. (hereinafter also F2i ER) is a company wholly controlled by F2i – Third Italian Fund for Infrastructure, managed by F2i SGR S.p.A., which holds stakes in companies active in the production of electricity from renewable sources. The investment strategy of the funds in question focuses particularly on stakes in companies active, mainly in Italy, in infrastructural sectors such as: electricity generation; gas distribution; airport management; design, construction, and management of infrastructures and technological services for institutions, businesses, and public administrations; provision of social and health services and hospital care; management of the integrated water service. F2i SGR is wholly owned by institutional investors, none of whom controls the company alone or jointly with others. The top three shareholders (Cassa Depositi e Prestiti, Intesa San Paolo, and Unicredit) each hold 14.01% of the share capital. In 2017, F2i SGR achieved a consolidated revenue of approximately [1-2]1 billion euros worldwide, of which approximately [1-2] was generated in Italy.</w:t>
      </w:r>
    </w:p>
    <w:p>
      <w:r>
        <w:t>2. Enel F2i Solare Italia S.p.A. (hereinafter also EF Solare) is a joint venture equally controlled by F2i ER and Enel Green Power S.p.A. (through the vehicle company Marte S.r.l.), which manages 130 photovoltaic plants distributed across Italy, with an installed capacity of approximately 400 MW. In 2017, EF Solare achieved a revenue of approximately 156 million euros, entirely in Italy.</w:t>
      </w:r>
    </w:p>
    <w:p>
      <w:r>
        <w:t>II. DESCRIPTION OF THE OPERATION</w:t>
      </w:r>
    </w:p>
    <w:p>
      <w:r>
        <w:t>3. The operation in question concerns the acquisition of exclusive control of EF Solare by F2i ER.</w:t>
      </w:r>
    </w:p>
    <w:p>
      <w:r>
        <w:t>III. QUALIFICATION OF THE OPERATION</w:t>
      </w:r>
    </w:p>
    <w:p>
      <w:r>
        <w:t>4. The notified operation, as it involves the transition from joint control to exclusive control of a company, constitutes a concentration pursuant to Article 5, paragraph 1, letter b), of Law No. 287/90. It falls within the scope of application of Law No. 287/90 without the conditions set out in Article 1 of Regulation EC 139/04 being met, and is subject to the obligation of prior notification provided for by Article 16, paragraph 1, of the same law as the total revenue generated, in the last financial year at the national level, by the group of companies involved was over 495 million euros and the total revenue generated individually, in the last financial year at the national level, by at least two of the companies involved was over 30 million euros.</w:t>
      </w:r>
    </w:p>
    <w:p>
      <w:r>
        <w:t>IV. ASSESSMENT OF THE CONCENTRATION</w:t>
      </w:r>
    </w:p>
    <w:p>
      <w:r>
        <w:t>The relevant markets and the effects of the operation</w:t>
      </w:r>
    </w:p>
    <w:p>
      <w:r>
        <w:t>The relevant markets</w:t>
      </w:r>
    </w:p>
    <w:p>
      <w:r>
        <w:t>5. Due to the operations of the acquired company within the scope of the operation, the latter involves the activities of production and wholesale sale of electricity, with particular reference to that coming from solar sources.</w:t>
      </w:r>
    </w:p>
    <w:p>
      <w:r>
        <w:t>6. The geographical extent of this market is to be considered supra-regional, particularly articulated in macro-zones (North, South, Sicily, and Sardinia)2. Considering the operations of the plants managed by F2i ER, this operation involves the macro-zones North, South, Sicily, and Sardinia.</w:t>
      </w:r>
    </w:p>
    <w:p>
      <w:r>
        <w:t>The effects of the operation</w:t>
      </w:r>
    </w:p>
    <w:p>
      <w:r>
        <w:t>7. The operation does not result in significant effects on the market for the production and wholesale sale of electricity in any of the involved macro-zones, as, based on the market share estimates provided by the Parties, in the last three years the F2i group has held in each of these a market share never exceeding [5-10%], both in terms of installed capacity and production; EF Solare holds a market share always below [1-5%]. Furthermore, for the purposes of assessing this operation, it should be noted that the acquisition of exclusive control of EF Solare will affect the market share held by F2i ER in a completely marginal way, considering that F2i ER already jointly controlled EF Solare, holding 50% of the share capital.</w:t>
      </w:r>
    </w:p>
    <w:p>
      <w:r>
        <w:t>8. In light of this, it is noted that in the market for the production and wholesale sale of electricity there are well-known and qualified competitors such as, among others, Enel, Edison (particularly active in the North, South, and Sardinia) and EON (now EPH, particularly active in Sardinia).</w:t>
      </w:r>
    </w:p>
    <w:p>
      <w:r>
        <w:t>9. In light of the above considerations, the concentration in question does not appear to be capable of establishing a dominant position or significantly altering the competitive conditions in any of the relevant markets mentioned.</w:t>
      </w:r>
    </w:p>
    <w:p>
      <w:r>
        <w:t>CONSIDERED,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2 See C12127 – EP Power Europe / Biomasse Italia-Biomasse Crotone, measure no. 26861 of November 22, 2017 in Bulletin 47/2017 and C12101 - F2i ER 1/Sette Società di Veronagest, measure no. 26684, of July 19, 2017 in Bulletin 30/2017.</w:t>
      </w:r>
    </w:p>
    <w:p>
      <w:r>
        <w:rPr>
          <w:b/>
        </w:rPr>
        <w:t>[Pages 10–12]</w:t>
      </w:r>
    </w:p>
    <w:p>
      <w:r>
        <w:t>BULLETIN NO. 5 OF FEBRUARY 4, 2019</w:t>
      </w:r>
    </w:p>
    <w:p>
      <w:r>
        <w:t>The above conclusions will be communicated, pursuant to Article 16, paragraph 4, of Law No. 287/90, to the interested companies and to the Minister of Economic Development. This measure will be published in the Bulletin of the Competition and Market Authority.</w:t>
      </w:r>
    </w:p>
    <w:p>
      <w:r>
        <w:t>THE SECRETARY GENERAL THE PRESIDENT pro tempore</w:t>
        <w:br/>
        <w:t>Filippo Arena Gabriella Muscolo</w:t>
      </w:r>
    </w:p>
    <w:p>
      <w:r>
        <w:t>BULLETIN NO. 5 OF FEBRUARY 4, 2019 13</w:t>
      </w:r>
    </w:p>
    <w:p>
      <w:r>
        <w:t>REPORTING AND CONSULTATIVE ACTIVITIES</w:t>
      </w:r>
    </w:p>
    <w:p>
      <w:r>
        <w:t>AS1559 - IDENTIFICATION AND ANALYSIS OF MARKETS FOR VOICE CALL TERMINATION SERVICES ON INDIVIDUAL MOBILE NETWORKS</w:t>
      </w:r>
    </w:p>
    <w:p>
      <w:r>
        <w:t>MARKET NO. 2/2014</w:t>
      </w:r>
    </w:p>
    <w:p>
      <w:r>
        <w:t>Rome, April 27, 2018</w:t>
      </w:r>
    </w:p>
    <w:p>
      <w:r>
        <w:t>President of the Authority for Communications Guarantees</w:t>
      </w:r>
    </w:p>
    <w:p>
      <w:r>
        <w:t>With reference to the request for an opinion formulated by this Authority (AGCom), received on March 22, 2018, regarding the public consultation resolution no. 481/17/CONS entitled "Public consultation concerning the identification and analysis of markets for voice call termination services on individual mobile networks (Market no. 2/2014)", the Competition and Market Authority, pursuant to Article 19, paragraph 1, of Legislative Decree August 1, 2003, no. 259, in its meeting of April 18, 2018, resolved to carry out the following considerations.</w:t>
      </w:r>
    </w:p>
    <w:p>
      <w:r>
        <w:t>With the public consultation resolution, AGCom considered that the relevant retail market consists of the demand and the sole supply of voice calls from mobile networks destined for users of another mobile operator, having a national geographic dimension. In this regard, it is noted that the retail market for voice traffic originating from mobile networks does not seem to be distinct for traffic directions terminated on national fixed or mobile networks, on-net or off-net. As can be inferred from the same public consultation resolution, the offers of mobile network operators, intended for end users, often provide for flat-rate or semi-flat-rate economic conditions, in exchange for the provision of a substantial volume of voice traffic, not distinguished by traffic direction (for example mobile-fixed; mobile-mobile on-net; mobile-mobile off-net). It therefore appears that the retail market for voice traffic originating from mobile networks can be defined including the directions and types of traffic based on the specific service or range of services actually offered by the operators and demanded by the users.</w:t>
      </w:r>
    </w:p>
    <w:p>
      <w:r>
        <w:t>The Authority agrees with the proposals submitted for public consultation regarding the definition of twelve relevant markets, of national geographic dimension, for voice call termination services on individual mobile networks. It also agrees with the identification of twelve operators holding significant market power, including MNO operators, holders of the mobile access network, and Full MVNO operators, as they are able to negotiate economic conditions and manage the termination service of traffic.</w:t>
      </w:r>
    </w:p>
    <w:p>
      <w:r>
        <w:t>Regarding the remedies proposed in the public consultation, the hypothesis of revoking the accounting reporting obligations on the costs related to mobile termination services is agreed upon. Such regulatory accounting remedies would not, in fact, be aimed at resolving any possible competitive issue, which is a prerequisite for imposing obligations on the notified companies. Conversely, the imposition of such regulatory measures would entail a high ratio between imposed burdens and pro-competitive effects, thus violating, among other things, the principle of proportionality, which underlies regulatory interventions.</w:t>
      </w:r>
    </w:p>
    <w:p>
      <w:r>
        <w:t>A particularly significant issue is represented by the proposed remedies on price control, which require the notified operators to apply termination prices at efficient levels that do not distort competition. This is currently ensured by the long-term avoidable incremental cost model of a generic efficient operator, also used by other European countries, which sets prices until 2021. It is noted that the proposed price regulation in the public consultation unfolds over a long time frame and that, during this period, the termination price is always higher than the current average European termination price (end of 2017).</w:t>
      </w:r>
    </w:p>
    <w:p>
      <w:r>
        <w:t>Also, within the time frame of effectiveness of the so-called glide path, it is noted for Italy both a growing misalignment of the termination price compared to the values of the most efficient countries and the highest ratio in Europe between mobile termination price and fixed termination price. This situation appears likely to create distortions of competition, particularly among operators providing and requesting the termination service, among operators with different traffic flows, and among operators using different network technologies.</w:t>
      </w:r>
    </w:p>
    <w:p>
      <w:r>
        <w:t>Considering the level of harmonization of the regulatory treatment of prices achieved in Europe, it seems appropriate – to ensure the necessary levels of efficiency and minimize possible market distortions that would arise from excessive prices – that the aforementioned cost model develops and determines the termination price in Italy not only based on variables related to generic efficient operators but also in relation to the termination prices in European countries with the lowest price levels. Such efficiencies should be reflected in mobile termination prices, quickly, possibly starting from 2019 and anticipating the target values of termination to 2020, in line with other European countries, considering that to date there are no glide paths expiring beyond that year.</w:t>
      </w:r>
    </w:p>
    <w:p>
      <w:r>
        <w:t>Regarding the symmetry of termination prices among all operators, it is observed that the greatest misalignments can be found in the technical and economic conditions for providing ancillary services – necessary for an efficient provision of the termination service – such as: interconnection configuration; co-location in the central office; access interfaces to nodes; power and conditioning in the central office; interconnection flows; triggering service; conducting feasibility studies.</w:t>
      </w:r>
    </w:p>
    <w:p>
      <w:r>
        <w:t>Currently, only a portion of termination prices (i.e., that related to traffic) is actually subject to control, while the remaining components, although essential for the enjoyment of the service itself, remain at the discretion of the termination operator. The absence of regulatory control over the economic conditions of ancillary services can effectively render the termination prices practiced by the notified operators asymmetric.</w:t>
      </w:r>
    </w:p>
    <w:p>
      <w:r>
        <w:t>As is known from the recommendations of the European Commission, asymmetric termination prices are likely to result in higher mobile call termination rates. The more termination rates deviate from efficient costs, the greater the distortions of competition between fixed and mobile telephony markets and/or between operators with asymmetric market shares or traffic flows. Termination prices misaligned from costs could, in turn, lead to an increase in retail prices, to the detriment of consumers, and would not promote efficiency and sustainable competition.</w:t>
      </w:r>
    </w:p>
    <w:p>
      <w:r>
        <w:t>Due to the potential distortions of competition that would arise from the application of two different price control methodologies, harmonization is deemed appropriate, through the</w:t>
      </w:r>
    </w:p>
    <w:p>
      <w:r>
        <w:rPr>
          <w:b/>
        </w:rPr>
        <w:t>[Pages 13–15]</w:t>
      </w:r>
    </w:p>
    <w:p>
      <w:r>
        <w:t>BULLETIN NO. 5 OF FEBRUARY 4, 2019 15</w:t>
      </w:r>
    </w:p>
    <w:p>
      <w:r>
        <w:t>same cost model, of the termination service price in such a way that the price remunerates all network resources necessary for the overall enjoyment of the service, including the mobile access network and the so-called ancillary services, taking into account the most efficient technologies.</w:t>
      </w:r>
    </w:p>
    <w:p>
      <w:r>
        <w:t>As for the symmetry of economic conditions, the Authority agrees with the approach taken by AGCom to impose symmetric obligations on new entrants as well, starting from the date of commencement of the termination service provision activities.</w:t>
      </w:r>
    </w:p>
    <w:p>
      <w:r>
        <w:t>In conclusion, the Authority hopes that the observations made can be usefully taken into account in the definitive issuance of the measure in question.</w:t>
      </w:r>
    </w:p>
    <w:p>
      <w:r>
        <w:t>This opinion will be published in the Bulletin of the Competition and Market Authority. Any confidentiality needs must be communicated to the Authority within thirty days of receiving this communication, specifying the reasons.</w:t>
      </w:r>
    </w:p>
    <w:p>
      <w:r>
        <w:t xml:space="preserve">THE PRESIDENT </w:t>
        <w:br/>
        <w:t>Giovanni Pitruzzella</w:t>
      </w:r>
    </w:p>
    <w:p>
      <w:r>
        <w:t>16 BULLETIN NO. 5 OF FEBRUARY 4, 2019</w:t>
      </w:r>
    </w:p>
    <w:p>
      <w:r>
        <w:t xml:space="preserve">UNFAIR TRADE PRACTICES </w:t>
        <w:br/>
        <w:t xml:space="preserve">PS11142 - FERRARELLE-PRIZE COMPETITION </w:t>
        <w:br/>
        <w:t xml:space="preserve">Measure no. 27505 </w:t>
        <w:br/>
        <w:t xml:space="preserve">THE COMPETITION AND MARKET AUTHORITY </w:t>
        <w:br/>
        <w:t xml:space="preserve">IN ITS MEETING of January 16, 2019; </w:t>
        <w:br/>
        <w:t xml:space="preserve">HEARD the Rapporteur Dr. Gabriella Muscolo; </w:t>
        <w:br/>
        <w:t xml:space="preserve">HAVING REGARD to Part II, Title III, of Legislative Decree No. 206 of September 6, 2005, entitled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communications received on October 5 and November 6, 2018, in which the company Ferrarelle S.p.A. submitted commitments pursuant to Article 27, paragraph 7, of the Consumer Code and Article 9 of the Regulation; </w:t>
        <w:br/>
        <w:t>HAVING REGARD to the documents of the proceeding;</w:t>
      </w:r>
    </w:p>
    <w:p>
      <w:r>
        <w:t xml:space="preserve">I. THE PARTY </w:t>
        <w:br/>
        <w:t>1. Ferrarelle S.p.A. (hereinafter also "Ferrarelle"), as a professional, pursuant to Article 18, paragraph 1, letter b), of the Consumer Code, is active in the production and bottling of mineral waters and soft drinks.</w:t>
      </w:r>
    </w:p>
    <w:p>
      <w:r>
        <w:t xml:space="preserve">II. THE COMMERCIAL PRACTICE </w:t>
        <w:br/>
        <w:t xml:space="preserve">2. The proceeding, initiated following intervention requests submitted by consumers, concerns the failure to award prizes to some participants in the prize competition "Vinci effervescente," held from May 10, 2017, to April 30, 2018, and organized to encourage the purchase of packages of mineral water branded Ferrarelle. </w:t>
        <w:br/>
        <w:t xml:space="preserve">3. According to the competition regulations, it was provided: i) a "prize operation" phase in which participants could, based on accumulated points, request a gift listed in the prize catalog, ii) a "competition" phase, in which participants could enter the instant draw and the final draw for the awarding of one of the prizes at stake. </w:t>
        <w:br/>
        <w:t>4. In particular, the consumers' complaint mainly concerns the fact that, despite what was established in the first regulation of the competition, the complainants were not placed in a position to receive the advertised prizes. This was due to the fact that the initial competition regulation did not specify the obligation to keep both the purchase documents and the postcards containing the game codes in original, as they would be required in case of winning.</w:t>
      </w:r>
    </w:p>
    <w:p>
      <w:r>
        <w:t>BULLETIN NO. 5 OF FEBRUARY 4, 2019 17</w:t>
      </w:r>
    </w:p>
    <w:p>
      <w:r>
        <w:t xml:space="preserve">III. THE OUTCOMES OF THE PROCEEDING: THE PRESENTATION OF COMMITMENTS </w:t>
        <w:br/>
        <w:t xml:space="preserve">1) The procedure process </w:t>
        <w:br/>
        <w:t xml:space="preserve">5. In relation to the conduct described above, on August 22, 2018, the professional was notified of the initiation of investigative proceeding no. PS11142. In this context, it was hypothesized that the conduct of Ferrarelle S.p.A. could constitute a violation of Articles 21, 22, 23, letter u), 24, and 25 of the Consumer Code, as it was contrary to professional diligence and capable of inducing the average consumer to make a commercial decision that they would not have otherwise made, regarding the opportunity to purchase products branded Ferrarelle included in the promotion. </w:t>
        <w:br/>
        <w:t xml:space="preserve">6. On September 20, 2018, Ferrarelle S.p.A. responded to the request for information made in the initiation communication of the proceeding. </w:t>
        <w:br/>
        <w:t xml:space="preserve">7. On October 5, 2018, Ferrarelle S.p.A. submitted a proposal for commitments, pursuant to Article 27, paragraph 7, of the Consumer Code and Article 9 of the Regulation, subsequently supplemented on November 6, 2018. </w:t>
        <w:br/>
        <w:t xml:space="preserve">8. On November 16, 2018, Ferrarelle S.p.A. was notified of the conclusion date of the investigative phase pursuant to Article 16, paragraph 1, of the Regulation. </w:t>
        <w:br/>
        <w:t xml:space="preserve">2) The acquired elements and the commitments of the professional </w:t>
        <w:br/>
        <w:t xml:space="preserve">9. Ferrarelle S.p.A., with a memorandum received on June 22, 2018, stated that the management of the competition was entrusted to a third party, the company Clipper S.r.l. The consumers who received a prize included in the "prize operation" phase were [10,000-50,000]1 for a total of approximately [50,000-100,000] prizes. The consumers drawn in the "competition" phase were a total of [50-200]. </w:t>
        <w:br/>
        <w:t xml:space="preserve">10. Ferrarelle also stated that on June 5, 2017, it became necessary to modify the first version of the regulation due to irregularities found following the checks carried out by the company responsible for overseeing the procedure – such as, for example, the uploading of an implausibly high number of codes (in some cases even over [500-2,000] codes). The obligation for participants to also keep the purchase receipts of the package was then introduced. The consumers who were denied the awarding of a prize due to the failure to send the receipts were [2,000-4,000]. </w:t>
        <w:br/>
        <w:t xml:space="preserve">11. As mentioned above, on October 5, 2018, Ferrarelle submitted a proposal for commitments, supplemented on November 6, 2018, pursuant to Article 27, paragraph 7, of the Consumer Code and Article 9 of the Regulation. </w:t>
        <w:br/>
        <w:t xml:space="preserve">12. In particular, these commitments – which, in their final version, are attached to this measure and constitute an integral part thereof – provide that Ferrarelle commits to: </w:t>
        <w:br/>
        <w:t xml:space="preserve">COMMITMENT 1 – award the requested prize (or a prize of equivalent economic value) to all participants in the event who were not recognized the prize due to the failure to produce the purchase documents, excluding those who uploaded more than 120 codes on the website or the App. </w:t>
        <w:br/>
        <w:t xml:space="preserve">COMMITMENT 2 – adopt, in any future prize events that may be organized by the company, even more specific methods to inform consumers of the need to keep the purchase documentation (receipt) for participation in the event and receipt of prizes; </w:t>
        <w:br/>
        <w:t>1 In this version, some data is omitted, as it was deemed that there were elements of confidentiality or secrecy of the information.</w:t>
      </w:r>
    </w:p>
    <w:p>
      <w:r>
        <w:rPr>
          <w:b/>
        </w:rPr>
        <w:t>[Pages 16–18]</w:t>
      </w:r>
    </w:p>
    <w:p>
      <w:r>
        <w:t>18 BULLETIN NO. 5 OF FEBRUARY 4, 2019</w:t>
        <w:br/>
        <w:t>COMMITMENT 3 – to send to the Authority, within 120 days, a detailed report on the correct fulfillment of the commitments. The measures subject to the commitments will be implemented by the company, in case of their acceptance, within a period of 90 days. The commitments will remain valid indefinitely.</w:t>
      </w:r>
    </w:p>
    <w:p>
      <w:r>
        <w:t>IV. OPINION OF THE AUTHORITY FOR COMMUNICATIONS GUARANTEES</w:t>
        <w:br/>
        <w:t>13. Since the commercial practice subject to this measure has been disseminated via the internet, on November 27, 2018, an opinion was requested from the Authority for Communications Guarantees, pursuant to Article 27, paragraph 6, of the Consumer Code.</w:t>
        <w:br/>
        <w:t>14. In an opinion received on December 21, 2018, the aforementioned Authority expressed its opinion that, in this case, the internet is a suitable tool to significantly influence the realization of the commercial practice in question.</w:t>
      </w:r>
    </w:p>
    <w:p>
      <w:r>
        <w:t>V. EVALUATION OF THE COMMITMENTS</w:t>
        <w:br/>
        <w:t>15. The Authority believes that the commitments proposed by Ferrarelle are suitable to remedy the possible illegitimacy profiles of the commercial practice contested in the initiation communication of August 22, 2018.</w:t>
        <w:br/>
        <w:t>16. According to the commitments, in fact, the requested prize (or a prize of equivalent economic value) will be awarded to all participants in the event who had not been recognized due to the failure to produce purchase documents, with the sole exclusion of those who have uploaded more than 120 codes on the website or the App. Furthermore, in all future prize events, the necessity of retaining the purchase receipts for Ferrarelle products will be clarified.</w:t>
        <w:br/>
        <w:t>17. In this way, all consumers who are abstractly entitled to the prize based on the initial prize regulation will receive the requested prize, with the sole exception of those for whom there is a well-founded suspicion that they have attempted fraud against the professional (and the honest consumers). All obstacles to the recognition of the prize arising from the lack of information in the initial regulation regarding the necessity of retaining the purchase receipts for the Ferrarelle products will therefore be removed.</w:t>
        <w:br/>
        <w:t>18. The conditions provided for the exclusion from the recognition of the prize appear reasonable and justified. The threshold of 120 codes is very high compared to the normal consumption of Ferrarelle (it corresponds to several times the average consumption of Ferrarelle by heavy users, according to data from a market research conducted by a leading independent market research company) and to those incentivized by the promotion itself (the threshold corresponds to a consumption exceeding [20-60%] of that necessary to obtain the higher value prizes).</w:t>
        <w:br/>
        <w:t>19. The high probability of fraud constitutes a valid justification for denying the recognition of the prize, also in light of the fact that fraudulent behaviors had already emerged shortly after the start of the event, precisely due to the lack of specification of the necessity to also retain the purchase receipts for the Ferrarelle water packages.</w:t>
        <w:br/>
        <w:t>20. It is also noted that the implementation of the aforementioned measures is easily monitorable, as the professional has committed to presenting a detailed report regarding the activities of awarding prizes to entitled consumers within 120 days from the closure of the procedure.</w:t>
        <w:br/>
        <w:t>21. The informational commitment, necessarily applicable to any future prize events, serves to clarify the lack of information on the details of the contested prize event at the initiation stage.</w:t>
      </w:r>
    </w:p>
    <w:p>
      <w:r>
        <w:t>BULLETIN NO. 5 OF FEBRUARY 4, 2019 19</w:t>
        <w:br/>
        <w:t>22. In light of the above considerations, it is believed that the commitments presented meet the requirements set forth in Article 27, paragraph 7, of the Consumer Code.</w:t>
      </w:r>
    </w:p>
    <w:p>
      <w:r>
        <w:t>CONSIDERED, therefore, that the commitments presented by Ferrarelle S.p.A., in the terms outlined above, are suitable to eliminate the possible profiles of unfairness of the commercial practice subject to investigation;</w:t>
      </w:r>
    </w:p>
    <w:p>
      <w:r>
        <w:t>CONSIDERED, to impose the obligation of the aforementioned commitments on Ferrarelle S.p.A.;</w:t>
      </w:r>
    </w:p>
    <w:p>
      <w:r>
        <w:t>CONSIDERED, therefore, to be able to close the procedure without establishing the infringement;</w:t>
      </w:r>
    </w:p>
    <w:p>
      <w:r>
        <w:t>RESOLVES</w:t>
        <w:br/>
        <w:t>a) to make mandatory, with respect to Ferrarelle S.p.A., pursuant to Article 27, paragraph 7, of the Consumer Code and Article 9, paragraph 2, letter a), of the Regulation, the commitments proposed by the company on November 6, 2018, as described in the statement attached to this measure;</w:t>
        <w:br/>
        <w:t>b) to close the procedure without establishing the infringement, pursuant to Article 27, paragraph 7, of the Consumer Code and Article 9, paragraph 2, letter a), of the Regulation;</w:t>
        <w:br/>
        <w:t>c) that Ferrarelle S.p.A., within one hundred and twenty days from the date of notification of this resolution, informs the Authority of the implementation of the commitments.</w:t>
      </w:r>
    </w:p>
    <w:p>
      <w: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 pro tempore</w:t>
        <w:br/>
        <w:t>Filippo Arena Gabriella Muscolo</w:t>
      </w:r>
    </w:p>
    <w:p>
      <w:r>
        <w:t>Competition and Market Authority Weekly Bulletin</w:t>
        <w:br/>
        <w:t>Year XXIX- No. 5 - 2019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