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https://agcm.it/dotcmsdoc/bollettini/2020/5-20.pdf</w:t>
      </w:r>
    </w:p>
    <w:p>
      <w:r>
        <w:t>Pages translated : 143</w:t>
      </w:r>
    </w:p>
    <w:p/>
    <w:p>
      <w:r>
        <w:rPr>
          <w:b/>
        </w:rPr>
        <w:t>[Pages 1–3]</w:t>
      </w:r>
    </w:p>
    <w:p>
      <w:r>
        <w:t>Bulletin</w:t>
        <w:br/>
        <w:t>Weekly</w:t>
        <w:br/>
        <w:t>Year XXX - No. 5</w:t>
        <w:br/>
        <w:t>Published on the website www.agcm.it</w:t>
        <w:br/>
        <w:t>February 3, 2020</w:t>
      </w:r>
    </w:p>
    <w:p>
      <w:r>
        <w:t>SUMMARY</w:t>
        <w:br/>
        <w:t>AGREEMENTS AND ABUSE OF DOMINANT POSITION 5</w:t>
        <w:br/>
        <w:t>A527 - MUNICIPALITY OF GENOA/NATURAL GAS DISTRIBUTION</w:t>
        <w:br/>
        <w:t>Decision No. 28082 5</w:t>
        <w:br/>
        <w:t>I820 - MONTHLY BILLING WITH TARIFF RESTRUCTURING</w:t>
        <w:br/>
        <w:t>Decision No. 28102 20</w:t>
        <w:br/>
        <w:t>CONCENTRATION OPERATIONS 118</w:t>
        <w:br/>
        <w:t>C12273 - MOL CROSSROADS/CHEVRON KHAZAR</w:t>
        <w:br/>
        <w:t>Decision No. 28083 118</w:t>
        <w:br/>
        <w:t>C12275 - BARILLA G. E R. FRATELLI/ITALIAN FOOD</w:t>
        <w:br/>
        <w:t>Decision No. 28084 122</w:t>
        <w:br/>
        <w:t>REPORTING AND CONSULTATIVE ACTIVITIES 126</w:t>
        <w:br/>
        <w:t>AS1643 – MUNICIPALITIES OF PISA, LUCCA, AND CARRARA - LIMITS ON THE CONDUCT OF</w:t>
        <w:br/>
        <w:t>PROFESSIONAL ACTIVITIES OF TOURIST GUIDES 126</w:t>
        <w:br/>
        <w:t>UNFAIR COMMERCIAL PRACTICES 129</w:t>
        <w:br/>
        <w:t>PS11542 - NETWORK ENTERPRISE - BANK DATA</w:t>
        <w:br/>
        <w:t>Decision No. 28089 129</w:t>
        <w:br/>
        <w:t>PAYMENT ACCESSIBILITY - CONSUMER PROTECTION 139</w:t>
        <w:br/>
        <w:t>PV7 - TELEPASS - CHARGES ON FOREIGN IBAN</w:t>
        <w:br/>
        <w:t>Decision No. 28091 139</w:t>
      </w:r>
    </w:p>
    <w:p>
      <w:r>
        <w:t>BULLETIN NO. 5 OF FEBRUARY 3, 2020 5</w:t>
        <w:br/>
        <w:t>AGREEMENTS AND ABUSE OF DOMINANT POSITION</w:t>
        <w:br/>
        <w:t>A527 - MUNICIPALITY OF GENOA/NATURAL GAS DISTRIBUTION</w:t>
        <w:br/>
        <w:t>Decision No. 28082</w:t>
        <w:br/>
        <w:t>THE ANTITRUST AUTHORITY</w:t>
        <w:br/>
        <w:t>IN ITS MEETING of January 14, 2020;</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laid down in Articles 81 and 82 of the Treaty establishing the</w:t>
        <w:br/>
        <w:t>European Community (now Articles 101 and 102 TFEU);</w:t>
        <w:br/>
        <w:t>HAVING REGARD to Law No. 287 of October 10, 1990, and subsequent amendments, and in particular Article 14-ter introduced by Law No. 248 of August 4, 2006, which converted with amendments Decree-Law No. 223 of July 4, 2006;</w:t>
        <w:br/>
        <w:t>HAVING REGARD to D.P.R. No. 217 of April 30, 1998;</w:t>
        <w:br/>
        <w:t>HAVING REGARD to its resolution of March 12, 2019, which initiated an investigation against Ireti S.p.a., Italgas Reti S.p.a., and 2i Rete Gas S.p.a., to ascertain the existence of a possible violation of Article 102 TFEU, as well as a precautionary sub-procedure pursuant to Article 14-bis of Law No. 287/90, aimed at verifying the actual existence of the necessary requirements for the adoption of precautionary measures to restore and maintain competitive conditions in the relevant market;</w:t>
        <w:br/>
        <w:t>HAVING REGARD to its resolution of April 30, 2019, which ordered the non-adoption of precautionary measures and the closure of the related sub-procedure initiated on March 12, 2019;</w:t>
        <w:br/>
        <w:t>HAVING REGARD to the “Communication on the procedures for the application of Article 14-ter of Law No. 10 of October 1990, No. 287,” adopted in the meeting of September 6, 2012, and published in Bulletin No. 35 of September 17, 2012;</w:t>
        <w:br/>
        <w:t>HAVING REGARD to the communications of May 24, 2019, and June 24, 2019, whereby Ireti S.p.a. submitted commitments pursuant to Article 14-ter of Law No. 287/1990, according to the methods indicated in the specific “Form for the submission of commitments pursuant to Article 14-ter of Law No. 287/1990”;</w:t>
        <w:br/>
        <w:t>HAVING REGARD to the communication of June 21, 2019, whereby 2i Rete Gas S.p.a. submitted commitments pursuant to Article 14-ter of Law No. 287/1990, according to the methods indicated in the specific “Form for the submission of commitments pursuant to Article 14-ter of Law No. 287/1990”;</w:t>
        <w:br/>
        <w:t>HAVING REGARD to the communication of June 21, 2019, whereby Italgas Reti S.p.a. submitted commitments pursuant to Article 14-ter of Law No. 287/1990, according to the methods indicated in the specific</w:t>
      </w:r>
    </w:p>
    <w:p>
      <w:r>
        <w:rPr>
          <w:b/>
        </w:rPr>
        <w:t>[Pages 4–6]</w:t>
      </w:r>
    </w:p>
    <w:p>
      <w:r>
        <w:t>6 BULLETIN NO. 5 OF FEBRUARY 3, 2020</w:t>
        <w:br/>
        <w:t>“Form for the submission of commitments pursuant to Article 14-ter of Law No. 287/1990”;</w:t>
      </w:r>
    </w:p>
    <w:p>
      <w:r>
        <w:t>HAVING REGARD to its resolution of July 31, 2019, which ordered the publication, on September 2, 2019, of the commitments proposed by Ireti S.p.a., Italgas Reti S.p.a., and 2i Rete Gas S.p.a. on the Authority's website, in order to allow interested third parties to express their observations;</w:t>
      </w:r>
    </w:p>
    <w:p>
      <w:r>
        <w:t>HAVING REGARD to the observations of the interested third parties;</w:t>
      </w:r>
    </w:p>
    <w:p>
      <w:r>
        <w:t>HAVING REGARD to the ancillary modifications to the commitments, submitted by Ireti S.p.a., Italgas Reti S.p.a., and 2i Rete Gas S.p.a. on November 4, 2019;</w:t>
      </w:r>
    </w:p>
    <w:p>
      <w:r>
        <w:t>HAVING REGARD to its communication to the European Commission, pursuant to Article 11, paragraph 4, of Regulation No. 1/2003;</w:t>
      </w:r>
    </w:p>
    <w:p>
      <w:r>
        <w:t>HAVING REGARD to the acts of the proceeding;</w:t>
      </w:r>
    </w:p>
    <w:p>
      <w:r>
        <w:t>CONSIDERED the following:</w:t>
      </w:r>
    </w:p>
    <w:p>
      <w:r>
        <w:t>I. THE REPORT OF THE MUNICIPALITY OF GENOA</w:t>
      </w:r>
    </w:p>
    <w:p>
      <w:r>
        <w:t>1. The Municipality of Genoa (hereinafter also referred to as “Municipality” or “contracting authority”), as the contracting authority of the Minimum Territorial Area (hereinafter also referred to as “ATEM”) “Genoa 1 - City and plant of Genoa”, with a report dated December 27, 2018, subsequently supplemented on February 27, 2019, reported to the Authority the issues encountered with the current concessionaires of the gas distribution service, Ireti S.p.a., Italgas Reti S.p.a., and 2I Rete Gas S.p.a. (hereinafter respectively Ireti, Italgas Reti, and 2I Rete Gas), consisting of the refusal or delay by the latter to provide certain information, deemed by the Municipality itself necessary for the preparation of the tender for the new assignment of the natural gas distribution service in the ATEM Genoa 1.</w:t>
      </w:r>
    </w:p>
    <w:p>
      <w:r>
        <w:t>II. THE PARTIES</w:t>
      </w:r>
    </w:p>
    <w:p>
      <w:r>
        <w:t>2. Ireti is a company of the Iren group (hereinafter, the “Iren Group”), 100% controlled by Iren S.p.a. (hereinafter also “Iren”). Ireti operates in Italy in the gas distribution sector, integrated water cycle, electricity networks, district heating, and other minor markets (for example, in public lighting and public green management). Iren is the company - listed on the Milan Stock Exchange - holding the namesake group, active nationally in the sectors of electricity and natural gas, water resources, district heating, heat management services, environmental services, public lighting, and funeral and cemetery services, particularly in Piedmont, Liguria, and Emilia Romagna.</w:t>
      </w:r>
    </w:p>
    <w:p>
      <w:r>
        <w:t>33.3% of Iren's capital is held by Finanziaria Sviluppo Utilities S.r.l. - 100% controlled by the Municipality of Genoa; a further 21.53% by Finanziaria Città di Torino Holding S.p.a. - 100% controlled by the Municipality of Turin; 8.37% by the Municipality of Reggio Emilia; 3.44% by the Municipality of Parma; the remaining part of the capital is held by other Municipalities and by institutional, financial, and retail investors. Iren is jointly controlled by the Municipalities of Turin, Genoa, and Reggio Emilia by virtue of a shareholders' agreement.</w:t>
      </w:r>
    </w:p>
    <w:p>
      <w:r>
        <w:t>7 BULLETIN NO. 5 OF FEBRUARY 3, 2020</w:t>
      </w:r>
    </w:p>
    <w:p>
      <w:r>
        <w:t>3. Italgas Reti is a company of the Italgas group, active in Italy in the gas distribution service. The share capital of Italgas Reti is wholly owned by Italgas S.p.a. - a company listed on the Milan Stock Exchange - which is in turn majority-owned by Cassa Depositi e Prestiti S.p.a. and Snam S.p.a., which jointly control it by virtue of a voting and blocking syndicate.</w:t>
      </w:r>
    </w:p>
    <w:p>
      <w:r>
        <w:t>4. 2i Rete Gas is a company active in Italy in the gas distribution service. The share capital of 2i Rete Gas is predominantly held by F2I - Fondi Italiani per le Infrastrutture S.p.a. and by Finavias S.a.r.l.</w:t>
      </w:r>
    </w:p>
    <w:p>
      <w:r>
        <w:t>III. THE MARKETS CONCERNED</w:t>
      </w:r>
    </w:p>
    <w:p>
      <w:r>
        <w:t>a) The tenders for the distribution of natural gas and the current organizational methods of the service</w:t>
      </w:r>
    </w:p>
    <w:p>
      <w:r>
        <w:t>5. The conduct reported has been adopted by the natural gas distributors currently present in the 24 Municipalities of the ATEM. The activity carried out by each of them is defined by Article 2, paragraph 1, letter n), of Legislative Decree No. 164 of May 23, 2000 (the so-called Letta Decree)1, as “the transport of natural gas through local gas pipelines for delivery to customers”, and is recognized as a “public service”, pursuant to the subsequent Article 14, exercised by virtue of an exclusive concession granted by each Municipality.</w:t>
      </w:r>
    </w:p>
    <w:p>
      <w:r>
        <w:t>6. Pursuant to Article 15, paragraph 1, of the aforementioned Decree, the gas distribution service is entrusted by local authorities exclusively through a tender, for a period not exceeding 12 years, remaining the obligation for the outgoing operator to continue the management of the service until the effective date of the new assignment.</w:t>
      </w:r>
    </w:p>
    <w:p>
      <w:r>
        <w:t>7. Subsequently, with Decree-Law No. 159 of October 1, 2007, converted with modifications into Law No. 222 of November 29, 20072, the municipal concessions were merged into area concessions and 177 areas (the so-called ATEMs) were identified. As is known, following what is provided for by Article 24, paragraph 4 of Legislative Decree No. 93 of June 1, 20113, the tenders for the assignment of the service in question can no longer be carried out at the municipal level, but must be announced at the level of each ATEM.</w:t>
      </w:r>
    </w:p>
    <w:p>
      <w:r>
        <w:t>The area tenders were to be carried out by certain dates, which were modified several times, lastly, with Decree-Law No. 210 of December 30, 20154. In particular, ATEM Genoa 1 belongs, in this regard, to the fifth of the groupings referred to in Annex 1 of Ministerial Decree No. 226 of November 12, 2011, governing the tender criteria and the evaluation of the offer for the assignment of the natural gas distribution service (hereinafter also DM), according to which the tender should have been published by April 11, 20175; otherwise, a substitute power of the Region was provided, to be exercised within two months from October 11, 2017 (therefore by December 11, 2017), after which the further substitute power of the MISE was contemplated. However, none of the designated entities (Region and MISE) exercised the substitute powers6.</w:t>
      </w:r>
    </w:p>
    <w:p>
      <w:r>
        <w:t>b) Regulatory notes on the type of information to announce the tender</w:t>
      </w:r>
    </w:p>
    <w:p>
      <w:r>
        <w:t>8. The current regulatory framework identifies, as far as relevant here, two types of information that, among others, the outgoing operators are obliged to provide to the contracting authority to allow it to announce the tender. These are, in particular, the information relating to the “state of consistency” of the plants, as well as those concerning the format of the cartography, as illustrated in the aforementioned DM No. 226/2011, and in the subsequent MISE Decree of May 11, 2016, entitled “Establishment of the SINFI – Federated Information System of Infrastructures”, which, in light of the clarifications provided by the MISE, must be read together.</w:t>
      </w:r>
    </w:p>
    <w:p>
      <w:r>
        <w:t>9. In particular, pursuant to Article 4, paragraph 1, letter a) of DM No. 226/2011, the operators are obliged to provide the contracting authority with the “state of consistency” of the natural gas distribution plant indicating the sections of unprotected steel pipelines and the ownership of the individual sections of the network, including the components located in the municipal territory in question that impact on distribution plants belonging to different Municipalities. The state of consistency is defined, pursuant to Article 1, paragraph 1) of the Decree, as “the set of documents including the cartography, as defined in the annex to resolution ARG/gas 120/08 of the Authority, and the description of the networks and plants pertaining to the natural gas distribution service, highlighting the year of construction and their constructive, functional, and conservation characteristics; in particular, for each section of the network, at least the year of installation, the material, and the diameter must be recorded” (emphasis added). For the purposes that are relevant here, it is important to emphasize that the detail regarding the year of installation is not subject to time constraints7. According to the resolution cited in the Decree, cartography “is the documentation system of the distribution plant, excluding user derivation plants and measurement groups, through a representation, at least graphic, that includes indications on the material of the pipelines, their diameter, and the operating pressure and at a scale of at least 1:2000”8.</w:t>
      </w:r>
    </w:p>
    <w:p>
      <w:r>
        <w:t>10. The cartography must be provided in an open and interoperable format, as required by the MISE Decree of May 11, 2016, entitled “Establishment of the SINFI – Federated Information System of Infrastructures”, whose Article 2 introduced the obligation for all infrastructure operators, and therefore also for operators active in gas distribution, to prepare computerized cartography with such characteristics (within 90 days from the publication of the decree itself)9. This provision was known to the operators also in consideration of the clarifications published by the MISE in this regard. Indeed, the aforementioned Ministry, in response to frequently asked questions from the operators,</w:t>
      </w:r>
    </w:p>
    <w:p>
      <w:r>
        <w:t>6 Since the aforementioned deadlines have now expired for almost all ATEMs and neither the Region nor the MISE have exercised the substitute powers provided by law, in fact, the preparation and publication of the tenders continue to be carried out by the original contracting authorities.</w:t>
      </w:r>
    </w:p>
    <w:p>
      <w:r>
        <w:t>7 This definition was subsequently clarified by the MISE.</w:t>
      </w:r>
    </w:p>
    <w:p>
      <w:r>
        <w:t>8 Thus the definition contained in resolution ARG 120/08 of August 7, 2008.</w:t>
      </w:r>
    </w:p>
    <w:p>
      <w:r>
        <w:t>9 Published in the Official Gazette on June 16, 2016. Thus, operators active in gas distribution should have had such cartography as of mid-September 2016.</w:t>
      </w:r>
    </w:p>
    <w:p>
      <w:r>
        <w:rPr>
          <w:b/>
        </w:rPr>
        <w:t>[Pages 7–9]</w:t>
      </w:r>
    </w:p>
    <w:p>
      <w:r>
        <w:t>BULLETIN NO. 5 OF FEBRUARY 3, 2020 9</w:t>
        <w:br/>
        <w:t>territorial areas of the gas distribution sector, provided the following clarifications: “the outgoing operators are required to fulfill the obligations set forth in Article 4, paragraph 1, letter a) of DM No. 226/2011, transmitting to the local authorities, in addition to the status of consistency in XML format, also the cartography in electronic format of an open and interoperable type (therefore editable and modifiable). Pursuant to Article 9, paragraph 6, letter a) of DM No. 226/2011, there is a specific obligation on the contracting authority to make available the data on the status of consistency of the plants in the tender documents, including the cartography. Such data must be provided in the same format in which they are received from the outgoing operators and, therefore, in an open and interoperable format. It is also noted that the aforementioned documents, and therefore also the cartography, must contain the information provided for in Article 1, paragraph 1, letter l) of DM 226/2011 and subsequent amendments.”</w:t>
      </w:r>
    </w:p>
    <w:p>
      <w:r>
        <w:t>The MISE also recalls the notion of “status of consistency” provided by DM No. 226/2011 and specifies that, for each section of the network, at least the year of installation, the material, and the diameter must be recorded10.</w:t>
      </w:r>
    </w:p>
    <w:p>
      <w:r>
        <w:t>11. In conclusion, as a result of the aforementioned provisions and in light of the clarifications provided by the MISE, in order to allow the contracting authority to fulfill its legal obligations and carry out all necessary actions to issue tenders for the distribution of natural gas, each outgoing operator is required to provide to it:</w:t>
        <w:br/>
        <w:t>- the information regarding the year of installation, the material, and the diameter of each section of the network, as a minimum content of both the cartography and the description of the networks and plants;</w:t>
        <w:br/>
        <w:t>- the cartography containing the information referred to in the previous point in an open and interoperable format (therefore editable and modifiable) and in electronic format, while the status of consistency of the networks must be in XML format.</w:t>
      </w:r>
    </w:p>
    <w:p>
      <w:r>
        <w:t>c) The relevant markets</w:t>
      </w:r>
    </w:p>
    <w:p>
      <w:r>
        <w:t>12. As can be seen from the current regulatory framework, the management of the gas distribution service represents a legal monopoly, the perimeter of which currently coincides with the area of attribution subject to each exclusive concession, which at present has a municipal dimension. It should be noted, moreover, that in the vast majority of local realities, this service is exercised under an extension regime, as, on the one hand, the granted concessions have expired and, on the other hand, the tenders related to the ATEM have not yet been published.</w:t>
      </w:r>
    </w:p>
    <w:p>
      <w:r>
        <w:t>13. Although the geographical dimension of the gas distribution activity is expected to expand in the future due to the ATEM tenders, within ATEM Genoa 1 (which, by the number of PDR11, is the fifth in Italy in terms of size after the four ATEMs related to the urban areas of Rome, Milan, Naples, and Turin), each of the three companies Ireti, Italgas Reti, and 2I Rete Gas - the subject of the report from the Municipality of Genoa - is currently the legal monopolist of the natural gas distribution service in their respective municipalities that make up the ATEM. In particular, as shown in the following table (see Table 1), 2i Rete Gas is the monopolist in the municipalities of Mignanego and Serra Riccò; Italgas Reti is the monopolist in the seven municipalities of Campo Ligure, Campomorone, Ceranesi, Cicagna, Masone, Pieve Ligure, and Rossiglione; while Ireti is the monopolist in the remaining municipalities, including the municipality of Genoa.</w:t>
      </w:r>
    </w:p>
    <w:p>
      <w:r>
        <w:t>Table 1 – Current gas distributors in the municipalities of ATEM Genoa 1</w:t>
        <w:br/>
        <w:t>Avegno Ireti</w:t>
        <w:br/>
        <w:t>Bargagli Ireti</w:t>
        <w:br/>
        <w:t>Bogliasco Ireti</w:t>
        <w:br/>
        <w:t>Ceranesi Ireti and Italgas</w:t>
        <w:br/>
        <w:t>Cicagna Ireti and Italgas</w:t>
        <w:br/>
        <w:t>Davagna Ireti</w:t>
        <w:br/>
        <w:t>Genova Ireti</w:t>
        <w:br/>
        <w:t>Lumarzo Ireti</w:t>
        <w:br/>
        <w:t>Mele Ireti</w:t>
        <w:br/>
        <w:t>Mignanego Ireti and 2i Rete Gas</w:t>
        <w:br/>
        <w:t>Moconesi Ireti</w:t>
        <w:br/>
        <w:t>Neirone Ireti</w:t>
        <w:br/>
        <w:t>Pieve Ligure Ireti and Italgas</w:t>
        <w:br/>
        <w:t>Sant’Olcese Ireti</w:t>
        <w:br/>
        <w:t>Serra Riccò Ireti and 2i Rete Gas</w:t>
        <w:br/>
        <w:t>Torriglia Ireti</w:t>
        <w:br/>
        <w:t>Tribogna Ireti</w:t>
        <w:br/>
        <w:t>Uscio Ireti</w:t>
        <w:br/>
        <w:t>Favale di Malvaro Ireti</w:t>
        <w:br/>
        <w:t>Lorsica Ireti</w:t>
        <w:br/>
        <w:t>Campo Ligure Italgas</w:t>
        <w:br/>
        <w:t>Campomorone Italgas</w:t>
        <w:br/>
        <w:t>Masone Italgas</w:t>
        <w:br/>
        <w:t>Rossignone Italgas</w:t>
        <w:br/>
        <w:t>Data as of 31/12/2015. In municipalities where there are two concessionaires, the contracting authority explained that this is due to encroachments by an operator from the territory where it provides the distribution service, with a municipal concession, into the territory of an adjacent municipality (thus the integration from the Municipality on February 27, 2019). In other words, in such municipalities, there are two plants, one of which is the portion of the plant from an adjacent municipality that is subject to the encroachment. The two present concessionaires remain each monopolists in the management of their own plant.</w:t>
      </w:r>
    </w:p>
    <w:p>
      <w:r>
        <w:t>14. At present, therefore, it is possible to identify as many local geographical markets as there are existing concessions, with the definition of a monopoly position, and therefore dominance on the part of the companies that, from time to time, exercise the gas distribution service under exclusive concession.</w:t>
      </w:r>
    </w:p>
    <w:p>
      <w:r>
        <w:t>BULLETIN NO. 5 OF FEBRUARY 3, 2020 11</w:t>
        <w:br/>
        <w:t>IV. THE CONTESTED CONDUCT</w:t>
      </w:r>
    </w:p>
    <w:p>
      <w:r>
        <w:t>15. The Municipality of Genoa, as the contracting authority of ATEM Genoa 1, reported having sent three requests for information to the outgoing operators of the various municipalities in the Genoa basin - Ireti, Italgas Reti, and 2I Rete Gas - asking them to provide the documentation required by Article 4 of DM No. 226/2011, updated first to December 31, 2016, and then to December 31, 2017, and reported having received negative or otherwise insufficient responses from the contacted parties to supplement the information set necessary to draft the tender.</w:t>
      </w:r>
    </w:p>
    <w:p>
      <w:r>
        <w:t>16. In particular, the requests concerned the following information, all available to the outgoing operators:</w:t>
        <w:br/>
        <w:t>a) the characteristics of the status of consistency of the network of each outgoing operator with details of the years of installation for each section of the network;</w:t>
        <w:br/>
        <w:t>b) the cartography of the network itself produced in an open and interoperable format (therefore editable and modifiable).</w:t>
      </w:r>
    </w:p>
    <w:p>
      <w:r>
        <w:t>17. The responses of the Parties to the repeated requests from the Municipality were partial. Ireti, in fact, had sent the cartographies in an open and interoperable format, but had omitted the details of the years of installation for all sections of the network. Italgas had instead sent the contracting authority the cartographies in an interoperable format but had omitted the details of the years of installation for the sections of the network installed before 2006. Finally, 2i Rete Gas had sent the cartographies in a non-interoperable format and had omitted the details of the years of installation for all sections of the network, conditioning its availability to provide them on the condition that the same information was also provided by the other operators operating in the ATEM.</w:t>
      </w:r>
    </w:p>
    <w:p>
      <w:r>
        <w:t>18. On this point, the Municipality had represented that the tender and the related tender documentation had been ready at least since the first days of February - that is, shortly after the first request for information made to the outgoing operators of the ATEM - and that ARERA had already approved the VIRs, the last necessary step for the preparation of the tender. The Municipality had also stated that the completeness of the information requested from the operators was an essential element for participation in the procedure for awarding the new ATEM concession, as the unavailability of the same, which would make it extremely difficult to formulate a fully informed offer regarding the interventions for maintaining the efficiency of the network and the plants, would not have allowed for the preparation of a tender capable of ensuring equal competitive conditions among the various potential participants. Similar considerations regarding the relevance and indispensability of the information in question had also been confirmed by ARERA.</w:t>
      </w:r>
    </w:p>
    <w:p>
      <w:r>
        <w:t>19. That said, the Authority had deemed that, considering the market position held in the individual local gas distribution markets by the companies Ireti, Italgas, and 2i Rete Gas, as well as the fact that the aforementioned companies were custodians of information that is exclusively available to them and that is essential - and not otherwise obtainable - for the preparation of the tender documentation, the refusal and/or delay in providing them could constitute</w:t>
      </w:r>
    </w:p>
    <w:p>
      <w:r>
        <w:rPr>
          <w:b/>
        </w:rPr>
        <w:t>[Pages 10–12]</w:t>
      </w:r>
    </w:p>
    <w:p>
      <w:r>
        <w:t>12 BULLETIN NO. 5 OF FEBRUARY 3, 2020</w:t>
        <w:br/>
        <w:t>an abuse of a dominant position pursuant to Article 102 TFEU by all three outgoing operators, as it would be capable of preventing or delaying the initiation of the administrative procedures necessary for the organization of the service procurement procedure for the distribution of gas in the ATEM Genoa 1.</w:t>
      </w:r>
    </w:p>
    <w:p>
      <w:r>
        <w:t>V. THE CAUTIONARY SUB-PROCEEDING</w:t>
        <w:br/>
        <w:t>20. Concurrently with the initiation of the ordinary proceeding against the Parties to ascertain possible violations of Article 102 TFEU, the Authority had also initiated on the same date a cautionary sub-proceeding pursuant to Article 14-bis of Law No. 287/90, considering the prerequisites to be met. However, all three Parties, in order to avoid the adoption of precautionary measures, shortly after the initiation of the proceeding transmitted to the Municipality of Genoa the information with the details and methods requested by it.</w:t>
      </w:r>
    </w:p>
    <w:p>
      <w:r>
        <w:t>21. This sub-proceeding, therefore, concluded with the resolution of April 30, 2019, with which the Authority acknowledged the absence of the prerequisites for the precautionary action itself.</w:t>
      </w:r>
    </w:p>
    <w:p>
      <w:r>
        <w:t>VI. THE COMMITMENTS PROPOSED BY THE PARTIES</w:t>
        <w:br/>
        <w:t>22. With reference to the allegations of the main proceeding, the Parties subsequently submitted commitments pursuant to Article 14-ter of Law No. 287/1990, in order to conclude the proceeding without ascertaining the infringement. In particular, Italgas and 2i Rete Gas submitted their commitment proposals on June 21, 2019, while the proposal from Ireti, which had already been preceded by a preliminary proposal sent on May 24, 2019, was received on June 24, 2019.</w:t>
      </w:r>
    </w:p>
    <w:p>
      <w:r>
        <w:t>The commitments of Ireti</w:t>
        <w:br/>
        <w:t>23. The commitments originally proposed by Ireti were articulated in the following four measures:</w:t>
        <w:br/>
        <w:t>1) with reference to the ATEM of Genoa 1, making available the cartography in open and interoperable format, detailing the year of installation of the network sections. This conduct has, in fact, already been implemented;</w:t>
        <w:br/>
        <w:t>2) commitment to provide the Municipality of Genoa, for the purpose of initiating the procurement procedure related to ATEM Genoa 1 and the consequent availability to the participants in the tender, a cartography containing a graphical representation of the following additional elements:</w:t>
        <w:br/>
        <w:t>a) network valves;</w:t>
        <w:br/>
        <w:t>b) cathodic protection measurement points;</w:t>
        <w:br/>
        <w:t>c) cathodic protection systems (power supplies and anodes, with identification of their type: horizontal or vertical);</w:t>
        <w:br/>
        <w:t>d) pressure measurement points in the network;</w:t>
        <w:br/>
        <w:t>e) indication of the portions of territory subject to the following constraints or specific prescriptions for the laying of pipelines: hydrogeological constraint, landslide risk areas, archaeological constraint, historical centers, state/provincial roads, significant hydrographic network (river property), maritime property;</w:t>
        <w:br/>
        <w:t>f) indication of the boundary perimeters between the different municipalities that are part of the ATEM.</w:t>
        <w:br/>
        <w:t>g) furthermore, in the event that the contracting authority requests an update on the status of the facilities, commitment to also provide the update of the aforementioned additional elements.</w:t>
      </w:r>
    </w:p>
    <w:p>
      <w:r>
        <w:t>BULLETIN NO. 5 OF FEBRUARY 3, 2020 13</w:t>
        <w:br/>
        <w:t>3) for all further ATEM tenders for which Ireti assumes the role of outgoing operator, and therefore regardless of the number of delivery points (“PDR”) managed within, commitment to provide the contracting authorities, for the purpose of initiating the procurement procedures and the consequent availability to the participants in the tenders, the cartography in open and interoperable format (DWG or Shape), detailing the years of installation for all network sections;</w:t>
        <w:br/>
        <w:t>4) in all further ATEM tenders for which Ireti assumes the role of outgoing operator, regardless of the number of PDRs managed within, commitment to provide the contracting authorities, for the purpose of initiating the procurement procedures and the consequent availability to the participants in the tenders, a cartography containing a graphical representation of the following additional elements:</w:t>
        <w:br/>
        <w:t>a) network valves;</w:t>
        <w:br/>
        <w:t>b) cathodic protection measurement points;</w:t>
        <w:br/>
        <w:t>c) cathodic protection systems (power supplies and anodes, with identification of their type: horizontal or vertical);</w:t>
        <w:br/>
        <w:t>d) pressure measurement points in the network;</w:t>
        <w:br/>
        <w:t>e) indication of the portions of territory subject to the following constraints or specific prescriptions for the laying of pipelines: hydrogeological constraint, landslide risk areas, archaeological constraint, historical centers, state/provincial roads, significant hydrographic network (river property), maritime property;</w:t>
        <w:br/>
        <w:t>f) indication of the boundary perimeters between the different municipalities that are part of the ATEM.</w:t>
        <w:br/>
        <w:t>g) furthermore, in the event that the contracting authority requests an update on the status of the facilities, commitment to also provide the update of the aforementioned additional elements.</w:t>
      </w:r>
    </w:p>
    <w:p>
      <w:r>
        <w:t>24. With specific reference to commitment no. 2), if the timing for concluding the proceeding were not compatible with the procurement procedure, Ireti committed to agree with the Municipality of Genoa on methods of implementing this measure compatible with the timing of the procurement procedures. With reference to commitments no. 3) and no. 4), however, Ireti specified that they would be implemented in compliance with the deadlines set by Article 4 of Ministerial Decree No. 226/2011 (current regulations for the transmission of data to the granting Local Authority), without prejudice to (and if compatible with) the principle that they are to be understood as subject to the closure of the proceeding without ascertaining the infringement. Finally, Ireti specified that it committed to implement the measures referred to in points no. 2), 3) and 4) upon request for the same information from the contracting authority to all concessionaires of the relevant ATEM.</w:t>
      </w:r>
    </w:p>
    <w:p>
      <w:r>
        <w:t>The commitments of 2i Rete Gas</w:t>
        <w:br/>
        <w:t>25. The commitments originally presented by 2i Rete Gas were articulated in the following two measures:</w:t>
        <w:br/>
        <w:t>1) commitment to provide the cartography in dwg or shapefile format to all contracting authorities of the ATEM tenders within which it is the concessionaire for the gas distribution service that request it from all outgoing operators, except for insurmountable technical difficulties related to the readability of such formats;</w:t>
        <w:br/>
        <w:t>2) commitment to integrate the cartography in dwg or shapefile format with the indication of the year of installation for each network section to all contracting authorities of the ATEM tenders within which it is the concessionaire for the gas distribution service that request it from all outgoing operators, except for insurmountable technical or factual difficulties (also considering the circumstance that the introduction of the obligation to assign the year of installation to each network section has only been in effect since 1.1.2006 under regulatory provisions).</w:t>
      </w:r>
    </w:p>
    <w:p>
      <w:r>
        <w:t>14 BULLETIN NO. 5 OF FEBRUARY 3, 2020</w:t>
        <w:br/>
        <w:t>The commitments of Italgas</w:t>
        <w:br/>
        <w:t>26. As for the commitments originally proposed by Italgas, they were articulated in the following two measures:</w:t>
        <w:br/>
        <w:t>1) commitment, upon request from a granting authority or a contracting authority (such request having been sent to all other operators active in the relevant ATEM), to provide, for the municipalities where the Company is the concessionaire of the service, the set of documents including the cartography in open and interoperable digital format, as well as the information in its possession, relating to the description of the networks and facilities, highlighting the year of realization and characteristics, in XML format, specifying, where Italgas is in possession of it, also the year of installation for network sections prior to 2006;</w:t>
        <w:br/>
        <w:t>2) establishment of a dedicated “team” within the Company, which, upon request from the contracting authority, is dedicated to collecting and producing information related to the years of installation for network sections prior to 2006.</w:t>
      </w:r>
    </w:p>
    <w:p>
      <w:r>
        <w:t>The market test on the commitments of the Parties</w:t>
        <w:br/>
        <w:t>27. In the meeting of July 31, 2019, the Authority, considering the commitments presented not manifestly unfounded, ordered their publication on its website, in order to subject them to the market test provided for by the procedure relating to the application of Article 14-ter of Law No. 287/1990. This publication, which took place on September 2, 2019, was accompanied by a specific request for information sent by the Authority to a number of operators in the sector. In particular, 15 companies active in the distribution of natural gas, the 3 main associations of distribution companies, 3 consulting firms, 18 contracting authorities (selected to ensure adequate differentiation both in terms of size and geographical location), an association of contracting authorities, and ARERA were consulted.</w:t>
      </w:r>
    </w:p>
    <w:p>
      <w:r>
        <w:t>28. In particular, with the request for information, the Authority asked the recipients to express themselves, first of all, regarding the usefulness, for a hypothetical participant in the area tenders, of having the cartography in the formats requested by the Municipality of Genoa and having the indication, within the same cartography, of the year of installation for each network section, as well as regarding the possible burden of producing the same for the incumbent operator currently managing the networks. A similar question concerned the additional information proposed solely by Ireti. It was finally asked whether the usefulness of this information was conditioned on the circumstance that it concerns 100% of the networks.</w:t>
      </w:r>
    </w:p>
    <w:p>
      <w:r>
        <w:t>29. Regarding the circumstance that the format of the cartography provided by the incumbent operators must be of an open and interoperable type (specifically in the dwg and shapefile formats requested by the Municipality of Genoa), which is the subject of the commitments of all three Parties, a majority of respondents expressed themselves, in essence, favorably, considering that the availability of cartography in the aforementioned format represents an important advantage for the participants in the tender, making the study of the network and therefore the preparation of offers easier and quicker, in a context where the time available following the publication of the tender is rather limited compared to the complexity of the offer itself. The prevalence of this opinion is also evident in the responses provided.</w:t>
      </w:r>
    </w:p>
    <w:p>
      <w:r>
        <w:rPr>
          <w:b/>
        </w:rPr>
        <w:t>[Pages 13–15]</w:t>
      </w:r>
    </w:p>
    <w:p>
      <w:r>
        <w:t>BULLETIN NO. 5 OF FEBRUARY 3, 2020 15</w:t>
        <w:br/>
        <w:t>from the companies and their associations, but it is more pronounced in the responses provided by the contracting authorities.</w:t>
      </w:r>
    </w:p>
    <w:p>
      <w:r>
        <w:t>30. A significant but minority portion of the respondents did not take a clear position on this point, also emphasizing the possible burden, for the outgoing operators, of the task of providing the mapping in the aforementioned format. Overall, however, only three companies and one association of companies (but no contracting authority) expressed opposition to the discussed measure.</w:t>
      </w:r>
    </w:p>
    <w:p>
      <w:r>
        <w:t>31. Even more evident and predominant was the favor of the interviewees regarding the opportunity to accompany the mapping with the indication of the year of installation for each section of the network. Twenty-one subjects (including all the contracting authorities), out of the twenty-seven respondents, agreed that such information is relevant and/or not excessively burdensome for the outgoing operator, while only three subjects expressed a clear opposing position. According to the responses to the market test, the indication of the year of installation in the mapping also allows for more informed and precise offers, proving useful also with regard to the subsequent phases of network management, maintenance, and investment. Ultimately, therefore, the measure would facilitate competitors in competing with the projects presented by the companies that currently – and for many years – manage the network. Nor is it generally considered particularly burdensome for the outgoing operator, and in some responses, it is emphasized that well-organized operators should already possess, in some way, the information on the years of installation of the individual sections of their network.</w:t>
      </w:r>
    </w:p>
    <w:p>
      <w:r>
        <w:t>32. Regarding the additional information proposed by Ireti, most respondents pointed out that such information, although partially provided for by current regulations, is not usually included in the mapping. This results, similarly to the lack of indication of the year of installation, in a lesser substantial knowledge of the networks, which affects the precision and awareness of the offer and the estimation of future management and investment costs. Consistent with this, almost all interviewees defined such information as at least "useful."</w:t>
      </w:r>
    </w:p>
    <w:p>
      <w:r>
        <w:t>33. Turning to the impacts of the measures subject to the commitments on the timing of the tenders and any burdens they could cause for the contracting authority, it is noted that the opinion that the additional informational burdens on the incumbent operators subject to the commitments could slow down the publication of the tenders and the holding of the competitions was largely minority. In fact, only one subject expressed this view, while the provision of such information by the incumbents, including the additional information proposed by Ireti, finds particularly widespread consensus among the responses sent by the contracting authorities. Conversely, more subjects pointed out that it would be the failure to transmit such information that would pose the risk of slowing down the publication of the tender.</w:t>
      </w:r>
    </w:p>
    <w:p>
      <w:r>
        <w:t>34. Finally, regarding the potential necessity for the informational obligations to be imposed on all outgoing operators of a given ATEM, it should be noted that the respondents to the market test did not provide unanimous opinions. However, it is observed that those who supported the necessity for the information subject to the commitments to be provided by all outgoing operators of an ATEM generally cited reasons related to equal treatment among companies (i.e., among the different outgoing operators) rather than technical arguments that would link the actual usefulness of the information for formulating an offer by a potential participant to the circumstance that the same is available for the entire ATEM. In fact, a significant portion of the participants in the market test explained how the information in question can have its own relevance even if it only concerns a part of the facilities of the ATEM put out to tender.</w:t>
      </w:r>
    </w:p>
    <w:p>
      <w:r>
        <w:t>35. Such arguments, moreover, seem consistent with the nature of the aforementioned information and with the function they could serve in formulating an offer and a management project for the facilities, in light of which there does not seem to be any intrinsic reason why the information in question should only become relevant if it concerns 100% of the facilities of the ATEM. In conclusion, it can therefore be argued that the market test revealed that the information subject to the commitments has a utility that can be considered, in essence, proportional to the degree of coverage of the networks to which the information itself refers and that, as such, it manifests itself even if the information is not provided by all outgoing operators. Conversely, some respondents emphasized that it could be complex to always obtain information from 100% of the outgoing operators, given that some of the current operators, due to their corporate nature or size, might have difficulties in providing the information in question in the requested manner.</w:t>
      </w:r>
    </w:p>
    <w:p>
      <w:r>
        <w:t>Accessory modifications to the commitments of the Parties after the market test</w:t>
      </w:r>
    </w:p>
    <w:p>
      <w:r>
        <w:t>36. Following the examination of the results of the market test, all three Parties submitted, on November 4, 2019, accessory modifications to their initial proposals for commitments.</w:t>
      </w:r>
    </w:p>
    <w:p>
      <w:r>
        <w:t>37. All the Parties, first of all, eliminated the condition that the information subject to the commitments would only be provided to the contracting authorities that had requested the same information from all outgoing operators. As a result of these modifications, therefore, the Parties committed to providing the aforementioned information to all contracting authorities that request it from the Parties themselves in their capacity as outgoing operators of the ATEM of interest, regardless of whether the same information is requested from the other outgoing operators of the ATEM.</w:t>
      </w:r>
    </w:p>
    <w:p>
      <w:r>
        <w:t>38. Ireti added the further commitment to inform in writing, within 10 days of any acceptance decision of the commitments by the Authority and consequent closure of the investigation, all contracting authorities in which the company acts as the outgoing operator of the commitments undertaken by the company itself.</w:t>
      </w:r>
    </w:p>
    <w:p>
      <w:r>
        <w:t>39. 2i Rete Gas added to its original proposal for commitments the clarification that the company commits to providing the above-described information within the terms of Article 4, paragraph 3, of Ministerial Decree 226/2011 (which represents the same reference adopted, since the original proposal, by Ireti).</w:t>
      </w:r>
    </w:p>
    <w:p>
      <w:r>
        <w:t>40. Italgas modified the format in which it promises to provide the information subject to the commitment, changing from XML format to shapefile format (one of the two formats requested by the Municipality of Genoa). Italgas also specified the timing within which such information will be provided, using a reference of 60 days (which essentially corresponds to the main time reference used in Article 4 of Ministerial Decree 226/2011).</w:t>
      </w:r>
    </w:p>
    <w:p>
      <w:r>
        <w:t>41. The Parties finally reported that, during the proceedings (and in particular at the end of September 2019), a regulatory change occurred represented by an update of the SINFI Specifications12 according to which the year of installation of each individual section of the network would explicitly fall among the information provided for by law. However, the Parties have represented that the commitments go beyond the new regulatory provisions in that, on the one hand (this is the position of 2i Rete Gas), they do not provide precise prescriptions for the format of the mapping and, on the other hand (as represented by Italgas), the commitments would tend to create a direct channel between the companies and the contracting authority, not ensured by the national infrastructure registry managed by SINFI.</w:t>
      </w:r>
    </w:p>
    <w:p>
      <w:r>
        <w:t>VII. EVALUATIONS</w:t>
      </w:r>
    </w:p>
    <w:p>
      <w:r>
        <w:t>42. As a preliminary matter, it is recalled that, following the initiation of this proceeding, as well as the sub-proceeding for the imposition of precautionary measures, all the Parties have put an end to the conduct that was the subject of the complaint by the Municipality of Genoa, transmitting the information that the contracting authority had requested and whose failure to communicate was hindering the conduct of the tender for the award of the concession for the distribution of natural gas in the ATEM Genoa 1.</w:t>
      </w:r>
    </w:p>
    <w:p>
      <w:r>
        <w:t>43. The commitments presented by the Parties are aimed at preventing a situation similar to that which occurred with the Municipality of Genoa from repeating in future ATEM tenders in which the Parties are outgoing operators. All the Parties have indeed committed to sending the mapping in open and interoperable format with the detail of the years of installation for each individual section of the network to the contracting authorities of the ATEM tenders that request it from them, ensuring compliance with the sending times (sixty days) provided for by Article 4, paragraph 3 of Ministerial Decree No. 226/2011.</w:t>
      </w:r>
    </w:p>
    <w:p>
      <w:r>
        <w:t>44. The aforementioned information has also been considered important, for a more effective unfolding of competition in the ATEM tenders, by the majority of the subjects who responded to the market test. One of the Parties (Ireti) has moreover committed to providing both the Municipality of Genoa and other contracting authorities that may request it with a series of other additional information, which were also positively evaluated overall by the companies and contracting authorities that responded to the market test.</w:t>
      </w:r>
    </w:p>
    <w:p>
      <w:r>
        <w:t>45. In their final formulation, the commitments leave the ultimate decision to the contracting authorities on the appropriateness of requesting the mapping and the status of consistency from the Parties in the modalities and with the contents of the commitments themselves. This allows the contracting authorities not only to evaluate the acquisition of information in light of the specific characteristics of the individual ATEM but also to calibrate the request for information according to the type of outgoing operators present in the ATEM itself.</w:t>
      </w:r>
    </w:p>
    <w:p>
      <w:r>
        <w:t>46. Regarding the positive impacts of the commitments in a context where contracting authorities are not obliged to request the informational contribution that the Parties commit to providing from all outgoing operators, it should also be considered how the responses from the companies and contracting authorities consulted in the market test reveal, in substance, that the utility of the information subject to the commitments is not necessarily tied to its availability for all municipalities included in the ATEM. Rather, from the same responses, it emerges that the benefit provided by the information is considered nonetheless proportional to the share of the ATEM concessions for which said information is available.</w:t>
      </w:r>
    </w:p>
    <w:p>
      <w:r>
        <w:t>47. The commitments appear to maintain significant added value in the overall process of conducting ATEM tenders despite the recent change in the regulatory framework regarding informational obligations established by SINFI. They indeed guarantee all contracting authorities that</w:t>
      </w:r>
    </w:p>
    <w:p>
      <w:r>
        <w:rPr>
          <w:b/>
        </w:rPr>
        <w:t>[Pages 16–18]</w:t>
      </w:r>
    </w:p>
    <w:p>
      <w:r>
        <w:t>18 BULLETIN NO. 5 OF FEBRUARY 3, 2020</w:t>
        <w:br/>
        <w:t>that request it from the Parties, in their capacity as outgoing managers, the certainty of obtaining without obstacles from them the cartography in open and interoperable format, detailing the years of installation for each individual section of the network. Furthermore, the commitments ensure that the communication of such informational elements will occur in a timely and certain manner, according to the timing (sixty days) provided for in Article 4, paragraph 3 of DM No. 226/2011.</w:t>
      </w:r>
    </w:p>
    <w:p>
      <w:r>
        <w:t>48. For the reasons stated above, the commitments presented by the Parties are therefore suitable to address the competitive concerns expressed by the Authority in the initiation decision, also ensuring that situations similar to those experienced by the Municipality of Genoa do not recur in the future - as far as the Parties are concerned - for other ATEM tenders, while still leaving the relevant contracting authorities the necessary freedom of action to ensure the efficiency and cost-effectiveness of the tender processes.</w:t>
      </w:r>
    </w:p>
    <w:p>
      <w:r>
        <w:t>VIII. CONCLUSIONS</w:t>
        <w:br/>
        <w:t>49. The competitive concerns expressed by the Authority at the initiation of the proceeding concerned an alleged abuse of dominant position carried out by Ireti S.p.a., Italgas Reti S.p.a., and 2i Rete Gas S.p.a., consisting of the refusal or delay in providing information deemed necessary by a contracting authority for the proper preparation of the tender for the future assignment of the gas distribution service for which, at the time of the conduct, these companies represented dominant operators in a legal monopoly position (due to the municipal concessions held), thus configuring conduct that may violate Article 102 TFEU.</w:t>
      </w:r>
    </w:p>
    <w:p>
      <w:r>
        <w:t>50. In conclusion, the commitments presented by Ireti S.p.a., Italgas Reti S.p.a., and 2i Rete Gas S.p.a. appear suitable as a whole to remedy such competitive concerns as they entail the transmission of the necessary information for the correct formulation of a tender for the ATEM tender. They also involve the extension of such informational modalities to all ATEMs in which these companies find themselves in the role of outgoing manager and, in the case of the commitment undertaken by Ireti S.p.a., the possibility, in such additional ATEMs, of obtaining further informational details potentially useful in the context of the area tender. Finally, they ensure the provision of cartographic information in open and interoperable format (dwg or shapefile) with the indication of the year of installation for each section of the network, as well as, in the case of Ireti S.p.a., other useful information for the preparation of the tender for the relevant area and for potential participants in the preparation of their offers.</w:t>
      </w:r>
    </w:p>
    <w:p>
      <w:r>
        <w:t>51. The Authority will monitor the execution of the commitments of Ireti S.p.a., Italgas Reti S.p.a., and 2i Rete Gas S.p.a. and reserves the right to reopen the proceeding ex officio for the purposes and effects of what is provided for in Article 14-ter, paragraphs 2 and 3, of Law No. 287/1990.</w:t>
      </w:r>
    </w:p>
    <w:p>
      <w:r>
        <w:t>CONSIDERING, therefore, that the commitments presented by Ireti S.p.a., Italgas Reti S.p.a., and 2i Rete Gas S.p.a. are suitable to eliminate the anti-competitive aspects subject to the investigation;</w:t>
      </w:r>
    </w:p>
    <w:p>
      <w:r>
        <w:t>CONSIDERING to order the mandatory nature of the commitments presented pursuant to Article 14-ter, paragraph 1, of Law No. 287/1990;</w:t>
      </w:r>
    </w:p>
    <w:p>
      <w:r>
        <w:t>all of the above having been stated and considered:</w:t>
      </w:r>
    </w:p>
    <w:p>
      <w:r>
        <w:t>BULLETIN NO. 5 OF FEBRUARY 3, 2020 19</w:t>
        <w:br/>
        <w:t>RESOLUTION</w:t>
        <w:br/>
        <w:t>a) to make the commitments presented by Ireti S.p.a., Italgas Reti S.p.a., and 2i Rete Gas S.p.a. mandatory, pursuant to Article 14-ter, paragraph 1, of Law No. 287/1990, in the terms described above and attached to this provision, which are an integral part thereof;</w:t>
      </w:r>
    </w:p>
    <w:p>
      <w:r>
        <w:t>b) that the companies Ireti S.p.a., Italgas Reti S.p.a., and 2i Rete Gas S.p.a., whenever they receive a request from a contracting authority regarding the documentation subject to the commitments, shall inform the Authority of the implementation of the commitments by communicating both the request from the contracting authority and their response;</w:t>
      </w:r>
    </w:p>
    <w:p>
      <w:r>
        <w:t>c) that the companies Ireti S.p.a., Italgas Reti S.p.a., and 2i Rete Gas S.p.a. shall submit to the Authority, by December 31 of each year, a detailed report on the implementation of the commitments undertaken, until the year in which the last tender related to ATEMs in which each company holds concessions for the management of the gas distribution service has been published, that is, in which it plays the role of outgoing manager and is therefore, as such, subject to the commitments presented;</w:t>
      </w:r>
    </w:p>
    <w:p>
      <w:r>
        <w:t>d) to close the proceeding without establishing the infringement, pursuant to Article 14-ter, paragraph 1, of Law No. 287/1990.</w:t>
      </w:r>
    </w:p>
    <w:p>
      <w:r>
        <w:t>This provision will be notified to the interested parties and published in the Bulletin of the Authority for Competition and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br/>
        <w:t>Filippo Arena Roberto Rustichelli</w:t>
      </w:r>
    </w:p>
    <w:p>
      <w:r>
        <w:t>20 BULLETIN NO. 5 OF FEBRUARY 3, 2020</w:t>
        <w:br/>
        <w:t>I820 - MONTHLY BILLING WITH TARIFF RESTRUCTURING</w:t>
        <w:br/>
        <w:t>Provision No. 28102</w:t>
        <w:br/>
        <w:t>THE AUTHORITY FOR COMPETITION AND MARKET</w:t>
        <w:br/>
        <w:t>IN ITS MEETING of January 28, 2020;</w:t>
      </w:r>
    </w:p>
    <w:p>
      <w:r>
        <w:t>HEARD the Rapporteur Professor Michele Ainis;</w:t>
      </w:r>
    </w:p>
    <w:p>
      <w:r>
        <w:t>HAVING REGARD TO Article 101 of the Treaty on the Functioning of the European Union (TFEU);</w:t>
      </w:r>
    </w:p>
    <w:p>
      <w:r>
        <w:t>HAVING REGARD TO Council Regulation (EC) No. 1/2003 of December 16, 2002;</w:t>
      </w:r>
    </w:p>
    <w:p>
      <w:r>
        <w:t>HAVING REGARD TO Law No. 287 of October 10, 1990;</w:t>
      </w:r>
    </w:p>
    <w:p>
      <w:r>
        <w:t>HAVING REGARD TO the Decree of the President of the Republic No. 217 of April 30, 1998;</w:t>
      </w:r>
    </w:p>
    <w:p>
      <w:r>
        <w:t>HAVING REGARD TO its resolution of February 7, 2018, which initiated an investigation pursuant to Article 14 of Law No. 287/90, against Assotelecomunicazioni – Asstel, Fastweb S.p.A., Telecom Italia S.p.A., Vodafone Italia S.p.A., and Wind Tre S.p.A., to ascertain the existence of a violation of Article 101 of the TFEU;</w:t>
      </w:r>
    </w:p>
    <w:p>
      <w:r>
        <w:t>HAVING REGARD TO its resolutions of March 21 and April 11, 2018, with which a precautionary measure was adopted, pursuant to Article 14-bis of Law No. 287/90, against Fastweb S.p.A., Telecom Italia S.p.A., Vodafone Italia S.p.A., and Wind Tre S.p.A., ordering the Parties to suspend the repricing contested in the initiation provision and the consequent independent determination of their commercial offer;</w:t>
      </w:r>
    </w:p>
    <w:p>
      <w:r>
        <w:t>HAVING REGARD TO its provision No. 27597 of March 12, 2019, with which the deadline for concluding the proceeding was extended to July 31, 2019;</w:t>
      </w:r>
    </w:p>
    <w:p>
      <w:r>
        <w:t>HAVING REGARD TO its provision No. 27851 of July 17, 2019, with which the deadline for concluding the proceeding was extended to January 31, 2020;</w:t>
      </w:r>
    </w:p>
    <w:p>
      <w:r>
        <w:t>HAVING REGARD TO the Communication of Investigative Results, sent to the parties on August 1, 2019, pursuant to Article 14 of the D.P.R. No. 217 of April 30, 1998;</w:t>
      </w:r>
    </w:p>
    <w:p>
      <w:r>
        <w:t>HAVING REGARD TO the final briefs of Assotelecomunicazioni – Asstel, Fastweb S.p.A., Telecom Italia S.p.A., Vodafone Italia S.p.A., Wind Tre S.p.A., and Iliad Italia S.p.A. received on October 10, 2019;</w:t>
      </w:r>
    </w:p>
    <w:p>
      <w:r>
        <w:t>HEARD in the final hearing the representatives of Assotelecomunicazioni – Asstel, Fastweb S.p.A., Telecom Italia S.p.A., Vodafone Italia S.p.A., Wind Tre S.p.A., and Iliad Italia S.p.A. on October 15, 2019;</w:t>
      </w:r>
    </w:p>
    <w:p>
      <w:r>
        <w:t>HAVING REGARD TO the opinion of the Authority for Guarantees in Communications, received on January 17, 2020;</w:t>
      </w:r>
    </w:p>
    <w:p>
      <w:r>
        <w:t>HAVING REGARD TO the acts of the proceeding and the documentation acquired during the investigation;</w:t>
      </w:r>
    </w:p>
    <w:p>
      <w:r>
        <w:t>CONSIDERING the following:</w:t>
        <w:br/>
        <w:t>I. THE PARTIES</w:t>
        <w:br/>
        <w:t>1. Assotelecomunicazioni – Asstel (“Asstel”) is the trade association that, within the Confindustria system, represents the companies in the information technology sector providing services of</w:t>
      </w:r>
    </w:p>
    <w:p>
      <w:r>
        <w:rPr>
          <w:b/>
        </w:rPr>
        <w:t>[Pages 19–21]</w:t>
      </w:r>
    </w:p>
    <w:p>
      <w:r>
        <w:t>BULLETIN NO. 5 OF FEBRUARY 3, 2020 21</w:t>
        <w:br/>
        <w:t>telecommunication fixed and mobile services, active in customer assistance and management, providing equipment and services for the management, maintenance, and operation of telecommunication systems and networks.</w:t>
        <w:br/>
        <w:t>2. Fastweb S.p.A. (“Fastweb” or “FW”) is an operator that provides fixed broadband and ultra-broadband telephony services. The company is also active in the mobile telecommunications services market as a virtual operator. Fastweb is 100% controlled by Swisscom Italia S.r.l., which is in turn controlled by Swisscom AG, a company engaged in the provision of telecommunications services based in Switzerland. The revenue generated by Fastweb in the 2018 financial year amounted to 2.16 billion euros.</w:t>
        <w:br/>
        <w:t>3. Telecom Italia S.p.A. (hereinafter “Telecom Italia” or “TIM”) is a company active in the provision of fixed and mobile communication services that has a copper network for fixed telecommunications. The company uses the brand “TIM” for its commercial offering of both fixed and mobile telecommunications. In 2018, TIM's consolidated revenue was approximately 19.28 billion euros.</w:t>
        <w:br/>
        <w:t>4. Vodafone Italia S.p.A. (hereinafter “Vodafone” or “Vodafone Italia”) is a company active in the provision of fixed and mobile communication services that belongs to the international Vodafone group. The consolidated revenue of Vodafone Italia S.p.A. for the financial year ending March 31, 2019, amounted to 6.44 billion euros.</w:t>
        <w:br/>
        <w:t>5. Wind Tre S.p.A. (hereinafter “Wind Tre”) is a telecommunications company controlled by the international group CK Hutchison Holdings Limited through the company Wind Tre Italia S.p.A. Wind Tre is active in providing telecommunications services on fixed networks and owns a mobile telecommunications network. In 2018, Wind Tre generated consolidated revenue of approximately 5.57 billion euros.</w:t>
        <w:br/>
        <w:t>6. Hereinafter, Fastweb, TIM, Vodafone, and Wind Tre will also be referred to collectively as “Parties to the proceeding” or “Operators.”</w:t>
        <w:br/>
        <w:t>II. THIRD-PARTY INTERVENORS</w:t>
        <w:br/>
        <w:t>7. Iliad Italia S.p.A. (hereinafter “Iliad” or “Iliad Italia”) is an operator that provides mobile telecommunications services. Iliad Italia belongs to the French telecommunications group Iliad and is ultimately 100% controlled by Iliad SA. The operator has been active in the Italian market since 2018.</w:t>
        <w:br/>
        <w:t>8. Associazione CODICI Onlus – Centro per i diritti del cittadino (hereinafter “CODICI”) is a national representative association of the interests and rights of users and consumers, registered in the Register referred to in Article 137 of the Consumer Code.</w:t>
        <w:br/>
        <w:t>9. Altroconsumo – Associazione Indipendente dei consumatori (hereinafter “Altroconsumo”) is a national representative association of the interests and rights of consumers, registered in the Register referred to in Article 137 of the Consumer Code.</w:t>
      </w:r>
    </w:p>
    <w:p>
      <w:r>
        <w:t>22 BULLETIN NO. 5 OF FEBRUARY 3, 2020</w:t>
        <w:br/>
        <w:t>III. THE INVESTIGATIVE PROCEEDING</w:t>
        <w:br/>
        <w:t>10. By resolution of February 7, 2018, the Authority initiated a proceeding against Assotelecomunicazioni – Asstel, Telecom Italia S.p.A., Vodafone Italia S.p.A., Fastweb S.p.A., and Wind Tre S.p.A. to ascertain the existence of a restrictive agreement on competition, in the form of a coordinated practice and/or agreement, established at least as of the adoption of AGCOM Resolution 121/17/CONS, aimed at determining the variation of the contractual conditions of retail fixed and mobile communication services in connection with the adjustment to the provisions contained in Article 19 quinquiesdecies of Decree-Law October 16, 2017, No. 148, and to restrict the ability of consumer-customers to benefit from proper competitive comparison among operators when exercising the right of withdrawal.</w:t>
        <w:br/>
        <w:t>11. On February 15 and 16, 2018, inspections were carried out at the legal and operational offices of the Parties to the proceeding.</w:t>
        <w:br/>
        <w:t>12. During the examination of the documentation acquired during the inspection, significant evidence was found that prima facie confirmed the existence of the coordination outlined in the resolution initiating the investigation, particularly with reference to the nominal increase in the periodic fee through the reallocation of annual expenditure over 12 fees instead of 13, communicated to users during the transition from four-week billing to monthly billing (hereinafter “repricing”). The definitive implementation of the aforementioned repricing on the Operators' customer base was scheduled, in almost all cases, for the period March 24 – April 5, 2018; despite the initiation of the proceeding and the objections raised by the Authority, the Parties had not, in fact, announced any spontaneous suspension of the application of the repricing.</w:t>
        <w:br/>
        <w:t>13. In light of a preliminary assessment of the evidentiary framework and the imminence of the implementation of the repricing, the Authority deemed it necessary to intervene with a precautionary measure that would prevent the parties, during the proceeding, from executing the agreement subject to the investigation.</w:t>
        <w:br/>
        <w:t>14. By resolution of March 21, 2018, the Authority ordered, as a precautionary measure, that “Fastweb S.p.A., Telecom Italia S.p.A., Vodafone Italia S.p.A., and Wind Tre S.p.A. suspend, during the proceeding, the implementation of the agreement subject to the proceeding initiated by the resolution of February 7, 2018, concerning the determination of the repricing communicated to users during the reconfiguration of the billing cycle in compliance with Law 172/2017, and that, as a result, each operator define the terms of its service offering independently from competitors”1.</w:t>
        <w:br/>
        <w:t>15. Due to the fact that the announced timing (March 24 – April 5) for the implementation of the repricing on almost all of the Operators' offers did not allow for a prior establishment of the adversarial process, the aforementioned precautionary measure was adopted inaudita altera parte, simultaneously granting the Parties seven days from the notification of the measure to submit documents and briefs and to request to be heard before the College.</w:t>
        <w:br/>
        <w:t>16. Concurrently with the notification of the precautionary measure, which contained specific indications of all the documents on which the summary assessments regarding the existence of fumus boni iuris were based, the Parties were informed of the possibility of accessing the aforementioned documents the following day. On March 22, 2018, all Parties exercised their right of access to the documents underlying the precautionary measure.</w:t>
        <w:br/>
        <w:t>17. On March 28, 2018, the Parties submitted their defensive briefs and requested to be heard before the College. The following day, the date of the hearing before the College was communicated, set for April 5, 2018.</w:t>
        <w:br/>
        <w:t>18. After concluding the assessment of the requests for the return of the documents made in adversarial proceedings with the Parties, on April 3 and 4, 2018, the Parties accessed the additional inspection documentation provisionally accessible.</w:t>
        <w:br/>
        <w:t>19. On April 5, 2018, the Parties were heard in a hearing before the College and presented their defenses in separate sessions, as requested by them, due to the fact that the arguments presented contained references to trade secrets and business strategies.</w:t>
        <w:br/>
        <w:t>20. By the resolution of April 11, 2018, the Authority decided to: “confirm the precautionary measure provisionally decided on March 21, 2018, consisting of the order for Fastweb S.p.A., Telecom Italia S.p.A., Vodafone Italia S.p.A., and Wind Tre S.p.A. to suspend, during the proceeding, the implementation of the agreement subject to the proceeding initiated by the resolution of February 7, 2018, concerning the determination of the repricing communicated to users during the reconfiguration of the billing cycle from four-week to monthly in compliance with Law No. 172/2017, and that, as a result, each operator define the terms of its service offering independently from competitors, in accordance with the regulatory framework that each individual operator is required to comply with”2.</w:t>
        <w:br/>
        <w:t>21. Following the submission of the reports required by the concluding measure of the precautionary phase, the adequacy of the measures implemented by the Operators to comply with the interim order was assessed. This phase concluded with the Authority's acknowledgment on June 27, 2018.</w:t>
        <w:br/>
        <w:t>22. The company Iliad Italia and the consumer associations CODICI and Altroconsumo submitted requests to participate in the proceeding on February 19, 20183, March 9, 20184, and May 5, 20185, respectively; the aforementioned requests were accepted following the conclusion of the precautionary phase of the investigative proceeding, on May 3, 20186 for CODICI and Altroconsumo and on May 24, 20187 for Iliad Italia.</w:t>
        <w:br/>
        <w:t xml:space="preserve">23. The company Vodafone Italia submitted commitments pursuant to Article 14-ter of Law No. 287/90 on May 15, 2018. By decision of June 13, 20188, the Authority rejected these commitments, due to the existence of an interest in proceeding with the ascertainment of the possible infringement given the seriousness of the conduct in question, as well as being inadmissible under Article 6 of the Authority's Communication on the procedures for the application of Article 2. </w:t>
        <w:br/>
        <w:t>2 Cf. AGCM Resolution No. 27112 of April 11, 2018, case I820 – Monthly billing with tariff reconfiguration.</w:t>
        <w:br/>
        <w:t>3 Cf. doc. 5.</w:t>
        <w:br/>
        <w:t>4 Cf. doc. 13.</w:t>
        <w:br/>
        <w:t>5 Cf. doc. 104.</w:t>
        <w:br/>
        <w:t>6 Cf. docs. 97 and 98.</w:t>
        <w:br/>
        <w:t>7 Cf. doc. 116.</w:t>
        <w:br/>
        <w:t>8 Cf. docs. 141, 142, 143, 144, 145, 146, 147, and 148.</w:t>
      </w:r>
    </w:p>
    <w:p>
      <w:r>
        <w:rPr>
          <w:b/>
        </w:rPr>
        <w:t>[Pages 22–24]</w:t>
      </w:r>
    </w:p>
    <w:p>
      <w:r>
        <w:t>24 BULLETIN NO. 5 OF FEBRUARY 3, 2020</w:t>
        <w:br/>
        <w:t>14-ter of Law No. 287/90; on the merits, since they were clearly unsuitable to eliminate the anti-competitive aspects outlined in the resolution initiating the investigation.</w:t>
      </w:r>
    </w:p>
    <w:p>
      <w:r>
        <w:t>24. Both the Parties to the proceeding and the third-party participants were heard in a hearing9 and exercised the right of access to the documentation contained in the investigation file on several occasions10.</w:t>
      </w:r>
    </w:p>
    <w:p>
      <w:r>
        <w:t>25. The Parties, except for TIM, submitted briefs11, even after the precautionary phase, contesting the assessments contained in the decision confirming the precautionary measures and further developing arguments in support of their positions. Additionally, several requests for information were sent aimed at acquiring data regarding the market context and the tariff reconfigurations carried out by the Parties after 201612.</w:t>
      </w:r>
    </w:p>
    <w:p>
      <w:r>
        <w:t>26. On August 1, 2019, the Communication of Investigation Results13 (hereinafter also “CIR”) was notified to the parties.</w:t>
      </w:r>
    </w:p>
    <w:p>
      <w:r>
        <w:t>27. On the dates of August 5, 6, 8, and 9, 2019, requests for an extension of the procedural deadlines for closing the investigation phase and the date of the final hearing were received from the companies Vodafone, TIM, Wind Tre, and Fastweb14. These requests were rejected by the Authority with a communication dated September 6, 201915. On September 11 and 16, 2019, respectively, TIM and Wind Tre reiterated the request for postponement of the final hearing date and the procedural deadline for closing the investigation phase16. The Authority, on September 18, 2019, taking into account the objective impediment of one of the Parties to participate in the final Hearing, postponed the deadline for closing the procedural phase and the date for holding the final hearing to October 15, 201917, originally scheduled for October 9, 2019.</w:t>
      </w:r>
    </w:p>
    <w:p>
      <w:r>
        <w:t>28. On October 10, 2018, the final briefs of Assotelecomunicazioni – Asstel, Fastweb, Telecom Italia, Vodafone Italia, Wind Tre, and Iliad were received, to which the Parties had access on October 11, 201918.</w:t>
      </w:r>
    </w:p>
    <w:p>
      <w:r>
        <w:t>29. On October 15, 2019, the representatives of Assotelecomunicazioni – Asstel and the companies Fastweb, Telecom Italia, Vodafone Italia, Wind Tre, and Iliad were heard in the final hearing19.</w:t>
      </w:r>
    </w:p>
    <w:p>
      <w:r>
        <w:t xml:space="preserve">9 See doc. 210 (accessible version doc. 211) for Telecom, doc. 185 for Asstel, docs. 105 and 201 for Vodafone, doc. 205 for Wind Tre, docs. 137 and 200 for Fastweb, doc. 192 for Iliad, doc. 193 for CODICI, doc. 194 for Altroconsumo.  </w:t>
        <w:br/>
        <w:t xml:space="preserve">10 See docs. 31, 32, 33, 34, 62, 63, 64, 65, 82, 83, 84, 85, 111, 112, 122, 169, 171, 172, 173, 174, 175, 177, 180, 223, 237, 244, 245, 246, 247, 249, 250, 269, 272, 273, 274, 339, 342, 343, 344, 345, 346, 353, 354, 355, 356, 357, 400, 401, 402, 403, 404, and 405.  </w:t>
        <w:br/>
        <w:t xml:space="preserve">11 See doc. 189 for Asstel, doc. 225 (accessible version docs. 242 and 243) for Vodafone, doc. 227 (accessible version doc. 238) for Fastweb, doc. 229 (see also the accessible version doc. 232) for Wind Tre.  </w:t>
        <w:br/>
        <w:t xml:space="preserve">12 See docs. 107, 108, 109, 110, 206, 207, 208, 209, 220, 276, 277, 278, 279, 280, 290, and 293.  </w:t>
        <w:br/>
        <w:t xml:space="preserve">13 See docs. 314, 315, 316, 317, 318, 319, 320, and 321.  </w:t>
        <w:br/>
        <w:t xml:space="preserve">14 See docs. 325, 326, 332, 347, and 348.  </w:t>
        <w:br/>
        <w:t xml:space="preserve">15 See docs. 349, 350, 351, and 352.  </w:t>
        <w:br/>
        <w:t xml:space="preserve">16 See docs. 358 and 359.  </w:t>
        <w:br/>
        <w:t xml:space="preserve">17 See docs. 360, 361, 362, 363, 364, 365, 366, and 367.  </w:t>
        <w:br/>
        <w:t xml:space="preserve">18 See docs. 400, 401, 402, 403, 404, and 405.  </w:t>
        <w:br/>
        <w:t>19 See doc. 408.</w:t>
      </w:r>
    </w:p>
    <w:p>
      <w:r>
        <w:t>BULLETIN NO. 5 OF FEBRUARY 3, 2020 25</w:t>
        <w:br/>
        <w:t>IV. THE LEGAL AND ECONOMIC CONTEXT OF REFERENCE</w:t>
      </w:r>
    </w:p>
    <w:p>
      <w:r>
        <w:t>30. In order to facilitate the examination of the main investigation results that will be illustrated below, it is deemed useful to provide a brief summary of the main external and contextual events during which the contacts between the Parties took place, also within the framework of the trade association.</w:t>
      </w:r>
    </w:p>
    <w:p>
      <w:r>
        <w:t>31. To understand the market context in which the events subject to the investigation take place, it is necessary to recall that, starting from March 2015, the main fixed and mobile telephone operators (Fastweb, TIM, Vodafone, Wind Tre) modified the renewal period of fixed and mobile telephone offers from a monthly cadence to a four-week cadence (every 28 days, see Figure below), without providing for a reduction in the periodic fee of the offers subject to the aforementioned modification.</w:t>
      </w:r>
    </w:p>
    <w:p>
      <w:r>
        <w:t>Figure 1 – Description of the tariff reconfigurations of the Parties regarding the billing periodicity from monthly to four-weekly20</w:t>
      </w:r>
    </w:p>
    <w:p>
      <w:r>
        <w:t>32. This reconfiguration has been the subject of increasing media attention due to the protests raised by consumer associations that contested the practice as being aimed solely at masking an increase in telephone tariff prices in non-transparent ways in violation of customer-consumer rights.</w:t>
      </w:r>
    </w:p>
    <w:p>
      <w:r>
        <w:t>33. Consumer complaints regarding the reconfiguration of mobile offers led to the adoption, by this Authority, of sanctioning measures against TIM, Wind Tre, and Vodafone for violation of the provisions of the Consumer Code21.</w:t>
      </w:r>
    </w:p>
    <w:p>
      <w:r>
        <w:t xml:space="preserve">20 Elaborations on docs. ISP.877 and 408 (annex 9). The logo representing a mobile phone indicates mobile telephone offers, while the logo depicting a house and a stylized modem indicates fixed telephone offers. "Prospect" customers are new customers, while the term "customer base" or "CB" refers to the existing customers of the operators.  </w:t>
        <w:br/>
        <w:t>21 See proceedings PS10246, PS10247, and PS10497.</w:t>
      </w:r>
    </w:p>
    <w:p>
      <w:r>
        <w:t>26 BULLETIN NO. 5 OF FEBRUARY 3, 2020</w:t>
      </w:r>
    </w:p>
    <w:p>
      <w:r>
        <w:t>34. Regarding the reconfiguration of fixed telephone offers, the Authority for Communications Guarantees (hereinafter also “AGCOM”) intervened with Resolution 121/17/CONS of March 15, 2017, establishing that the time unit for the renewal and billing cadence of fixed network contracts should be the month, so that the user could have the correct perception of the price offered by each operator and the correct information on the cost indicated in the bill for the use of services. In the same Resolution, AGCOM provided that for mobile telephony, the renewal and billing cadence could not be less than 28 days.</w:t>
      </w:r>
    </w:p>
    <w:p>
      <w:r>
        <w:t>35. The Operators did not comply with AGCOM's prescriptions and, both individually and through Asstel, challenged the aforementioned Resolution before the administrative judge.</w:t>
      </w:r>
    </w:p>
    <w:p>
      <w:r>
        <w:t>36. The failure of the Operators to comply with the obligations imposed by the regulator led to direct intervention by the Government through the competent Minister (Minister of Economic Development).</w:t>
      </w:r>
    </w:p>
    <w:p>
      <w:r>
        <w:t>37. The dialogue between the Operators and the competent Ministry took place through the association Asstel, which managed, also through the publication of press releases, the communication on behalf of its members, supporting their freedom to autonomously determine the conditions of their service offers.</w:t>
      </w:r>
    </w:p>
    <w:p>
      <w:r>
        <w:t>38. On September 13, 2017, the Minister for Relations with Parliament, during the question time, stated that the Government was evaluating a specific legislative intervention regarding the modification of billing from monthly to 28 days implemented by telephone and television companies22.</w:t>
      </w:r>
    </w:p>
    <w:p>
      <w:r>
        <w:t>39. On September 26, 2017, AGCOM initiated separate sanctioning proceedings against Telecom, Vodafone, Wind Tre, and Fastweb due to non-compliance with the obligations introduced by Resolution 121/17/CONS; in fact, the deadlines granted by AGCOM to the Operators to comply with the new regulatory framework expired on June 23, 2017.</w:t>
      </w:r>
    </w:p>
    <w:p>
      <w:r>
        <w:t>40. On October 12, 2017, Honorable Morani submitted a bill to the Chamber introducing the obligation of billing services on a monthly basis and strengthening the supervisory powers of the competent Authorities, providing that they could impose higher penalties in case of violation of the monthly cadence obligation.</w:t>
      </w:r>
    </w:p>
    <w:p>
      <w:r>
        <w:t>41. On October 24, 2017, Honorable Esposito submitted an amendment to the Fiscal Decree (No. 148/2017) in the Budget Committee of the Senate, connected to the Budget Law, under conversion, which mirrored the bill already presented to the Chamber by Honorable Morani.</w:t>
      </w:r>
    </w:p>
    <w:p>
      <w:r>
        <w:t>42. On November 14, 2017, the aforementioned amendment (contained in a maxi-amendment) was approved by the Budget Committee of the Senate and became part of the final text of the Fiscal Decree on which the Government would place confidence in the Senate in the following days of November 15 and 16, 2017, until reaching final approval in the Chamber on November 30, 201723.</w:t>
      </w:r>
    </w:p>
    <w:p>
      <w:r>
        <w:t xml:space="preserve">43. With Article 19 quinquiesdecies of Decree-Law October 16, 2017, No. 148, converted, with modifications, by Law December 4, 2017, No. 172 – “Urgent provisions in financial matters and for urgent needs” the obligation was finally introduced for providers of electronic communication services to provide for contracts entered into a renewal cadence of offers and billing of services (whether fixed or mobile) on a monthly basis or multiples of 22 See doc. ISP.921.  </w:t>
        <w:br/>
        <w:t>23 See doc. 214.</w:t>
      </w:r>
    </w:p>
    <w:p>
      <w:r>
        <w:rPr>
          <w:b/>
        </w:rPr>
        <w:t>[Pages 25–27]</w:t>
      </w:r>
    </w:p>
    <w:p>
      <w:r>
        <w:t>BULLETIN NO. 5 OF FEBRUARY 3, 2020 27</w:t>
        <w:br/>
        <w:t>month. The legislator granted a period of one hundred and twenty days to comply with the aforementioned provision, delegating to AGCOM the verification of the correct information to consumer customers.</w:t>
      </w:r>
    </w:p>
    <w:p>
      <w:r>
        <w:t>44. To this end, AGCOM, on December 20, 2017, adopted the "Guidelines on the supervisory activity by the Authority for Guarantees in Communications following the entry into force of Article 19-quinquiesdecies of Decree-Law October 16, 2017, No. 148, converted with modifications by Law December 4, 2017, No. 172."</w:t>
      </w:r>
    </w:p>
    <w:p>
      <w:r>
        <w:t>45. Following the adoption of the aforementioned Guidelines, between the end of January and the beginning of February 2018, TIM, Vodafone, Fastweb, and Wind Tre, almost simultaneously, informed their customers that, in implementation of Law No. 172/2017, the billing of offers and services would be carried out on a monthly basis and no longer on a four-week basis, with the consequence that the total annual expenditure would be distributed over 12 installments instead of 13. All four Operators specified that this tariff reconfiguration, although resulting in an increase in the individual monthly fees (by +8.6%), would not change the annual price of the service offer. In particular, the following Table shows the impact of repricing on the total lines that had a billing cycle of 28 days.</w:t>
      </w:r>
    </w:p>
    <w:p>
      <w:r>
        <w:t>Table 1 – Scope of the repricing carried out by the Parties24</w:t>
        <w:br/>
        <w:t>Mobile lines with</w:t>
        <w:br/>
        <w:t>Mobile lines to which repricing would be</w:t>
        <w:br/>
        <w:t>billing on a 28-day basis as of</w:t>
        <w:br/>
        <w:t>applied</w:t>
        <w:br/>
        <w:t>January 31, 2018</w:t>
        <w:br/>
        <w:t>Fastweb 1,098,616 1,098,616 100%</w:t>
        <w:br/>
        <w:t>TIM 13,577,912 13,283,843 98%</w:t>
        <w:br/>
        <w:t>Vodafone 15,083,078 14,804,930 98%</w:t>
        <w:br/>
        <w:t>Wind Tre 14,249,124 12,256,797 86%</w:t>
        <w:br/>
        <w:t>Fixed lines with billing</w:t>
        <w:br/>
        <w:t>Fixed lines to which repricing would be</w:t>
        <w:br/>
        <w:t>on a 28-day basis as of</w:t>
        <w:br/>
        <w:t>applied</w:t>
        <w:br/>
        <w:t>January 31, 2018</w:t>
        <w:br/>
        <w:t>Fastweb 2,186,908 2,186,908 100%</w:t>
        <w:br/>
        <w:t>TIM 9,083,324 9,083,324 100%</w:t>
        <w:br/>
        <w:t>Vodafone 3,057,121 3,057,121 100%</w:t>
        <w:br/>
        <w:t>Wind Tre 2,514,951 2,491,567 99%</w:t>
      </w:r>
    </w:p>
    <w:p>
      <w:r>
        <w:t>46. In particular, in order to clarify the actions taken by each of the Parties, the following will describe, for each company, the method of compliance with Law No. 172/2017. It should be noted that the following indicates the tariff maneuvers for the four-week offers. In fact, some Operators continued to provide, to part of their clientele (especially regarding mobile), offers with a billing different from the four-week basis.</w:t>
      </w:r>
    </w:p>
    <w:p>
      <w:r>
        <w:t>24 See docs. 125, 126, 127, and 150.</w:t>
      </w:r>
    </w:p>
    <w:p>
      <w:r>
        <w:t>28 BULLETIN NO. 5 OF FEBRUARY 3, 2020</w:t>
        <w:br/>
        <w:t>47. With regard to Fastweb, all fixed and mobile lines with four-week billing migrated to monthly billing with a repricing of 8.6%25.</w:t>
      </w:r>
    </w:p>
    <w:p>
      <w:r>
        <w:t>48. Regarding TIM, for consumer customers of fixed and mobile telephony with four-week billing, the company communicated a generalized repricing of the offers. It should be noted that TIM stated in its final memorandum that it did not carry out repricing for fixed-line customers belonging to the categories of universal service users and the facilitated categories26. In this regard, it is necessary to clarify that TIM did indeed carry out a repricing in April 2018 on all lines with 28-day billing, as can be inferred from the information provided by TIM itself summarized in the previous Table. However, fixed-line customers belonging to the categories of universal service users and facilitated categories found themselves in a hybrid situation where, at the first transition from monthly to four-week billing, they maintained a monthly billing (in the sense of monthly price) but technically the bill was issued on a four-week basis. This occurred because the tariff for such categories is established by the Authority for Guarantees in Communications27. Such types of offers, therefore, are a special case due to the original maintenance of the monthly price even during the previous transition to 28 days. For mobile users, along with the repricing, the contents of each offer (minutes, SMS, data) of the same amount of the fee, i.e., 8.6%, were expanded.</w:t>
      </w:r>
    </w:p>
    <w:p>
      <w:r>
        <w:t>49. Regarding business customers, it should be noted that TIM had already established tariff variations related to different profiles before the approval of the regulation*28. Therefore, TIM decided to indicate the variation of the fee that occurred, for some offers (including offers already on a four-week basis), by indicating the amount of the new fees29 and, for other offers, by indicating a percentage increase30. A second communication then informed – for the only offers that were on a four-week basis – of the change in the billing period with the consequent repricing of 8.6%31. As indicated in an internal email to Fastweb, which had requested explanations from TIM32,</w:t>
      </w:r>
    </w:p>
    <w:p>
      <w:r>
        <w:t>25 See doc. 126.</w:t>
        <w:br/>
        <w:t>26 See doc. 383.</w:t>
        <w:br/>
        <w:t>27 See AGCOM Resolution 456/16/CONS titled "Economic conditions of services subject to universal service obligations" and AGCOM Resolution 112/16/CONS titled "Warning to Telecom Italia spa and initiation of proceedings pursuant to Articles 53, paragraph 2, and 59 of the Electronic Communications Code." As can be inferred from AGCOM Resolution 122/17/CONS titled "Warning to Telecom Italia spa to comply with Articles 70 and 71 of the Electronic Communications Code," the modification of the billing cycle from monthly to four-week initiated by TIM in the early months of 2017 did not change the monthly cost for offers reserved for Universal Service users or for the "Voice" offer and for subscriptions with economic concessions, although a billing on a four-week basis was technically prepared.</w:t>
      </w:r>
    </w:p>
    <w:p>
      <w:r>
        <w:t>* In this version, some data are omitted, as elements of confidentiality or secrecy of the information were deemed to exist.</w:t>
      </w:r>
    </w:p>
    <w:p>
      <w:r>
        <w:t>28 See docs. 43, 383, [omitted].</w:t>
        <w:br/>
        <w:t>29 For example, "The price of the subscription for your internet offer (on Fiber or ADSL technology), charged every 4 weeks or every month depending on the specific Commercial Profile/Offer subscribed, will increase by €5.00." (see doc. 383, annex 11); "GAMMA TIM PROFESSIONAL EU, TIM TUTTO EU, TIM SENZA PROBLEMI EU the base fee will have a net increase of €6.00, charged every 4 weeks or every month, depending on the active Offer on the contract of the line." (see doc. 383, annex 12).</w:t>
      </w:r>
    </w:p>
    <w:p>
      <w:r>
        <w:t>30 See doc. 383, annex 13.</w:t>
        <w:br/>
        <w:t>31 See doc. 383 (annexes 6, 7, 8, and 9).</w:t>
        <w:br/>
        <w:t>32 See doc. ISP.687 where it states "I spoke to TIM today who told me that the increase maneuver related to the transition to monthly billing from January 1, 2018 is currently dedicated only to business customers because for these they had a billing system such that this repricing was linked to the fact that for a significant portion of business customers the monthly billing was maintained."</w:t>
      </w:r>
    </w:p>
    <w:p>
      <w:r>
        <w:t>50. Vodafone applied the 8.6% repricing to the entire fixed customer base and to almost the entire mobile telephony customer base33 with four-week billing, excluding certain tariff profiles34.</w:t>
      </w:r>
    </w:p>
    <w:p>
      <w:r>
        <w:t>51. Wind Tre carried out the 8.6% repricing for almost all fixed and mobile customers with four-week billing35. For mobile customers, along with the repricing, the contents of each offer (minutes, SMS, data) were expanded by 10%36.</w:t>
      </w:r>
    </w:p>
    <w:p>
      <w:r>
        <w:t>V. THE MARKETS CONCERNED</w:t>
        <w:br/>
        <w:t>52. The services affected by the agreement subject to this investigation are fixed and mobile telephony services provided to end users, and therefore, it is believed that the following markets, all having a national geographical dimension, are affected by the conduct subject to this proceeding:</w:t>
        <w:br/>
        <w:t>i. retail market for mobile telecommunications services;</w:t>
        <w:br/>
        <w:t>ii. retail market for narrowband fixed network access services;</w:t>
        <w:br/>
        <w:t>iii. retail market for broadband and ultra-broadband fixed telecommunications services.</w:t>
      </w:r>
    </w:p>
    <w:p>
      <w:r>
        <w:t>V.1 Retail market for mobile telecommunications services</w:t>
        <w:br/>
        <w:t>53. The retail market for mobile telecommunications services, according to established national and community guidelines37, consists of a series of services that, through the use of wireless technologies, allow users to meet their communication needs in mobility through voice, data, and SMS services to their users. From a geographical point of view, this market has a national scope, due to the regulatory frameworks in Italy, as well as the national coverage of mobile telecommunications networks and their independence from other Member States of the European Union.</w:t>
      </w:r>
    </w:p>
    <w:p>
      <w:r>
        <w:t>54. Regarding the market size, it is estimated that in the period 2016-2018, the revenue for retail mobile telecommunications services amounted to 13.90 (year 2016), 13.72 (year 2017), and 12.84 (year 2018) billion euros38.</w:t>
      </w:r>
    </w:p>
    <w:p>
      <w:r>
        <w:t>55. In the retail market for mobile telecommunications services, both infrastructure operators (MNO) and virtual operators (full MVNO and ESP/partial MVNO39) operate. The shares of different customer segments are distinct from the consumer segment that has also maintained monthly billing for a significant portion of customers and therefore it was easier to revert to monthly billing.</w:t>
      </w:r>
    </w:p>
    <w:p>
      <w:r>
        <w:rPr>
          <w:b/>
        </w:rPr>
        <w:t>[Pages 28–30]</w:t>
      </w:r>
    </w:p>
    <w:p>
      <w:r>
        <w:t>30 BULLETIN NO. 5 OF FEBRUARY 3, 2020</w:t>
        <w:br/>
        <w:t>market share in volume for the period December 2016 – December 201840, based on the number of active SIMs, is shown in the following table.</w:t>
        <w:br/>
        <w:t>Table 2 – Market shares in volume (number of SIMs)41</w:t>
        <w:br/>
        <w:t>Dec-16 Jun-17 Dec-17 Jun-18 Dec-18</w:t>
        <w:br/>
        <w:t>Telecom Italia 30.2% 28.6% 28.6% 28.7% 27.9%</w:t>
        <w:br/>
        <w:t>Vodafone 29.4% 27.0% 26.7% 26.5% 25.7%</w:t>
        <w:br/>
        <w:t>Wind Tre 33.1% 35.8% 35.2% 34.5% 32.8%</w:t>
        <w:br/>
        <w:t>Fastweb 1.1% 1.5% 1.8% 2.0% 2.2%</w:t>
        <w:br/>
        <w:t>Total Parties 93.8% 92.9% 92.3% 91.7% 88.6%</w:t>
        <w:br/>
        <w:t>Iliad 3.4%</w:t>
        <w:br/>
        <w:t>Others 6.2% 7.1% 7.7% 8.3% 8.0%</w:t>
        <w:br/>
        <w:t>Total 100.0% 100.0% 100.0% 100.0% 100.0%</w:t>
        <w:br/>
        <w:t>56. As can be observed from the following figure (Figure 2), the prices of mobile telecommunications services generally show a downward trend. However, despite this downward trend, periods of price increases have been observed, the most significant of which were recorded in August and September 2017 (with monthly variations of +0.21% and +2.55% respectively) and in the period December 2017 - March 2018 (with a variation of the index in March 2018 compared to November 2017 of +2.07%42). In particular, in March 2018, the price index level (98.4) is the highest recorded since March 2016, showing a price increase of 1.27% year-on-year and 0.62% biennially.</w:t>
        <w:br/>
        <w:t>57. Furthermore, it is noted that after April 2018, there was a new cycle of tariff reductions with a variation in November 2019 of -11.22% compared to April 2018.</w:t>
        <w:br/>
        <w:t>58. In particular, observing the percentage changes on a yearly basis, it is noted that between January 2017 and January 2018 there was an increase in the price index contrary to the changes normally recorded in other years.</w:t>
        <w:br/>
        <w:t>Table 3 – Annual changes in the price index of mobile telecommunications services44</w:t>
        <w:br/>
        <w:t>Mobile telephony services index (COICOP 083020)</w:t>
        <w:br/>
        <w:t>Absolute value Percentage change</w:t>
        <w:br/>
        <w:t>Jan-16 100.9</w:t>
        <w:br/>
        <w:t>Jan-17 96.9 -3.96%</w:t>
        <w:br/>
        <w:t>Jan-18 97.9 1.03%</w:t>
        <w:br/>
        <w:t>Jan-19 92.6 -5.41%</w:t>
        <w:br/>
        <w:t>59. A similar trend in prices and, in particular, a price increase recorded in the period included in the last quarter of 2017 compared to the years 2015 and 2016 is also confirmed by observing the average revenue per user (ARPU) of the Operators, with increases reaching up to 16% in the fourth quarter of 2017 compared to the first quarter of 201545. This data is also confirmed by TIM, which states that “from the available data on other MNOs overall, the price increase documented by the ARPU is even greater in the second quarter of 2017 (compared to 2015). Already in the first quarter of 2017, the increase compared to the past is comparable to the data at the end of 2017, as can also be seen from the data of the main operators”46.</w:t>
        <w:br/>
        <w:t>V.2 Retail markets for narrowband fixed network access services and retail telecommunications services on broadband and ultrabroadband fixed networks</w:t>
        <w:br/>
        <w:t>60. The market for retail telecommunications services on narrowband fixed networks includes services that primarily allow users to meet their voice call needs (to national and international destinations), as well as to have narrowband data connectivity47. The market for retail telecommunications services on broadband and ultrabroadband fixed networks is defined from a product perspective as the set of voice and data services on fixed networks that are broadband and ultrabroadband48. From a geographical definition perspective, it is believed that these markets have a national scope, due to the regulatory frameworks as well as the national extent of mobile telecommunications networks and their independence from other Member States of the Union.</w:t>
        <w:br/>
        <w:t>61. Regarding the size of the fixed telecommunications markets, it is estimated that in the period 2016-2018, the revenue for retail mobile telecommunications services amounted to 12.33 (year 2016), 13.00 (year 2017), and 12.89 (year 2018) billion euros49.</w:t>
        <w:br/>
        <w:t>62. The market shares in volume, estimated based on total accesses, broadband and ultrabroadband, and narrowband50, for the period December 2016 – December 2018 are shown in the following tables.</w:t>
      </w:r>
    </w:p>
    <w:p>
      <w:r>
        <w:rPr>
          <w:b/>
        </w:rPr>
        <w:t>[Pages 31–33]</w:t>
      </w:r>
    </w:p>
    <w:p>
      <w:r>
        <w:t>BULLETIN NO. 5 OF FEBRUARY 3, 2020 33</w:t>
        <w:br/>
        <w:t>Table 4 – Total number of fixed lines (narrowband and broadband) and market shares by volume51</w:t>
        <w:br/>
        <w:t>Number of accesses (millions of lines) Percentage share of accesses</w:t>
        <w:br/>
        <w:t>dec-16 jun-17 dec-17 jun-18 dec-18 dec-16 jun-17 dec-17 jun-18 dec-18</w:t>
        <w:br/>
        <w:t>Telecom Italia 11.3 11.2 11.0 10.6 10.2 55.7% 54.5% 53.4% 52.0% 50.2%</w:t>
        <w:br/>
        <w:t>Wind Tre 2.7 2.7 2.7 2.7 2.7 13.1% 13.1% 12.8% 13.1% 13.2%</w:t>
        <w:br/>
        <w:t>Fastweb 2.4 2.5 2.6 2.6 2.6 11.9% 12.2% 12.7% 12.5% 13.0%</w:t>
        <w:br/>
        <w:t>Vodafone 2.3 2.4 2.6 2.7 2.8 11.4% 11.9% 12.4% 13.3% 14.0%</w:t>
        <w:br/>
        <w:t>Total Parties 18.7 18.8 18.9 18.6 18.3 92.2% 91.7% 91.2% 90.9% 90.4%</w:t>
        <w:br/>
        <w:t>Others 1.6 1.7 1.8 1.9 1.9 7.8% 8.3% 8.8% 9.1% 9.6%</w:t>
        <w:br/>
        <w:t>Total 20.3 20.5 20.7 20.5 20.2 100.0% 100.0% 100.0% 100.0% 100.0%</w:t>
        <w:br/>
        <w:t>Table 5 – Number of fixed broadband and ultra-broadband lines and market shares52</w:t>
        <w:br/>
        <w:t>Number of accesses (millions of lines) Percentage share of accesses</w:t>
        <w:br/>
        <w:t>dec-16 jun-17 dec-17 jun-18 dec-18 dec-16 jun-17 dec-17 jun-18 dec-18</w:t>
        <w:br/>
        <w:t>Telecom Italia 7.1 7.4 7.6 7.5 7.5 45.9% 45.5% 45.6% 44.7% 43.9%</w:t>
        <w:br/>
        <w:t>Wind Tre 2.3 2.4 2.4 2.4 2.5 14.5% 15.0% 14.5% 14.4% 14.4%</w:t>
        <w:br/>
        <w:t>Fastweb 2.4 2.4 2.5 2.5 2.5 15.1% 14.9% 14.8% 14.8% 14.9%</w:t>
        <w:br/>
        <w:t>Vodafone 2.1 2.3 2.4 2.6 2.7 13.6% 13.9% 14.5% 15.2% 15.8%</w:t>
        <w:br/>
        <w:t>Total Parties 13.9 14.4 14.8 15.0 15.2 89.2% 89.3% 89.3% 89.2% 88.9%</w:t>
        <w:br/>
        <w:t>Others 1.7 1.7 1.8 1.8 1.9 10.8% 10.7% 10.7% 10.8% 11.1%</w:t>
        <w:br/>
        <w:t>Total 15.6 16.1 16.6 16.9 17.1 100.0% 100.0% 100.0% 100.0% 100.0%</w:t>
        <w:br/>
        <w:t>51 Cf. Elaborations on AGCOM data, Communications Observatory. Cf. doc. 291 (attachments 2-19).</w:t>
        <w:br/>
        <w:t>52 Cf. Elaborations on AGCOM data, Communications Observatory. Cf. doc. 291 (attachments 2-19).</w:t>
      </w:r>
    </w:p>
    <w:p>
      <w:r>
        <w:t>34 BULLETIN NO. 5 OF FEBRUARY 3, 2020</w:t>
        <w:br/>
        <w:t>Table 6 – Number of narrowband lines and market shares53</w:t>
        <w:br/>
        <w:t>Number of accesses (millions of lines) Percentage share of accesses</w:t>
        <w:br/>
        <w:t>dec-16 jun-17 dec-17 jun-18 dec-18 dec-16 jun-17 dec-17 jun-18 dec-18</w:t>
        <w:br/>
        <w:t>Telecom Italia 4.1 3.8 3.5 3.1 2.7 88.1% 87.9% 84.7% 85.9% 84.7%</w:t>
        <w:br/>
        <w:t>Wind Tre 0.4 0.3 0.3 0.2 0.2 8.4% 6.3% 6.3% 6.8% 7.1%</w:t>
        <w:br/>
        <w:t>Fastweb 0.1 0.1 0.2 0.1 0.1 1.3% 2.1% 4.1% 1.7% 2.4%</w:t>
        <w:br/>
        <w:t>Vodafone 0.2 0.2 0.2 0.2 0.1 4.3% 4.4% 4.0% 4.5% 4.5%</w:t>
        <w:br/>
        <w:t>Total Parties 4.7 4.3 4.0 3.5 3.1 100.0% 98.6% 97.3% 97.0% 98.4%</w:t>
        <w:br/>
        <w:t>Others - 0.01 0.04 0.04 0.05 0.0% 0.2% 1.0% 1.1% 1.5%</w:t>
        <w:br/>
        <w:t>Total 4.7 4.4 4.1 3.6 3.2 100% 99% 98% 98% 100%</w:t>
        <w:br/>
        <w:t>63. As can be observed from the previous tables, TIM, Wind Tre, Vodafone, and Fastweb represent the main operators by number of lines, with a volume share consistently above approximately 89% both considering accesses to the narrowband telephone network and referring to those in broadband and ultra-broadband. Regarding the trend of market prices, unlike mobile telecommunications services, an increasing trend of the price index for fixed communication services has been observed over the last two years, amounting to +6.7% in May 2019 compared to January 2016 (see Figure below)54.</w:t>
        <w:br/>
        <w:t>53 Cf. Elaborations on AGCOM data, Communications Observatory. Cf. doc. 291 (attachments 2-19).</w:t>
        <w:br/>
        <w:t>54 This trend is also evident with respect to the average revenue per user (ARPU) values of the operators. Cf. doc. 45, Table No. 1.</w:t>
      </w:r>
    </w:p>
    <w:p>
      <w:r>
        <w:t>BULLETIN NO. 5 OF FEBRUARY 3, 2020 35</w:t>
        <w:br/>
        <w:t>Figure 3 – Trend of the price index for fixed communication services55</w:t>
        <w:br/>
        <w:t>64. A different trend is observed when considering the price index for internet connection services, with a generally stable trend over time but with a substantial reduction in the price level starting from October 2018 (see Table and Figure below).</w:t>
        <w:br/>
        <w:t>Table 7 – Annual variations of the price index for fixed telecommunications services and internet connection services56</w:t>
        <w:br/>
        <w:t>Fixed telephony services index Internet connection and other services index</w:t>
        <w:br/>
        <w:t>(COICOP 083010) (COICOP 083030)</w:t>
        <w:br/>
        <w:t>Absolute value Variation % Absolute value Variation %</w:t>
        <w:br/>
        <w:t>jan-16 100.1 100.1</w:t>
        <w:br/>
        <w:t>jan-17 98.5 -1.60% 100.6 0.50%</w:t>
        <w:br/>
        <w:t>jan-18 101.9 3.45% 94.7 -5.86%</w:t>
        <w:br/>
        <w:t>jan-19 105.2 3.24% 91.7 -3.17%</w:t>
        <w:br/>
        <w:t>55 Elaborations on Istat data (Consumer price index, COICOP code 083010). Cf. doc. 291 (attachment 1).</w:t>
        <w:br/>
        <w:t>56 Elaborations on Istat data (Consumer price index, COICOP codes 083010 and 083030). Cf. doc. 291 (attachment 1).</w:t>
      </w:r>
    </w:p>
    <w:p>
      <w:r>
        <w:rPr>
          <w:b/>
        </w:rPr>
        <w:t>[Pages 34–36]</w:t>
      </w:r>
    </w:p>
    <w:p>
      <w:r>
        <w:t>36 BULLETIN NO. 5 OF FEBRUARY 3, 2020</w:t>
        <w:br/>
        <w:t>Figure 4 – Trend of the price index for Internet connection services57</w:t>
        <w:br/>
        <w:t>VI. INVESTIGATIVE FINDINGS</w:t>
        <w:br/>
        <w:t>VI.1 The investigative findings related to the agreement</w:t>
        <w:br/>
        <w:t>65. The evidence gathered will be analyzed in the following sections.</w:t>
        <w:br/>
        <w:t>VI.1.1 The economic and legal context in which the coordination on repricing developed</w:t>
        <w:br/>
        <w:t>66. The documentation acquired evidences that the telephone Operators involved in the proceeding had various contacts among themselves, starting at least from the approval of AGCOM Resolution 121/17/CONS, which took place on March 15, 2017. In fact, there is evidence of a first conference call among the Operators and Asstel on the same day as the approval of the aforementioned Resolution, when the content of the Resolution was still not officially known. A representative of Fastweb wrote: “[…] from what I understand, a resolution could be adopted that limits the ability of fixed network operators to change the billing periodicity compared to the solar month because it would be misleading to consumers and therefore even those who have already done so should revert. There is also the possibility that they act only on measures to increase transparency, but they seemed more oriented towards the former… we will see. It seems to me that they want to give a sense to their existence and therefore show that they have done something in response to criticisms regarding tariff increases and then even if they lose at the TAR, they are not the bad guys and can always say that they tried but the judges were the bad ones. So I fear it will be a very “populist” decision”58.</w:t>
        <w:br/>
        <w:t>57 Elaborations on Istat data (Consumer price index, COICOP code 083030). See doc. 291 (annex 1).</w:t>
        <w:br/>
        <w:t>58 See doc. ISP.722.</w:t>
      </w:r>
    </w:p>
    <w:p>
      <w:r>
        <w:t>BULLETIN NO. 5 OF FEBRUARY 3, 2020 37</w:t>
        <w:br/>
        <w:t>67. In the document acquired from Vodafone, consisting of a series of emails exchanged on June 1, 2017, among the regulatory function managers of the four Operators, aimed at sharing the content of a letter to be sent to AGCOM following an informal meeting held at the aforementioned Authority, all Operators maintain the position of not complying with the obligations of the challenged Resolution and attempt to propose an alternative solution59. The content of the email indicates that, although Resolution 121/17/CONS concerned billing periodicity (as can be inferred from the cited document60), the Operators do not want to comply with the obligations for monthly billing, as “the solution illustrated can only include an interpretation of the resolution that allows for a billing frequency for durations that are equal to or less than greater than a month”61. Therefore, instead of providing for monthly (or multiples) billing for fixed telephony, the telephone Operators involved in the proceeding propose a solution of mere transparency of the rates on the invoice, indicating the amount for 30 days in the section of the website dedicated to customer information. A conference call is also proposed in the afternoon to discuss the text and finalize it for sending. In general, various pieces of evidence demonstrate that the Operators maintained constant contacts through email exchanges and the organization of conference calls62.</w:t>
        <w:br/>
        <w:t>68. Contacts among the Operators then became almost daily from the news of a possible legislative intervention following the failure of the Operators to comply with the obligations imposed by the regulator (September 2017). From that moment on, the activity of the regulatory function managers of Telecom Italia, Wind Tre, Vodafone, and Fastweb became predominant in Asstel, who coordinated lobbying activities with the Government, media communication, television appearances, and public demonstrations in order to maintain a united front and not to release contradictory statements. Alongside this activity, the exchange of information among these Operators regarding commercial intentions in the event of approval of the regulation emerged63.</w:t>
        <w:br/>
        <w:t>69. Within the dense exchange of communications concerning the so-called “position paper” – that is, a document from which the official position of the Association and, therefore, of the Operators should emerge, claiming the freedom of economic initiative of telephone operators in the face of excessively invasive intervention by AGCOM and the Government – particular attention is warranted for a statement from a representative of Fastweb addressed, on September 5, 2017, to the representatives of Asstel and the other telephone Operators involved in the proceeding, stating: “Hello everyone, I am sending back the file with minimal highlighted changes. I think it would be useful to add a fundamental consideration that does not emerge from the paper. The controversies regarding the 28 days, as we all know, are not so much related to the transition of billing from month to 28 days as to the price increases that this has entailed. In summary, both at the political level and at the level of consumer associations, what is being attacked/challenged is the 8.6% increase that occurred and not so much the different billing periodicity. This is being attacked because it was the tool with which the operators communicated the price increases and it is contested that this approach aimed to make the increase less evident to end customers. Therefore, we believe there is the idea that by applying the AGCOM resolution, the increase would be canceled, whereas in reality this is not the case. AGCOM itself in resolution 121/17/CONS stated that the increase is legitimate and therefore the operators are not required to revert the increases but only to represent the prices on a monthly basis (and bill them at least on a monthly basis). Therefore, for example, a value of 25 euros/4 weeks should become 26.8 euros on a monthly/30-day basis. I think it is therefore important to add this aspect in the paper, that the increases would not be canceled in any case as they are lawful”64.</w:t>
        <w:br/>
        <w:t>70. And indeed, in the draft of the position paper under discussion, it is proposed to add the following paragraph: “It is also noted that the possibility for operators to proceed with price increases has not been questioned by the competent Authorities, so the different billing periodicity does not affect the price changes made by the operators in the period prior to the deadline for compliance with resolution 121/17/CONS.”65.</w:t>
        <w:br/>
        <w:t>71. In the email exchanges during this period, a united front of the operators Fastweb, Telecom Italia, Vodafone, and Wind Tre on non-compliance with the current AGCOM resolution imposing monthly billing, and on the consequent maintenance of 28-day billing emerges. This intention is also clear in another internal document (dated September 22, 2017) found at Fastweb's headquarters, which states: “On the 4WB issue, AGCOM is putting a lot of pressure on all operators to ensure that at least one operator reverts. We therefore do not have certainty that everyone will hold their ground and that there will be an announcement in the coming days regarding the transition to monthly billing by others, which would burn us and put us in an even more uncomfortable situation of having to revert anyway but without the benefits of being the first (particularly WIND-Tre). Until today, all operators (TIM, WIND-Tre, Vodafone) have declared their intention to hold their ground and await the outcome of the appeal to the TAR (also made by ASSTEL) with a hearing on February 7, 2018, and therefore a final decision presumably by March-April 2018. However, pressure is mounting at the political level and in social communication, and many consumer associations are taking specific actions against the operators to demand a return to monthly billing and the reimbursement of increases. We can foresee 3 possible scenarios: 1) scenario 1: All operators that have switched to 4WB for fixed and mobile continue to hold firm awaiting the TAR's judgment on AGCOM's power to intervene on the issue. In this case, as mentioned, the decision will not be known before Q2 2018. In the meantime, there is a risk of legislative intervention imposing monthly billing (we certainly imagine this for fixed but probably also for mobile); 2) scenario 2: due to AGCOM/institutional pressures, an operator other than FW (probably WIND-TRE) breaks the front and announces a return to monthly billing at least for fixed. In this case, we lose as FW every benefit related to being the first operator to “break the front” and FW will then probably have to comply and switch to a monthly basis anyway at least for fixed (and therefore bear the related costs without the benefits of being first”64.</w:t>
        <w:br/>
        <w:t>65 See doc. ISP.871.</w:t>
      </w:r>
    </w:p>
    <w:p>
      <w:r>
        <w:rPr>
          <w:b/>
        </w:rPr>
        <w:t>[Pages 37–39]</w:t>
      </w:r>
    </w:p>
    <w:p>
      <w:r>
        <w:t>BULLETIN NO. 5 OF FEBRUARY 3, 2020 39</w:t>
        <w:br/>
        <w:t>mover); scenario 3: FW breaks the front and positions itself as the reference operator on the issue of transparency both on fixed and mobile (on mobile, since it is currently not mandatory, the message would be even stronger). Other operators will likely be forced to follow us at least on fixed, although not immediately. We remove from the table a topic on which Iliad would have an easy game to gain free publicity. Even at the institutional level, such a move would create strong credit from AGCOM (we break the front and, probably, other operators would follow us) and from the government, eliminating the problem of having to intervene with legislation on the matter”66 (emphasis added).</w:t>
      </w:r>
    </w:p>
    <w:p>
      <w:r>
        <w:t>VI.1.2 The evidence regarding commercial coordination among the Operators and the scope in which it is expressed</w:t>
      </w:r>
    </w:p>
    <w:p>
      <w:r>
        <w:t>72. Further evidence shows the presence of ongoing discussions among the Parties, which have consistently conveyed the message that the reallocation of annual expenditure over 12 bills instead of 13 was an immediate and direct consequence of compliance with the new legal obligation to which all operators would have to adapt. In preparing a draft response for analysts, it was written within Vodafone: “Hi the debate is ongoing and there is a concrete risk that a new law forcing to go back to 30 days billing is issued. We could expect to be asked to start invoicing 30 days for future billing cycles. Timing and implementation plans are not clear. We are defining a common industry position with Telecom Italia and the other operators”67. Similarly, at Telecom Italia, in preparing a response to the Q&amp;A for the presentation of results as of September 30, 2017, in response to the question “1.74. Following recent Parliament’s proposal to force fixed-line and pay-TV operators to avoid 28-day billing, are you planning to increase prices in different ways?”, it was proposed to respond: “TIM pushes for a system solution through an agreement between Asstel and AGCOM that takes into account the overall interests of the industry”68 (emphasis added).</w:t>
      </w:r>
    </w:p>
    <w:p>
      <w:r>
        <w:t>73. Further elements confirming the presence of discussions among the Parties emerge from an email from Asstel summarizing to the President and other board members the content of the call that took place among the telephone operators involved in the proceeding on October 30, 2017, regarding the 28 days issue, during which the adoption of a common line of damage minimization was agreed, which includes, among other things, the maintenance of already implemented increases: “This morning we had a call with the institutional representatives of the companies concerned about the 28 days issue (TIM, VF, W3, FW), to take stock following yesterday's statements by the CEO of Vodafone. The associative line already emerged during last week's meeting at the MISE was reconfirmed, essentially focused on: 1) Conviction of the legitimacy of the operators' behavior. 2) Awareness of the entirely political relevance of the issue, which practically makes a legislative intervention to restore 30-day/monthly billing certain. In light of the above, the adoption of a damage minimization line, through the request to the Government/legislator for:</w:t>
        <w:br/>
        <w:t>• No retroactivity of the restoration of 30 days/month,</w:t>
        <w:br/>
        <w:t>66 Cf. doc. ISP.582.</w:t>
        <w:br/>
        <w:t>67 Cf. doc. ISP.399.</w:t>
        <w:br/>
        <w:t>68 Cf. doc. ISP.250.</w:t>
      </w:r>
    </w:p>
    <w:p>
      <w:r>
        <w:t>40 BULLETIN NO. 5 OF FEBRUARY 3, 2020</w:t>
        <w:br/>
        <w:t>• Maintenance of already implemented increases, avoiding triggering the procedures under Art. 70 CCE,</w:t>
        <w:br/>
        <w:t>• Adequate time for compliance/grace period for the Operators”69.</w:t>
      </w:r>
    </w:p>
    <w:p>
      <w:r>
        <w:t>74. In this regard, it should be noted that on this issue the discussion is limited to representatives of Fastweb, TIM, Vodafone, and Wind Tre, while other operators associated with Asstel are no longer involved, nor have subsequent emails updating the situation been found or produced for the benefit of the other associated companies70.</w:t>
      </w:r>
    </w:p>
    <w:p>
      <w:r>
        <w:t>75. Regarding the scope in which the conduct of the companies Fastweb, TIM, Vodafone, and Wind Tre is expressed, a message sent by Vodafone in response to the draft press release circulated by Asstel to the Operators in view of a meeting reserved for them is noted: “I recommend great attention to antitrust profiles because an initiative as described below, especially in the second line, risks producing further problems. It must be clear and stated that each company independently decides its pricing policies without EVER AND FOR ANY REASON making them the subject of any type of joint analysis. As has always been the case. Sorry for the clarification but I believe it is essential”71. The representative of Vodafone continues by replying to the email sent shortly before by himself with another message: “The formal verification of the below and its correct and consequent setting is deemed necessary to decide whether, when, and how to address this delicate issue in Asstel precisely to avoid any action that is not in full compliance with the current antitrust legislation,” to which the representative of Telecom responds: “Absolutely. Asstel addresses the issues of interest to the Industry, but individual companies decide their commercial and marketing policies in total autonomy. The issues we are discussing in Asstel concern compliance with regulations and principles valid for all actors, as well as initiatives to clarify some interpretative aspects that the sector needs regarding recent legislative measures,” as well as the representative of Wind Tre: “The regulatory activity of ASSTEL has always been based on these principles, as [omitted – name of Asstel representative] recalls well”72.</w:t>
      </w:r>
    </w:p>
    <w:p>
      <w:r>
        <w:t>76. Despite such references, as will be seen later, coordination among the Operators involved in the proceeding continues and, therefore, the above messages appear to configure more of an excusatio non petita, the result of a full awareness of having already crossed the boundaries of legitimate lobbying activity. In fact, the attention is actually focused only on external communication and not on the issues of discussion among Operators73. In this perspective, the message of November 15, 2017, found within Vodafone, which provides indications for the circulation of information: “Please let’s write little as requested this morning […]”74.</w:t>
      </w:r>
    </w:p>
    <w:p>
      <w:r>
        <w:t>77. From the documentation acquired at Telecom Italia, it was also possible to find confirmation of the internal conference call reported by the Messaggero on October 24, 2017 (mentioned in the resolution initiating the investigation) and the fact that there was an intention to leak the decisions made in that meeting to launch a message to the market75. The collected evidence shows the extreme attention paid to the public statements of competitors both in Vodafone76 and in Telecom Italia77.</w:t>
      </w:r>
    </w:p>
    <w:p>
      <w:r>
        <w:t>78. In this regard, in an internal email exchange at Telecom Italia that took place on October 30, 2017, that is, even before the law was approved, discussions were held about the statements to be released for an article in the Corriere della Sera, and in doing so, the positions of the main competitors (Vodafone and Wind Tre) were accounted for, also in relation to intentions concerning repricing. In particular, the CEO of Telecom writes: “Our understanding is that Vodafone will reprice, so the annual price will not change for Vodafone customers. I think it is important to help the journalists understand that we are talking about two different things: 28 vs 30 days and price increase. AGCOM is not and can’t complain on reasonable price increase, it’s basic right by law to a private company, however, AGCOM complained and has the right to complain if in his opinion the price increase was not transparent, as they claim with respect to the 28 days. Although TIM was the last one to join the industry in moving to 28 days, we were the first one that took the lead in willing to listen to the consumers and government complaints, and although we had all legal right to move to 28, which was fine with clear communication- we took the lead to encourage Asstel to re-evaluate its position. I will doubt Vodafone saying what they said, if TIM did not take the lead in challenging Asstel. Assuming Asstel will reach an agreement on the rollback, the price change will be evaluated product by product (as opposed to the 28 days which was an overall price increase on all the portfolio), and this will be done only after first we will roll back (again, assuming Asstel decision)”78 (emphasis added).</w:t>
      </w:r>
    </w:p>
    <w:p>
      <w:r>
        <w:t>79. At Fastweb, a document was also found that demonstrates that the telephone operators involved in the proceeding exchanged sensitive information about repricing policies and the timing of adapting IT systems to the new billing. In an internal email exchange at Fastweb on November 14, 2017, the following summary of competitors' positions is found: “Hi everyone. While waiting to update you at the end of the day with the proposed Plan B for 31/3/2018, here is what I understand about the situation of the other operators on the specific issue: TIM: it has not yet been decided whether to return to 30-day billing or monthly or bimonthly billing. Depending on the choice, the project timelines (excluding migration) vary between 3 and 6 months. 3 months in the case of 30-day billing as in this scenario they do not plan to review prices as usual in these cases), assuming a forthcoming intervention by the Government. Dona (Consumer Union) also intervened, stating that they are considering a complaint to the antitrust for cartel” (cf. ISP.921).</w:t>
      </w:r>
    </w:p>
    <w:p>
      <w:r>
        <w:rPr>
          <w:b/>
        </w:rPr>
        <w:t>[Pages 40–42]</w:t>
      </w:r>
    </w:p>
    <w:p>
      <w:r>
        <w:t>42 BULLETIN NO. 5 OF FEBRUARY 3, 2020</w:t>
        <w:br/>
        <w:t>of the offer (which would therefore remain valued at the current price applied over 28 days). Customers will migrate to the first billing cycle available after the release.</w:t>
        <w:br/>
        <w:t>H3G: they do not have to do anything as they were only now planning the 28-day billing for mobile customers: due to the new developments, they have halted activities. Therefore, no price review is planned. It should be noted that H3G had long introduced voice and data traffic baskets included with a weekly expiration (but the offer price always on a calendar month).</w:t>
        <w:br/>
        <w:t>WIND: as of 1/1/2018, the current 5 billing cycles (for fixed and mobile) will become 4 on a calendar month basis. No price review is planned (which will remain the same as the 28-day offers). Customers will migrate to the first billing cycle available after the release. Only consumer customers will be adjusted (no enterprise and large accounts). Instead, the fees for non-primary goods (modems, phones, etc.) will remain at 28-day rates, also because, having implemented the assignment of credit to third parties, they would not have been able to apply the change.</w:t>
        <w:br/>
        <w:t>VODAFONE: analyses are underway for the solution to be implemented for fixed customers, while no decision has yet been made (expected by the end of the month) for mobile customers. A review of the current prices of the 28-day offers will be planned. The expectation is that the project will be able to be released by the end of March (with migrations starting from the first available billing cycle)”79 (emphasis added).</w:t>
        <w:br/>
        <w:t>80. It should be noted that the information “they do not plan to review prices”80 is understood as valuing “at the current price applied over 28 days”81, that is to say as a re-proportioning (repricing) of the annual expenditure over twelve months, as can be inferred both from the clarification in parentheses regarding TIM and Wind Tre (Wind brand), and from documents external to Fastweb such as those found at TIM, Vodafone, and Wind Tre82. Moreover, regarding the H3G brand of Wind Tre, it is clearly evident from Fastweb's email that “they do not have to do anything,” and indeed no clarification is made regarding the phrase related to the price review, as occurs instead in other cases.</w:t>
        <w:br/>
        <w:t>81. Therefore, not only had information been exchanged regarding repricing between Fastweb, TIM, and Wind Tre, but it was also circulated that Vodafone would undertake further additional tariff maneuvers, maneuvers confirmed by the analysis of documents from Vodafone itself that will be analyzed later.</w:t>
        <w:br/>
        <w:t>82. The nature and specificity of the information concerning the competitors' positions on billing, repricing, and timing exclude the possibility that they were obtained from sources external to the companies. It is specified that at this stage it was impossible to keep separate the technical aspects, as defined by the Parties, of adjusting IT systems from those related to repricing due to the fact that, as can be inferred from the internal documentation of the individual companies, each different repricing scenario evaluated required different times and technical difficulties.</w:t>
        <w:br/>
        <w:t>83. In the same document mentioned above, there is also a message from the CEO of Fastweb who, in response to the previous communication, summarizes the feedback received directly from competitors: “Hi, this is my feedback. In summary, concerns for everyone but much less desperate than us, both because they are confident that prepaid mobile is excluded and because their systems are more agile than ours. Wind: [omitted] (CTO) can manage post-paid in March but absolutely not on prepaid. [omitted] External Relations: says that one interpretation (nothing in writing) is that we are talking about traffic generated after the date and therefore at least you must have the billing cycles to migrate cb (two months) and therefore it would arrive in May. The second interpretation would be to communicate before the deadline that billing will switch [note: will switch] to monthly and there will be a settlement as soon as the billing systems allow it (for example, a large bill in September). [AD Vodafone]: I didn’t hear him technically worried (maybe they also have problems with prepaid and hope to manage) but he agrees to try at least to reduce the penalties and bring them back to reason. TIM: was at [omitted]83. However, in response to [omitted] if the mobile (and prepaid) are exempt, the only ones to lose out are us and SKY. The two interpretations of [omitted] would at least be two workarounds that limit the impact. Let’s evaluate them (I don’t know if any others come to mind. Now I will also say this in Asstel at 1 PM”84 (emphasis added). The indication of the names of the representatives of the competitors from whom the information was obtained confirms the direct nature of the contacts as well as the involvement of the top management of the companies.</w:t>
        <w:br/>
        <w:t>84. Starting from November 14, 2017, following the contacts reported in the document above, the coordination regarding the maintenance of the 8.6% increase appears to be reached as it is taken for granted in subsequent documents and communications, and discussions are held regarding any further increases beyond those resulting from the transition to monthly billing from four-week billing. In particular, in the budget of Wind Tre presented to the Chairman of the Board of Directors on November 20, 201785 (Chairman’s meeting), the aforementioned coordination is placed as a hypothesis at the basis of the industrial plan. According to what emerges from this document, in fact, the budget of Wind Tre incorporates a “significant market challenge” (“budget assumptions embed an important ‘market challenge’”) consisting of a substantial reduction in pricing aggressiveness/erosion of average revenue per user (ARPU), in the absence of a price war in transitional offers (“no price war on phase-in offers”), in the reduction of customer churn-migration rates (“slow-down of market churn dynamics”) compared to the past (2017). The business plan is therefore based on a hypothesis of substantial reduction of competition among mobile and fixed Operators (see Figure below).</w:t>
        <w:br/>
        <w:t>83 In a subsequent email it is stated: “For Tim they are worried and pushing for an amendment on timing/penalties,” doc. ISP.581.</w:t>
        <w:br/>
        <w:t>84 Cf. doc. ISP.526.</w:t>
        <w:br/>
        <w:t>85 Cf. docs. 292 (annex 2) and 299 (annex 1).</w:t>
      </w:r>
    </w:p>
    <w:p>
      <w:r>
        <w:t>44 BULLETIN NO. 5 OF FEBRUARY 3, 2020</w:t>
        <w:br/>
        <w:t>Figure 5 – Assumptions of Wind Tre's business plan86</w:t>
        <w:br/>
        <w:t>85. In an internal communication from Telecom Italia dated December 7, 2017, the following is stated: “It has been learned that Vodafone intends to operate a repricing simultaneously with the restoration of 30-day billing; in this regard, the Legal and Regulatory Functions have recommended caution and to avoid the simultaneity of the price change (the right of withdrawal of customers must be guaranteed in the event of changes to the economic conditions of the offer)”87. TIM is also therefore aware of the circumstance that Vodafone is studying an additional tariff maneuver beyond mere repricing.</w:t>
        <w:br/>
        <w:t>86. This intention is confirmed by documents found at Vodafone itself; in an email from the CEO dated December 29, 2017, the following considerations are found: “I am sending you my comments on repricing:</w:t>
        <w:br/>
        <w:t>- very concerned about percentage increases that can trigger heavy reactions from associations, institutions, and the press, especially on mobile</w:t>
        <w:br/>
        <w:t>- some price points above [omitted] euros seem to me to be predatory pricing and I would be very, very careful</w:t>
        <w:br/>
        <w:t>- we need to understand how difficult it will be to manage this maneuver towards a TIM that will instead say that they are not increasing prices. We will find ourselves doubly exposed</w:t>
        <w:br/>
        <w:t>- [omitted] GB in opt-in seem very stingy. If there is something I have understood in this year of fierce battles, it is that we may have been a bit too stingy on the battle of gigabytes. To be discussed. Because instead of [omitted] why don’t we say [omitted] on pre and [omitted] on post, provided that</w:t>
        <w:br/>
        <w:t>86 Cf. docs. 292 (annex 2) and 299 (annex 1).</w:t>
        <w:br/>
        <w:t>87 Cf. doc. ISP.5.</w:t>
      </w:r>
    </w:p>
    <w:p>
      <w:r>
        <w:rPr>
          <w:b/>
        </w:rPr>
        <w:t>[Pages 43–45]</w:t>
      </w:r>
    </w:p>
    <w:p>
      <w:r>
        <w:t>BULLETIN NO. 5 OF FEBRUARY 3, 2020 45</w:t>
        <w:br/>
        <w:t>“let's decide to touch the posts...”88 (emphasis added). This document confirms, on one hand, that Vodafone was studying an additional tariff maneuver – information known to competitors – and demonstrates, on the other hand, that Vodafone was aware of the tariff maneuvers of Telecom Italia.</w:t>
      </w:r>
    </w:p>
    <w:p>
      <w:r>
        <w:t>87. In particular, Vodafone was considering three additional options to integrate repricing in the transition from four-week billing to monthly billing (see Figure below): in addition to mere repricing (Option A), further options for rounding tariffs (Options B and C) were added.</w:t>
      </w:r>
    </w:p>
    <w:p>
      <w:r>
        <w:t>Figure 6 – Vodafone's presentation regarding repricing options (December 29, 2017)89</w:t>
      </w:r>
    </w:p>
    <w:p>
      <w:r>
        <w:t>88. Vodafone was also evaluating proceeding with an additional increase concurrent with the repricing in April 2018 or, alternatively, a further price increase in July 201890 (see Figure below).</w:t>
      </w:r>
    </w:p>
    <w:p>
      <w:r>
        <w:t>88 See doc. ISP.297.</w:t>
        <w:br/>
        <w:t>89 See docs. ISP.297 and ISP.298.</w:t>
        <w:br/>
        <w:t>90 See doc. ISP.371.</w:t>
      </w:r>
    </w:p>
    <w:p>
      <w:r>
        <w:t>46 BULLETIN NO. 5 OF FEBRUARY 3, 2020</w:t>
        <w:br/>
        <w:t>Figure 7 - Vodafone's analysis on a series of tariff adjustments to be made jointly or separately from repricing (January 9, 2018)91</w:t>
      </w:r>
    </w:p>
    <w:p>
      <w:r>
        <w:t>91 See doc. ISP.371.</w:t>
      </w:r>
    </w:p>
    <w:p>
      <w:r>
        <w:t>BULLETIN NO. 5 OF FEBRUARY 3, 2020 47</w:t>
        <w:br/>
        <w:t>89. On the other hand, evidence of exchanges of messages between the executives of Telecom Italia and Vodafone92 was found. In an internal email dated December 20, 2017, the CEO of Telecom Italia wrote: “Hi, Got this message from [omissis – name of Vodafone CEO]: Hi [omissis – name of TIM CEO] Have you got 5 minutes today? It’s about the Agcom interpretation of going back on prepaid to solar monthly duration as opposed to 30 days” [omissis]. Around the same time (December 22, 2017), the CEO of Wind Tre also reported direct contacts with its competitors: “Good morning [omissis – name of Wind Tre Commercial] and thank you for the leadership on this issue. Understood; I would only advise that we work closely with VODAFONE and TIM so that we are leveraging our collective muscle. I know that you have spoken with [omissis – Vodafone CEO] and I am happy to speak with [omissis – Telecom Italia CEO], who is in Brazil, if your contact at TIM is not the right one. Thanks again to the team!”93 (emphasis added).</w:t>
      </w:r>
    </w:p>
    <w:p>
      <w:r>
        <w:t>90. Finally, regarding the timing of communications to be sent to customers concerning the transition to monthly billing, it is believed that this was due to a combination of various internal-external elements. In fact, it is necessary to consider AGCOM Resolution 496/17/CONS, which imposed communication to customers at least two months in advance of the modification, compared to the 30 days indicated by the Electronic Communications Code. On the other hand, various internal documents found at the Operators reveal discussions about the necessary timing concerning the adjustment of billing systems. The fact that there had been an exchange of information also regarding the timing of compliance with the regulatory obligation can be inferred, among other things, from a document found at Fastweb's headquarters (dated December 18-20, 2017), from which Fastweb's surprise at discovering that Telecom Italia had already communicated the start date of the adjustment of certain tariff plans as of January 1, 2018, is evident. In the email exchange, a representative of Fastweb, informed of the news, writes: “hi I heard TIM today who told me that the increase related to the transition to monthly billing from January 1, 2018, is currently dedicated only to business customers because for these they had a different billing system from consumer which has also maintained monthly billing for a significant portion of customers and therefore it was easier to revert to monthly”94.</w:t>
      </w:r>
    </w:p>
    <w:p>
      <w:r>
        <w:t>VI.1.3 Evidence relating to different commercial behaviors compared to those implemented by the Parties</w:t>
      </w:r>
    </w:p>
    <w:p>
      <w:r>
        <w:t>91. The investigative findings show that other solutions were possible and had been evaluated by the individual Operators when an agreement on repricing had not yet been reached; as stated in a document dated October 24, 2017, found at Telecom Italia: “Hi [omissis], the ‘28 days billing’ it’s going to take some weeks to be clarified. Today we’ll have a meeting with Asstel to have a common and quick position on the “main rules” to propose to the Government. In this uncertainty it is better to wait for doing the re-pricing mentioned below, because for sure our main goal is to avoid the ‘ius variandi’ (maintaining our rights to change conditions etc.). But considering the Bdgt 2018 we need to have some re-pricing on top of the 28 days billing. I see two main ways: 1) All operators go back to 30 days and no more communication on price increase because the price as</w:t>
      </w:r>
    </w:p>
    <w:p>
      <w:r>
        <w:rPr>
          <w:b/>
        </w:rPr>
        <w:t>[Pages 46–48]</w:t>
      </w:r>
    </w:p>
    <w:p>
      <w:r>
        <w:t>48 BULLETIN NO. 5 OF FEBRUARY 3, 2020</w:t>
        <w:br/>
        <w:t>been already communicated to CB. This scenario could be the simplest for the Operator but maybe not well appreciated by the Minister. In this case we will do some small additional re-pricing as the one mentioned below, with “more for more” strategy (about [omissis] %). 2) All operators go back to 30 days without 8.6% price increase and each operator will decide commercial strategy. In this situation we can have, simultaneously, a price increase differentiated for each tariff plan in order to recover the [omissis] million euros of 28 days billing and more, about [omissis] % with a street price rounding approach (e.g. from [omissis] to [omissis])”95 (emphasis added).</w:t>
      </w:r>
    </w:p>
    <w:p>
      <w:r>
        <w:t>92. Also within Wind Tre, other scenarios had been evaluated, as evidenced by a document dated October 27, 2017, which states: “To ensure that we are all aligned, I would like to recap the indications we are giving on the 28-day billing because the scenarios seem confusing at pleasure: [...] - We intend this change as imposed by law and therefore not a repricing activity. As such, there is no obligation to notify the customer and the right of withdrawal: On this point, it seems that the government's orientation is changing. If they impose a repricing scenario, we need to understand whether it is riskier to do a repricing or if it is better not to increase costs and certainly lose [omissis] million on fixed and [omissis] on mobile”96. Again, on October 30, 2017, repricing had not been decided: “If it were decided to spread the value of the thirteenth bill over the 'first twelve', this would not entail an increase in prices on an annual basis. AGCOM has communicated to us that, for political will, a communication to the customer would still be necessary pursuant to Article 70.4. Conversely, if there were no such 'spreading', a mere notification to the customer would suffice without the application of Article 70.4”97 (emphasis added).</w:t>
      </w:r>
    </w:p>
    <w:p>
      <w:r>
        <w:t>93. On November 9, 2017, in a presentation circulated within Telecom Italia, three possible scenarios were evaluated: “Increase on all CB of 8.6%, almost certainly with the right of withdrawal for the CB; Selective increase on a significant number of offers; Increase on all CB of 8.6% + targeted repricing maneuvers”98. The same presentation, circulated again on November 14, 2017, presents the first scenario as: “Chosen scenario: 8.6% price increase on all CB”99. On the same day, in fact, it was written internally: “we need to define as soon as possible, I would say with the help of [omissis – external legal name] a common position. The need is obviously to return to 30 days consolidating the increase obtained with the 28 days”100 (emphasis added).</w:t>
      </w:r>
    </w:p>
    <w:p>
      <w:r>
        <w:t>94. From the examination of the data contained in the aforementioned presentation, it clearly emerges that the most profitable and rational scenario in light of Telecom Italia's objectives would have been the third, namely the addition of the 8.6% repricing with further maneuvers. This option, in addition to allowing the achievement of the set objectives, would have had the advantage of recognizing customers' right of withdrawal only once. Similarly, as analyzed above, alternative scenarios that would have been more profitable for the company were also evaluated at Vodafone, yet inexplicably, the mere 8.6% repricing was preferred101.</w:t>
      </w:r>
    </w:p>
    <w:p>
      <w:r>
        <w:t>VI.2 The investigative findings regarding the methods of presenting the prices of telephone offers</w:t>
      </w:r>
    </w:p>
    <w:p>
      <w:r>
        <w:t>95. In order to understand the context in which the conduct of the Parties takes place, it is deemed useful to express some considerations regarding the effects that the methods of presenting prices can have on consumer choices. In fact, the conduct under examination is connected to the methods – initially chosen by the Operators, and then imposed by national legislation – of presenting the prices of telecommunications services in 28-day or monthly units.</w:t>
      </w:r>
    </w:p>
    <w:p>
      <w:r>
        <w:t>96. Therefore, the main theoretical and empirical results of the economic literature will be analyzed together with the investigative evidence concerning the perception of prices when the methods of presenting them vary, as in the case at hand.</w:t>
      </w:r>
    </w:p>
    <w:p>
      <w:r>
        <w:t>97. The economic literature102, especially with reference to behavioral and experimental economics, has extensively addressed the issue of so-called price framing, that is, how the representation of a product's characteristics (in this case, the price) can alter the perception of the convenience of a particular product and, consequently, consumer choice. In fact, the presentation of the price in certain ways can influence the perception of the value of a good; examples of such strategies include the practice of partitioning the price (for example, the price of the good and separate shipping costs)103, the presentation of a discount in percentage or absolute value104, the presentation of prices with decimals (for example, €5.99 compared to €6.00)105, as well as the definition of the time unit of payments (for example, monthly vs annual)106.</w:t>
      </w:r>
    </w:p>
    <w:p>
      <w:r>
        <w:t>101 Cfr. docc. ISP.297, ISP.298 e ISP.371.</w:t>
      </w:r>
    </w:p>
    <w:p>
      <w:r>
        <w:t>102 Some of the writings on price framing are as follows: Kahneman, D., Tversky, A. (1979) “Prospect theory: An analysis of decision under risk”, Econometrica: Journal of the Econometric Society, 47(2); Kahneman, D., Tversky, A. (1984) “Choices, values, and frames”, American Psychologist, 39(4); Kahneman, D., Tversky, A. (1986) “Rational Choice and the Framing of Decisions”, Journal of Business, 59; Dodds, W.B., Monroe, K.B., Grewal, D. (1991), “Effects of price, brand, and store information on buyers’ product evaluations”, Journal of Marketing Research, 28(3); Tripathi, A., Pandey, N., “Price framing literature: Past, present, and future.”, Marketing Review, 17(3).</w:t>
      </w:r>
    </w:p>
    <w:p>
      <w:r>
        <w:t>103 Morwitz, V., Greenleaf, E., Johnson, E.J. (1998), “Divide and prosper: consumers’ reaction to partitioned prices” Journal of Marketing Research, 35(4); Hamilton, R.W., Srivastava, J. (2008), “When 2 + 2 is not the same as 1 + 3: Variations in price sensitivity across components of partitioned prices”. Journal of Marketing Research, 45(4).</w:t>
      </w:r>
    </w:p>
    <w:p>
      <w:r>
        <w:t>104 In particular, an interesting experiment shows how for values above $100, consumers are more likely to purchase a product if the discount is represented in absolute value rather than in percentage value: for example, consumers are more likely to purchase a $100 product if a $30 discount is indicated, compared to when the same product is indicated with a 30% discount (which for a $100 product is equal to saying $30); this occurs even though the two cases are identical. Conversely, for values below $100, the opposite is recorded (for example, on a $10 product, one is more likely to purchase if the discount is indicated as 20% rather than when it is indicated as $2). Cfr. González, E.M., Esteva, E., Roggeveen, A.L., Grewal, D. (2016). “Amount off versus percentage off – when does it matter?”, Journal of Business Research, 69(3).</w:t>
      </w:r>
    </w:p>
    <w:p>
      <w:r>
        <w:t>105 See, for example, Choi, J., Li, Y.J., Rangan, P., Chatterjee, P., Singh, S.N. (2014), “The odd-ending price justification effect: The influence of price-endings on hedonic and utilitarian consumption” Journal of the Academy of Marketing Science, 42(5).</w:t>
      </w:r>
    </w:p>
    <w:p>
      <w:r>
        <w:t>106 See, for example, Atlas, S. A., Bartels, D. M. (2018), “Periodic Pricing and Perceived Contract Benefits”, Journal of Consumer Research, 45(2). This research shows how, even among a highly educated population (master's students), the representation of the periodic price compared to an annual price encourages the purchase of a service (such as a subscription to a newspaper, a pay television service, or a music streaming service). In fact, the probability of purchasing a service if the price is expressed periodically (for example, monthly) is higher if the same price is expressed as an annual cost (for example, the probability of purchasing a service is higher if the price is represented as €10 per month, compared to the case where it is expressed as €120 per year, even though the two cases are identical).</w:t>
      </w:r>
    </w:p>
    <w:p>
      <w:r>
        <w:t>98. The events under examination, therefore, fall within the findings of such economic literature, which confirm that the methods of presenting the price (in this case, the 28-day periodicity compared to monthly) can influence consumers' propensity to purchase.</w:t>
      </w:r>
    </w:p>
    <w:p>
      <w:r>
        <w:t>99. To give an abstract example, assuming that a consumer is willing to pay a maximum of €25 per month for the purchase of a fixed telephony service, the presentation of the price could influence their choice. Suppose, in fact, that there is a commercial offer proposed at the price of €23.50 every 28 days. The price presented in this format does not allow for an immediate understanding that the service costs more than the consumer is willing to pay: the price of €23.50 every 28 days, in fact, corresponds to €25.53 per month (thus greater than the hypothetical budget of €25 per month).</w:t>
      </w:r>
    </w:p>
    <w:p>
      <w:r>
        <w:t>100. The evidence in the case file widely confirms the results of the economic literature, both theoretical and empirical, which state that the method of presenting the price – and, in this case, the periodicity of billing – is an element capable of influencing consumer choices and the perception of convenience or inconvenience of a particular product.</w:t>
      </w:r>
    </w:p>
    <w:p>
      <w:r>
        <w:t>101. In particular, Fastweb stated that its choice to switch to 28-day billing in 2017 was dictated by the observation that consumers could not perceive the differences in prices between 28-day billing and monthly billing107. In fact, “Fastweb's experience has, [...], highlighted an insufficient ability of consumers to discriminate between monthly prices and four-weekly prices”108 failing to understand the real convenience of a monthly offer compared to a 28-day offer109.</w:t>
      </w:r>
    </w:p>
    <w:p>
      <w:r>
        <w:t>102. Wind Tre also acknowledges that the reforms were aimed at “promoting transparency and comparability of the rates proposed by telecommunications operators”110. In fact, it reports some evaluations by AGCOM regarding the periodicity of billing and, in particular, regarding the circumstance that “the frequency of the renewal of offers and billing is an element that is relevant both in the phase of evaluating offers by users and in the execution of the contract [...] the absence of a certain and consolidated time parameter such as the month generates confusion.”</w:t>
      </w:r>
    </w:p>
    <w:p>
      <w:r>
        <w:rPr>
          <w:b/>
        </w:rPr>
        <w:t>[Pages 49–51]</w:t>
      </w:r>
    </w:p>
    <w:p>
      <w:r>
        <w:t>BULLETIN NO. 5 OF FEBRUARY 3, 2020 51</w:t>
        <w:br/>
        <w:t>lack of clarity for users, both in terms of transparency and comparability of information, and of cost control and expenses they need to optimize and monitor their consumption”111.</w:t>
      </w:r>
    </w:p>
    <w:p>
      <w:r>
        <w:t>103. On this point, Altroconsumo observed that “the four-week billing has generated evident confusion among consumers regarding the real cost of telephone offers, which hindered the comparison between offers and thus the choice of consumers. […] Consumer attention, in fact, focuses on the cost element (advertised fee) without being able to perceive the effect that the different periodicity has on the real cost, just as happens with hidden costs and activation and modem costs”112.</w:t>
      </w:r>
    </w:p>
    <w:p>
      <w:r>
        <w:t>104. According to CODICI, consumers would not have “immediately perceived the impact on the price of the change in billing from monthly to four-weekly, so much so that in the initial period few reports regarding this issue were received from consumers. Only after some time and, in particular, after the AGCOM resolution did consumers realize the presence of a hidden thirteenth monthly payment”113.</w:t>
      </w:r>
    </w:p>
    <w:p>
      <w:r>
        <w:t>105. During the proceedings, it emerged that: “during the period when both fixed and mobile operators proposed rates or options with a 28-day periodicity, they often induced the customer to believe they were subscribing to more advantageous plans compared to monthly periodicity plans, due to the fact that they did not realize that the amount of the periodic cost was not sufficient to measure the actual convenience of an offer, especially when, indeed, the periodicity of that cost was different”114.</w:t>
      </w:r>
    </w:p>
    <w:p>
      <w:r>
        <w:t>106. Altroconsumo provided several examples where 28-day offers appeared more advantageous than 30-day offers, although they were not truly so in the case of converting the rate to a common unit115.</w:t>
      </w:r>
    </w:p>
    <w:p>
      <w:r>
        <w:t>107. Regarding consumers' ability to perceive the tariff maneuvers related to the change in the billing cycle, it also emerged that: “the facts subject to the proceedings occurred at a time of extreme lack of transparency regarding the real cost of telephone offers”116. The association CODICI noted that the inability of consumers to compare the various offers available on the market was also connected to “…the fallacy of the AGCOM comparator, as during the same period the new comparator, still not currently released, was in a trial phase, and the previous supermoney comparator was inadequate to understand the differences in billing periodicity for fixed and did not include targeted offers for mobile”117.</w:t>
      </w:r>
    </w:p>
    <w:p>
      <w:r>
        <w:t>108. CODICI noted that: “the examination of the reports shows that the uniform conduct of the parties to the proceedings was aimed at ensuring that the consumer, during the period allowed for exercising the right of withdrawal, did not perceive or have a real alternative to their operator. In this way, frustrating the rationale of the right of withdrawal and ensuring the retention of their customer base”119. According to CODICI, the appeals against AGCOM resolutions also had the same purpose “to block consumers in the hope of obtaining compensations and refunds from their operator for non-compliance with regulatory obligations”120.</w:t>
      </w:r>
    </w:p>
    <w:p>
      <w:r>
        <w:t>109. The Association finally contests the justification provided by the Operators that it would have been impossible to go back and reduce prices as offers in the Italian market were lower than the European average, as: “this justification appears entirely pretextual in light of what happened following the entry of Iliad and with the launch of Ho, to respond to Iliad with lower and more contained mobile prices”121.</w:t>
      </w:r>
    </w:p>
    <w:p>
      <w:r>
        <w:t>110. The association Altroconsumo also noted the same critical issues raised by CODICI, confirming that: “consumer attention, in fact, focuses on the cost element (advertised fee) without being able to perceive the effect that the different periodicity has on the real cost, just as happens with hidden costs and activation and modem costs”122. Moreover, according to what was found by Altroconsumo: “consumers felt betrayed by the lack of transparency with which increases were masked in a very prosperous and dynamic market concerning services that are now essential and with almost total penetration of the population. Consumers, given the uniform practice, first, of maintaining four-week billing, then, of increasing the nominal fee upon switching to monthly billing, could not effectively exercise the right of withdrawal without penalties that in theory had been recognized, as it did not seem convenient to migrate to other operators in light of the aforementioned uniformity of conduct”123.</w:t>
      </w:r>
    </w:p>
    <w:p>
      <w:r>
        <w:t>111. Iliad argued that the collusive strategy implemented by the Parties to the proceedings was also aimed at hindering its entry into the market, which was expected precisely in conjunction with the expiration of the grace period granted by the regulation on returning to monthly billing. The increase in revenues associated with the transition to four-week billing, along with the delay in returning to monthly billing as much as possible, allowed the Operators to achieve excess profits with which they were able to make the significant price reductions that occurred starting from Iliad's entry into the market124.</w:t>
      </w:r>
    </w:p>
    <w:p>
      <w:r>
        <w:t>VII. DEFENSIVE ARGUMENTS OF THE PARTIES</w:t>
        <w:br/>
        <w:t>112. In the following paragraphs, the main arguments formulated by the Parties during the proceedings are reported, grouped by type of topic.</w:t>
      </w:r>
    </w:p>
    <w:p>
      <w:r>
        <w:t>VII.1 The nature of the contacts and the instrumental reading of the inspection documentation</w:t>
        <w:br/>
        <w:t>113. In their defense writings, as well as during the final hearing, the Parties had the opportunity to present their arguments regarding the investigative hypothesis and contested the assessments made in the Communication of Investigative Results, believing that they were mostly based on an instrumental and partial reading of the documentary evidence. Most of the defensive efforts made by the Parties are, therefore, aimed at providing alternative readings of the documents based on which the Authority deemed the contested coordination to exist in the CRI.</w:t>
      </w:r>
    </w:p>
    <w:p>
      <w:r>
        <w:t>114. The Parties do not contest, therefore, the existence of contacts, their frequency, and the exchange of information that occurred in the associative context, and not only, during the period under investigation, but focus their defenses on the full legality of such contacts as they would partly be attributable to the exercise of the right of defense and partly necessary and preliminary to a legitimate category lobbying activity towards the regulator and the legislator.</w:t>
      </w:r>
    </w:p>
    <w:p>
      <w:r>
        <w:t>115. The Parties believe that the Communication of Investigative Results contains an incorrect and partial reading of the investigative evidence125.</w:t>
      </w:r>
    </w:p>
    <w:p>
      <w:r>
        <w:t>116. Wind Tre complains, first of all, about the incompleteness and partiality in the reconstruction of the facts which, in its opinion, would determine a general defect of investigation and a violation of the principle of the presumption of innocence126. Furthermore, Wind Tre believes that the behaviors examined in the Communication of Investigative Results would be attributable exclusively to the defense in court or to the representation of interests (lobbying) and, therefore, would not violate Article 101 TFEU, except for a quid pluris that would not be identified in the CRI127. Regarding the coordination on repricing, the Communication of Investigative Results would be based on unproven and unreasonable assumptions, not supported by consistent evidence or by a rational reading of Wind Tre's conduct128.</w:t>
      </w:r>
    </w:p>
    <w:p>
      <w:r>
        <w:t>117. The Parties believe that the activities of the first two phases of the contested agreement are expressions of a legitimate interest in defense and representation of their interests to the regulator and the legislator129. Vodafone argues and reasons the legitimacy in principle of lobbying activity as a justification against antitrust prohibitions both in American experience and in that of the European Union.</w:t>
      </w:r>
    </w:p>
    <w:p>
      <w:r>
        <w:rPr>
          <w:b/>
        </w:rPr>
        <w:t>[Pages 52–54]</w:t>
      </w:r>
    </w:p>
    <w:p>
      <w:r>
        <w:t>54 BULLETIN NO. 5 OF FEBRUARY 3, 2020</w:t>
        <w:br/>
        <w:t>European130. Fastweb, in providing its interpretation of the investigation documents, believes that: “where references to repricing are present, they can be traced back to the lawful lobbying activities carried out by operators in relation to the legislative and regulatory obligations connected to tariff transparency”131. Similarly, Asstel's defense relates its activities in this case to the physiologically appropriate tasks of a trade association, contesting that it facilitated or allowed the achievement of a collusive equilibrium and therefore considers itself entirely unrelated to a collusive hypothesis132.</w:t>
      </w:r>
    </w:p>
    <w:p>
      <w:r>
        <w:t>118. Vodafone believes that the contested exchanges of information were fragmented and not systematic and that they would be “the result of unilateral research conducted by each company to obtain information on the future conduct of competitors”133. Wind Tre also states that the exchanges of information evident from the documents would be the result of “an intelligence activity”134.</w:t>
      </w:r>
    </w:p>
    <w:p>
      <w:r>
        <w:t>119. In the briefs submitted during the investigation, the Parties have therefore attempted to provide alternative readings of the evidentiary materials documenting the contacts and exchanges of information that occurred between them, believing that the Authority has given a malfeasant interpretation that would be contrary to the presumption of innocence135. Wind Tre argued that the Authority should respect the principle in dubio pro reo136.</w:t>
      </w:r>
    </w:p>
    <w:p>
      <w:r>
        <w:t>120. Vodafone believes that the contested conduct cannot be classified as a restriction by object. According to it, in fact, the contested conduct would always concern exchanges of information with various subjects but would never have transformed into agreements and never involved information on the prices that the Operators would have charged to their respective customers137. Furthermore, the conduct would not be classifiable as a single, complex, and continuous agreement, which would have implications from an evidentiary standpoint, as there could be no confirmation of an agreement solely based on deductions and merely probabilistic criteria138. Finally, Vodafone emphasizes the necessity of applying the principle of the presumption of innocence and, therefore, the necessity that, in case of doubt, the elements on record should be interpreted in the most favorable sense for the Parties. Consequently, Vodafone believes that the contested conduct is not supported by the elements on record139. TIM also believes that the Communication of the Investigative Results provides a biased and partial reading of the documentation in the investigation file140.</w:t>
      </w:r>
    </w:p>
    <w:p>
      <w:r>
        <w:t>130 Cf. doc 225 (accessible version docs. 242 and 243). See also doc. 387.</w:t>
        <w:br/>
        <w:t>131 Cf. doc. 227 (accessible version doc. 238). See also doc. 388.</w:t>
        <w:br/>
        <w:t>132 Cf. docs. 189 and 384.</w:t>
        <w:br/>
        <w:t>133 Cf. doc. 40.</w:t>
        <w:br/>
        <w:t>134 Cf. doc. 41.</w:t>
        <w:br/>
        <w:t>135 Cf. doc. 225 (accessible version docs. 242 and 243).</w:t>
        <w:br/>
        <w:t>136 Cf. doc. 229, p. 7 (see also the accessible version doc. 232).</w:t>
        <w:br/>
        <w:t>137 Cf. doc. 387.</w:t>
        <w:br/>
        <w:t>138 Cf. doc. 387.</w:t>
        <w:br/>
        <w:t>139 Cf. doc. 387.</w:t>
        <w:br/>
        <w:t>140 Cf. doc. 383.</w:t>
      </w:r>
    </w:p>
    <w:p>
      <w:r>
        <w:t>BULLETIN NO. 5 OF FEBRUARY 3, 2020 55</w:t>
        <w:br/>
        <w:t>121. Regarding the partial reading of the evidence, according to TIM, “only the emails that seem to suggest an illegitimate exchange of information between the Parties have been considered, without taking into account the numerous documents that testify to the autonomous evaluation process carried out by Telecom in defining its commercial strategy”141. Therefore, in Wind Tre's opinion, there would be an instrumentalization of “legitimate and transparent comparisons between Operators, legislators, and regulatory authorities,” confusing them with alleged anti-competitive agreements and erroneously qualifying the legal meaning of the discussions that took place. Thus, the “narrative consistency”142 of the contested agreement would be lacking.</w:t>
      </w:r>
    </w:p>
    <w:p>
      <w:r>
        <w:t>122. Fastweb has also argued that: “the motivational fabric of the precautionary measure rests, in fact, on the partial and suggestive citation of some documentary acquisitions, in order to emphasize, consistently with the initial accusatory framework, messages not unambiguously derivable from the texts from which they are drawn and especially in contrast with a unitary, systematic, and global evaluation of the highlighted evidentiary elements”143.</w:t>
      </w:r>
    </w:p>
    <w:p>
      <w:r>
        <w:t>123. The Parties, in their final briefs and in the final hearing, emphasized the burden of proof, focusing on each inspection document and believing that their conduct is unilateral and not coordinated144. In fact, there would be no qualified contacts and parallelism of conduct; conduct that would instead be rational from an economic standpoint.</w:t>
      </w:r>
    </w:p>
    <w:p>
      <w:r>
        <w:t>124. Fastweb admits that: “while it is undeniable that the operators have addressed the issue of so-called repricing in an associative context, it is equally undeniable that these contacts took place because the companies were not in a position to protect their legitimate interests without addressing the discussion on repricing”145. Furthermore: “It is evident that for the operators there was no way to counter the position expressed by consumer associations, which demanded a legal change in prices, without explicitly stating that the transition to the monthly time unit, initially provided by regulation and then by law, should not prejudice their commercial and tariff freedom and should therefore be interpreted as mere repricing”146 (emphasis added).</w:t>
      </w:r>
    </w:p>
    <w:p>
      <w:r>
        <w:t>125. Vodafone, on the other hand, argues that the decision to challenge AGCOM Resolution was made independently by the company and that the contacts between the Operators to coordinate the defensive strategy were held by external lawyers147.</w:t>
      </w:r>
    </w:p>
    <w:p>
      <w:r>
        <w:t>VII.2 The competitive characteristics of the markets subject to the proceeding</w:t>
      </w:r>
    </w:p>
    <w:p>
      <w:r>
        <w:t>126. Several Operators, in order to cast doubt on the plausibility of the agreement under examination, have emphasized the extremely dynamic competitive context of the fixed and mobile telecommunications markets, characterized by the presence of numerous operators, composite and diverse offers,148 as well as being subject to rapid evolution and diversification of offers. According to Vodafone, therefore, in markets characterized by such dynamics “it is inconceivable that a price agreement among operators could exist and be effective”149. According to Wind Tre, “competitive pressure has always imposed a revision of such choices and determined an inevitable negative trend in prices.”150.</w:t>
      </w:r>
    </w:p>
    <w:p>
      <w:r>
        <w:t>127. TIM notes, in its economic brief, that the telecommunications markets “were and are governed by healthy competitive dynamics that have not been undermined ([…]) and that have seen Italy surpass other European countries in the deflationary dynamics of communication costs”151.</w:t>
      </w:r>
    </w:p>
    <w:p>
      <w:r>
        <w:t>128. Fastweb, at the same time, has examined the market context in which the contested conduct is situated152. In particular, it notes that it was the last operator to change its billing periodicity to 28 days. This decision came after observing that consumers did not seem to perceive the different billing periodicity as a competitive differentiating factor “nor, especially, the lower periodic price charged by those few operators – including Fastweb – that had not yet changed their billing system”153. According to Fastweb, there is “an insufficient capacity of consumers to discriminate between monthly prices and four-week prices154, as evidenced by the analysis of the market shares of itself and its competitors during the periods of coexistence of offers with monthly and four-week periodicity. In other words, consumers were unable to perceive the increase “of 8.6% due to the change in the billing period for customers”155. Fastweb believes it maintained this distinctive character of differentiation even during the period under the Authority's verification156.</w:t>
      </w:r>
    </w:p>
    <w:p>
      <w:r>
        <w:t>129. Asstel has argued that between 2010 and 2017, in the face of a constantly growing demand for connectivity, the revenues of operators have undergone continuous contraction. According to Asstel: “the inverse proportionality relationship between traffic volumes and operators' revenues is precisely due to the strong competitive pressures that characterize the Italian market, which induce operators to charge progressively lower prices for progressively better services”157.</w:t>
      </w:r>
    </w:p>
    <w:p>
      <w:r>
        <w:t>148 Cf. docs. 40 and 382.</w:t>
        <w:br/>
        <w:t>149 Cf. doc. 40.</w:t>
        <w:br/>
        <w:t>150 Cf. doc. 382, annex 1.</w:t>
        <w:br/>
        <w:t>151 Cf. doc. 383, attached economic brief.</w:t>
        <w:br/>
        <w:t>152 Cf. docs. 42 and 45.</w:t>
        <w:br/>
        <w:t>153 Cf. docs. 42 and 45.</w:t>
        <w:br/>
        <w:t>154 Cf. docs. 42 and 45.</w:t>
        <w:br/>
        <w:t>155 Cf. docs. 42 and 45.</w:t>
        <w:br/>
        <w:t>156 Cf. doc. 388.</w:t>
        <w:br/>
        <w:t>157 Cf. doc. 189, p. 3.</w:t>
      </w:r>
    </w:p>
    <w:p>
      <w:r>
        <w:rPr>
          <w:b/>
        </w:rPr>
        <w:t>[Pages 55–57]</w:t>
      </w:r>
    </w:p>
    <w:p>
      <w:r>
        <w:t>BULLETIN NO. 5 OF FEBRUARY 3, 2020 57</w:t>
      </w:r>
    </w:p>
    <w:p>
      <w:r>
        <w:t>VII.3 The definition of repricing and the reference to annual expenditure</w:t>
      </w:r>
    </w:p>
    <w:p>
      <w:r>
        <w:t>130. The Parties have also emphasized that the repricing maneuver did not entail an increase in annual expenditure for the consumer158, as it consisted of the reparameterization of the cost of products offered to their customers to a monthly period.</w:t>
      </w:r>
    </w:p>
    <w:p>
      <w:r>
        <w:t>131. On this point, in fact, Vodafone notes that – during the events leading to the definition of monthly billing periodicity, first with AGCOM Resolution 121/17/CONS, then with Article 19 quinquiesdecies of Decree-Law October 16, 2017, No. 148, converted, with modifications, by Law December 4, 2017, No. 172 – the commercial autonomy related to the tariff determination of telephone operators was never called into question. In fact, “the imposition of a return to monthly billing instead of 28 days was conceived as a measure of uniformity directed at the entire sector and binding for all in the same way, aimed at satisfying transparency needs and not at targeting any potential price increases of the offers”159.</w:t>
      </w:r>
    </w:p>
    <w:p>
      <w:r>
        <w:t>132. Fastweb notes, on the same point, that AGCOM Resolution 121/17/CONS “did not affect the price increase practiced by operators during the transition to a four-week billing system nor their right to maintain it following the return to a monthly billing system”160; such measures did not affect the commercial freedom of individual operators but rather the tariff transparency guaranteed by the same unit of periodic measurement.</w:t>
      </w:r>
    </w:p>
    <w:p>
      <w:r>
        <w:t>133. TIM believes that, since the price increases were introduced earlier, during the transition from monthly billing to 28 days, “it is from that moment that the increase in question consolidated in the tariff offers marketed by Telecom. In other words, the implementation of the rollback maneuver does not introduce further price increases, but merely reparameterizes the annual expenditure (already consolidated!) that the consumer incurred previously”161. The rates applied by TIM did not increase in conjunction with the rollback as the daily cost for the user remained unchanged162.</w:t>
      </w:r>
    </w:p>
    <w:p>
      <w:r>
        <w:t>134. Wind Tre shares the same view, believing that the Authority's considerations would be based on an erroneous assumption, namely a non-existent increase163. Based on this, one of the three necessary elements to define a coordinated practice would not exist as there would be “no change in the actual price (increasing), but merely a mathematical adjustment to the new obligation to modify the billing period when opting to keep the annual expenditure constant”164.</w:t>
      </w:r>
    </w:p>
    <w:p>
      <w:r>
        <w:t>135. Vodafone argues that the reference to 8.6%, present in all communications from the Parties to customers, does not prove anything as: “this percentage had become a common place in discussions about 28 days for a year”165. Thus, even the fact that all communications regarding repricing emphasize that the annual expenditure for the customer remains unchanged would not be an anomaly explainable solely on the basis of coordination. In fact, “for companies, all reasoning on repricing had always been based on examining the effects that the maneuver would have on expected revenues on an annual basis, in the economic budgets of each company”166.</w:t>
      </w:r>
    </w:p>
    <w:p>
      <w:r>
        <w:t>136. The Parties highlight how the reference to 8.6% had entered current communication methods to the extent that it also appeared in an AGCOM resolution, No. 171/17/CONS of April 18, 2017167.</w:t>
      </w:r>
    </w:p>
    <w:p>
      <w:r>
        <w:t>VII.4 The qualification of Law 172/2017 as an exogenous shock</w:t>
      </w:r>
    </w:p>
    <w:p>
      <w:r>
        <w:t>137. Fastweb argues that the Authority erred in believing that the introduction of the regulatory obligation of monthly billing constituted an exogenous shock to the market as, due to the time elapsed between the announcement of the provision and its actual entry into force, the new law could not be considered an unexpected event. Companies had, in fact, time to prepare and formulate expectations by hypothesizing possible scenarios. The legislative change in question, moreover, did not alter the expected benefits but resulted in a confirmation of the status quo. From this assumption, it would follow that a counterfactual scenario in which companies would have had to implement the new legislative provisions by modifying their respective offers to the end customer could not be configured, and therefore, there would be no need for coordination168. In fact, according to Fastweb, “one of the key assumptions used by the CRI to identify the agreement is to be considered unfounded, the available evidence contradicts that the introduction of Law 172/2017 represented an exogenous shock that would have led, in the absence of coordination, to an ‘exponential’ increase in customer mobility”169.</w:t>
      </w:r>
    </w:p>
    <w:p>
      <w:r>
        <w:t>138. Asstel, on the other hand, while believing that the legislative change in the billing period constitutes an exogenous shock, argues that in the face of an external event such as a legislative intervention, it is economically rational for the affected parties to react conservatively in order to minimize the negative impact. “One cannot, however, expect – as the AGCM seems to do – that a traumatic event of an exogenous nature constitutes the occasion for differentiation in the commercial policies of operators, with the assumption of commercial risks that would ensue. In business management logic, in fact, compliance with a law applicable erga omnes represents an external event, which entails a simple obligation to adapt and does not represent a moment of competition with one’s competitors”170.</w:t>
      </w:r>
    </w:p>
    <w:p>
      <w:r>
        <w:t>139. According to TIM, “the exogenous shock, as classically understood in terms of the material incidence of new rules on prices or production costs, does not exist”171. Therefore, “since there is no trace of the shock, it is thus linear and rational to not change prices specifically due to the law. In this, there is no deviation from the competitive counterfactual: the fundamentals in the markets do not change, the pricing rules in the canonical sense of the term do not change, the operator has no reason to proceed with a unilateral price change, each operator, as a result of a unilateral assessment, is in symmetric conditions (no shock is specific to one subject, neither demand, nor supply, nor regulatory) and does not change prices. The result is that prices do not change as a direct consequence of the rule”172.</w:t>
      </w:r>
    </w:p>
    <w:p>
      <w:r>
        <w:t>140. According to Wind Tre, “repricing could not constitute a shock capable of altering the existing equilibrium by triggering greater consumer mobility. The only reason why a modest and entirely transitory variation in the churn rate could have occurred is that during the repricing, consumers could terminate their relationship with Wind Tre without deactivation costs for early termination”173.</w:t>
      </w:r>
    </w:p>
    <w:p>
      <w:r>
        <w:t>VII.5 The unilateral nature and economic rationality of repricing conduct</w:t>
      </w:r>
    </w:p>
    <w:p>
      <w:r>
        <w:t>141. The Parties have variously argued in their briefs that, firstly, the observed conduct would be unilateral and not perfectly uniform among themselves and, secondly, that the decision to repricing would have been the only rational solution to pursue for a telecommunications operator.</w:t>
      </w:r>
    </w:p>
    <w:p>
      <w:r>
        <w:t>142. The Parties have highlighted how the symptomatic nature of unilateral behavior can be inferred from the differentiated repricing conduct compared to competitors. On this point, Vodafone notes that its commercial offer presents exceptions to the 8.6% increase174. Telecom Italia, similarly, has implemented various measures on fixed and mobile telecommunications offers – such as, for example, adjusting the prices of consumption services, the thresholds for accessing volume discounts, and increasing the contents (minutes, SMS, data) available in bundles – which “clearly and uniquely differentiate Telecom's competitive positioning”175. TIM, in particular, believes – considering some excluded fixed telephony offers, the increase in contents (minutes, SMS, data) for mobile telephony offers, as well as the tariff maneuvers for business – that it has not applied any repricing of 8.6%176.</w:t>
      </w:r>
    </w:p>
    <w:p>
      <w:r>
        <w:t>143. Wind Tre also emphasizes its differentiation consisting in not applying the 8.6% increase to the entire customer base177. In particular, Wind Tre identified the offers on which to intervene with repricing, increasing the periodic fee for these while maintaining the annual expenditure constant. Furthermore, among these offers, Wind Tre identified an additional subgroup to which the contents (minutes, SMS, data) available in bundles were increased178.</w:t>
      </w:r>
    </w:p>
    <w:p>
      <w:r>
        <w:t>144. Fastweb, on the same topic, emphasizes the autonomy and rationality of its conduct179. From the asymmetric presence in the mobile telephony market, according to it, derives the necessity to behave as a maverick operator. As for the asymmetry of conduct</w:t>
      </w:r>
    </w:p>
    <w:p>
      <w:r>
        <w:rPr>
          <w:b/>
        </w:rPr>
        <w:t>[Pages 58–60]</w:t>
      </w:r>
    </w:p>
    <w:p>
      <w:r>
        <w:t>60 BULLETIN NO. 5 OF FEBRUARY 3, 2020</w:t>
        <w:br/>
        <w:t>supported – in addition to citing maneuvers prior to the reconfiguration of the billing periodicity in compliance with Article 19 quinquiesdecies of Decree-Law October 16, 2017, No. 148, converted, with modifications, by Law December 4, 2017, No. 172 – Fastweb recalls having completed, since March 2018, the commercial strategy called “#nothinglikebefore” which i) gives all customers the opportunity to migrate their tariff plan for free by adhering to the new offers, ii) defines an all-inclusive price without hidden costs, iii) removes all contractual permanence constraints except for deactivation or migration costs of the line180. The choice to carry out repricing, maintaining the 8.6% increase, would therefore be linked to the impossibility of modifying its rates considering the aforementioned transparency commercial operation181.</w:t>
      </w:r>
    </w:p>
    <w:p>
      <w:r>
        <w:t>145. These aspects of the commercial policy adopted by Fastweb, therefore, would be in contrast to participation in “a cartel aimed at raising prices and limiting the customer's right of withdrawal”182. Fastweb also argues that, in terms of economic rationality, there would be no need for an agreement to maintain the 8.6% increase, as: i) according to Fastweb's experience, differentiation from competitors would not be perceived by consumers and ii) the telecommunications market is characterized by a continuously declining price trend and, therefore, customers could have withdrawn and migrated to other operators183.</w:t>
      </w:r>
    </w:p>
    <w:p>
      <w:r>
        <w:t>146. Regarding the rationality of Fastweb's conduct, it highlights that the repricing while maintaining the 8.6% increase would be in continuity with its commercial policy initiated in May 2017. Therefore, in light of the possibility for its customers to migrate to the new offers, the repricing actually implemented would have been lower than 8.6%184.</w:t>
      </w:r>
    </w:p>
    <w:p>
      <w:r>
        <w:t>147. Vodafone believes that the solution of repricing while maintaining the annual cost is autonomous, rational, and prudent as it ensures compliance with legal obligations regarding billing frequency without affecting the company's accounting balance, as the company's revenues remain unchanged185. According to it, in fact, the confirmation of prices, with the related recalculation of the price on the bill “appeared to all operators as the normal solution, once the reconfiguration of timing choices was imposed by law; instead, a reconfiguration not only of timing deadlines but also of daily prices, caused by an external shock, would have been anomalous and, in any case, in need of particular justifications”186.</w:t>
      </w:r>
    </w:p>
    <w:p>
      <w:r>
        <w:t>148. According to Vodafone's defense, the rationality of the behavior would be demonstrated by the fact that Sky, in its maneuver to return to monthly billing, would have adopted the same decision187. In fact, in Vodafone's opinion, “the demonstration that the problem posed by Article 19 quinquiesdecies could be rationally resolved by applying the 8.6% repricing is eloquently offered by Sky's behavior. Although this operator applied the repricing to this extent, it remained outside the alleged cartel. Its choice, since it was not the result of illicit agreements, demonstrates its intrinsic rationality. And it contributes to providing an alternative explanation”188.</w:t>
      </w:r>
    </w:p>
    <w:p>
      <w:r>
        <w:t>149. Wind Tre, on the same point, argues that the choice to maintain the annual expenditure of some of its customers, through an 8.6% increase on the bill, is a unilateral decision and perfectly consistent with its commercial strategy. Furthermore, “insofar as, in the context of the modification of the billing cycle, other Operators have decided (and communicated within the timeframes established by the new regulations) not to modify the annual expenditure of their customers, this stems from an individual and rational choice of each operator not to modify prices for their customer base in light of a regulatory change”189. In fact, the repricing of the price on a temporal basis “occurred in a market situation where the level of prices for telecommunications in Italy (and consequently the company margins) had reached extremely low values not comparable to those – much higher – found in the main EU countries”190.</w:t>
      </w:r>
    </w:p>
    <w:p>
      <w:r>
        <w:t>150. Telecom Italia shares the same view, noting that the parameter of “annual expenditure” is “a key criterion used by the company to define its budget objectives, to which tariff policies must necessarily refer”191. According to TIM, the rollback maneuver is consistent with its competitive positioning192. The choice of nominal repricing of the offers, in its opinion, was the most rational choice among those examined that allowed achieving the predetermined budget objectives193. Moreover, this choice would also have allowed not to alter the outcomes of the ex ante replicability analysis of the offers required under AGCOM Resolutions 623/15/CONS and 584/17/CONS for fixed telephony offers194.</w:t>
      </w:r>
    </w:p>
    <w:p>
      <w:r>
        <w:t>151. Wind Tre argues the existence of three possible choices in implementing the new billing cycles, namely i) maintaining constant unit and annual expenditure, resulting in repricing on the bill, ii) maintaining the consideration on the bill, with a reduction in annual expenditure for the customer, and iii) increasing the customer's annual expenditure. An intermediate solution between those in the previous points i) and ii) would not have been rational as “the consumer would have seen the nominal amount paid increase anyway (no retention or loyalty effect), but at the same time Wind Tre would have automatically seen the level of revenues generated by its customer base decrease by a percentage equal to the discount granted”195. The third option, at the same time, would have potentially generated additional revenues but would have had a strongly negative image impact. The only rational behavior, according to the company, would have been the one actually pursued by Wind Tre, aimed at identifying the profiles to which to apply the 8.6% repricing while maintaining expenditure unchanged.</w:t>
      </w:r>
    </w:p>
    <w:p>
      <w:r>
        <w:t>152. Wind Tre has produced two economic briefs aimed at demonstrating that the pricing decisions made by the company regarding the implementation of monthly billing are fully rational from an economic point of view196.</w:t>
      </w:r>
    </w:p>
    <w:p>
      <w:r>
        <w:t>153. According to Wind Tre, “once all telecommunications operators had made their reconfiguration choices, the market was in equilibrium. […] The billing frequency was eliminated from the availability of operators, who could therefore no longer (and cannot) use it as leverage in strategic interaction with their competitors. At this point, it was perfectly rational for telecommunications operators, with reference to their customer base, to reconfigure the amount on the bill (cid:1) so that this led to the same annual expenditure (cid:2)∗. This value indeed represented the equilibrium price to which the market had reached, as a result of the strategies individually followed defined by the various companies and which had induced consumers to make their choices. A deviation from this equilibrium would not have been unilaterally profitable, resulting in a decrease in revenues not compensated by an increase in volumes (pursuable, among other things, through offers directed at new customers)”197.</w:t>
      </w:r>
    </w:p>
    <w:p>
      <w:r>
        <w:t>154. According to Wind Tre, in fact, the evidence would contradict the thesis that the choice to maintain prices unchanged could be rationally made by each company only downstream (and with the support of) an exchange of information and explicit coordination198.</w:t>
      </w:r>
    </w:p>
    <w:p>
      <w:r>
        <w:t>155. According to TIM, moreover, there would be no relationship between pre-existing prices and incentives to charge lower prices to new customers, as it would emerge that “the relationship between the aforementioned two values is inverse to that hypothesized: aggressive acquisition offers require higher prices for the customer base because they reduce the average ARPU”199.</w:t>
      </w:r>
    </w:p>
    <w:p>
      <w:r>
        <w:t>156. Fastweb believes that the reference to annual expenditure represents, based on various regulatory and commercial references, a unit commonly used by operators to make customer information more transparent200. Wind Tre emphasizes that “the so-called increase of +8.6%, […] is nothing more than a mathematical formula that every rational operator would have applied within a supply contract, at the moment when, all other conditions being equal, it decided (or rather: was imposed) to change the billing cycle from 28 days to the solar month”201.</w:t>
      </w:r>
    </w:p>
    <w:p>
      <w:r>
        <w:t>157. According to Vodafone, since the previous tariff increase maneuvers, carried out for the transition from monthly to 28 days, had received no objections, it corroborated also in the subsequent transition of billing from 28 days to monthly “a reliance for the operators, destined to then decisively influence the choices made at the time of the subsequent adjustment”202.</w:t>
      </w:r>
    </w:p>
    <w:p>
      <w:r>
        <w:rPr>
          <w:b/>
        </w:rPr>
        <w:t>[Pages 61–63]</w:t>
      </w:r>
    </w:p>
    <w:p>
      <w:r>
        <w:t>BULLETIN NO. 5 OF FEBRUARY 3, 2020 63</w:t>
        <w:br/>
        <w:t>to Article 19 quinquiesdecies”202. Fastweb also emphasizes the reliance generated on previous tariff maneuvers (from monthly to 28 days) regarding their legality203.</w:t>
      </w:r>
    </w:p>
    <w:p>
      <w:r>
        <w:t>VIII. COMPLIANCE PROGRAMS</w:t>
        <w:br/>
        <w:t>158. During the proceedings, all Parties – except for Fastweb – submitted their compliance programs, defined and/or revised following the initiation of the proceedings.</w:t>
        <w:br/>
        <w:t>159. Wind Tre, on October 10, 2018, communicated that the existing Codes and Compliance Programs in the Wind and H3G companies have been unified into a single new Wind Tre Antitrust Compliance Program, developed in accordance with the Guidelines published by the Authority, at the end of a process initiated in April 2018. The company sent a copy of both the Antitrust Code of Conduct and the Compliance Program accompanied by an explanatory report concerning their content and the methods of implementation of the tools provided therein. Subsequent updates regarding further developments and changes that occurred in the meantime204 were also sent.</w:t>
        <w:br/>
        <w:t>160. Asstel sent, on November 2, 2018, the Compliance Program of the association noting that it was drafted in adherence to the provisions contained in the Authority's Guidelines. The document was accompanied by an explanatory report summarizing the elements that make up the program and the reasons why it should be considered adequate and effective. The association subsequently produced a supplementary report concerning the antitrust compliance activities implemented and planned for the year 2019205.</w:t>
        <w:br/>
        <w:t>161. Vodafone, on January 16, 2019, submitted its antitrust Compliance Program to the Authority along with the supplementary measures that the company decided to introduce following the initiation of the present proceedings in order to strengthen the measures already implemented previously206.</w:t>
        <w:br/>
        <w:t>162. Finally, TIM also submitted its Compliance Program on April 19, 2019, accompanied by an explanatory report concerning the analysis and revision process of the same following the initiation of the present proceedings207.</w:t>
        <w:br/>
        <w:t>163. In the final briefs and during the final hearing, the aforementioned subjects reiterated the validity of the initiatives undertaken regarding the compliance programs, as they are substantial and involve significant interventions on processes and, in general, on corporate culture regarding antitrust208.</w:t>
      </w:r>
    </w:p>
    <w:p>
      <w:r>
        <w:t>64 BULLETIN NO. 5 OF FEBRUARY 3, 2020</w:t>
        <w:br/>
        <w:t>IX. EVALUATIONS</w:t>
        <w:br/>
        <w:t>IX.1 Introduction</w:t>
        <w:br/>
        <w:t>164. The investigative findings demonstrate the existence of a secret, unique, complex, and ongoing agreement that restricts competition among Fastweb, TIM, Vodafone, and Wind Tre, aimed at maintaining the existing price level and hindering the mobility of their respective customer bases during the period subject to the investigation, preventing the proper functioning of competitive dynamics among operators in the fixed and mobile telephony service markets, as outlined in Article 19 quinquiesdecies of Decree-Law No. 148/2017.</w:t>
        <w:br/>
        <w:t>165. The evidence presented proves that the coordination among Fastweb, TIM, Vodafone, and Wind Tre was aimed at preserving the increase in tariff prices resulting from the initial modification of the renewal periodicity of offers (from monthly to four-week), while simultaneously limiting the risk of customer attrition to major competitors, at a time when new legislative obligations regarding billing periodicity were introduced.</w:t>
        <w:br/>
        <w:t>166. To achieve this objective, the four Operators implemented a coordination aimed at preserving the existing price level, preventing customers from exercising their right of withdrawal without penalties in the event of a change in billing periodicity (from four-week to monthly, so-called repricing), and thus preserving their market positions.</w:t>
        <w:br/>
        <w:t>167. From the examination of the investigative findings, it clearly emerges the existence of a front composed of the four telephone Operators aimed at preventing the free conduct of competitive comparison in a context where differentiation would have, by the Parties' own admission209, been likely to yield significant competitive advantages, including reputational ones, triggering chain reactions from which consumers could undoubtedly benefit.</w:t>
        <w:br/>
        <w:t>168. The investigative findings show how the Operators engaged in – alongside numerous contacts and coordination activities related to legitimate and official lobbying activities, concurrently with the legislative intervention aimed at introducing the mandatory monthly billing obligation for fixed and mobile telephony, and concerning the defense of the private autonomy spaces of businesses – a coordination aimed at preserving the existing price level and avoiding the recognition to customers of the right of withdrawal without penalties in the event of a change in billing periodicity, where it was accompanied by a repricing.</w:t>
        <w:br/>
        <w:t>169. In this context, in fact, the telephone Operators involved in the proceedings implemented a secret concertation – among only Fastweb, TIM, Vodafone, and Wind Tre – aimed at coordinating future commercial policies towards their respective customer bases in the event of the introduction of the mandatory monthly billing obligation ex lege, or in relation to the definition and approval of Article 19 quinquiesdecies of Decree-Law No. 148/2017, which was taking place at the time of the contested conduct.</w:t>
        <w:br/>
        <w:t>170. In particular, from November 14, 2019, when the final text of Article 19 quinquiesdecies of Decree-Law No. 148/2017 was made public, the Operators engaged in coordination regarding the determination of the repricing of retail communication services209, with the dual aim of maintaining the existing price level (preserving the 8.6% increase achieved due to previous adjustments) and restricting the ability of consumer-customers to benefit from proper competitive comparison among Operators when exercising their right of withdrawal without penalties.</w:t>
        <w:br/>
        <w:t>171. The described coordination resulted, therefore, in the adoption of nearly identical methods of economic adjustment of telecommunications services at the time of implementing the obligation introduced in Article 19 quinquiesdecies of Decree-Law No. 148/2017 for electronic communication service operators to provide for a renewal frequency of offers and billing of services on a monthly basis or multiples of the month. Fastweb, TIM, Vodafone, and Wind Tre communicated to their customers that, in compliance with Law No. 172/2017, billing for offers and services would be carried out on a monthly basis and no longer on a four-week basis, implementing a repricing of the periodic fee linked to the distribution of the total annual expenditure over 12 fees, instead of 13.</w:t>
        <w:br/>
        <w:t>172. Although the law and AGCOM Guidelines contained no reference to the redefinition of the number of fees, nor to the concept of total annual expenditure, the four Operators translated the implications of the new rules into the application of the same contractual variations to their customer base by re-proportioning the annual expenditure over 12 fees compared to the previous 13. The telephone Operators involved in the proceedings carried out this re-proportioning on almost all customers with offers on a four-week basis210 (see Table 1 and paras. 46-51 above). However, the annual expenditure is not a contractual element communicated to consumers at the time of signing fixed and mobile telecommunications offers. In fact, the contractual offers of the aforementioned operators have always referred to a periodic price of a four-week type (and previously monthly) and not to an annual fee.</w:t>
        <w:br/>
        <w:t>173. The investigative findings account for the fact that the four telephone Operators involved in the proceedings coordinated their commercial policies towards customers, both regarding the repricing connected to the modification of the billing cycle imposed by Article 19 quinquiesdecies of Decree-Law No. 148/2017, and in relation to the methods and timing with which the legislative obligations would be implemented, as well as regarding the right of withdrawal to be granted or not to customers following the so-called re-modulation.</w:t>
        <w:br/>
        <w:t xml:space="preserve">174. The cooperation clearly eliminated uncertainty regarding the behavior of competitors and ensured that all Operators, maintaining a compact so-called "front," implemented the new legislative provisions in the same manner. In the present proceedings, in fact, the decision to accompany the modification of the billing cycle with a modification of the monthly fee is not contested, but rather the fact that the Parties, through active collaboration, eliminated the uncertainty – typical of competitive comparison – regarding the commercial decisions to be made at the time of adjustment to the aforementioned regulation and consequently, based on such information, determined the repricing, implemented concurrently with the mandatory modification of the billing cycle at the rate of 8.6%, through reference to the unchanged annual expenditure parameter. The Operators indeed "justified" the repricing with the regulatory adjustment with the evident aim of limiting the attrition of their customers to competitors due to the fact that </w:t>
        <w:br/>
        <w:t>210 It should be noted that some offers were already on a monthly basis (30 days).</w:t>
      </w:r>
    </w:p>
    <w:p>
      <w:r>
        <w:rPr>
          <w:b/>
        </w:rPr>
        <w:t>[Pages 64–66]</w:t>
      </w:r>
    </w:p>
    <w:p>
      <w:r>
        <w:t>66 BULLETIN NO. 5 OF FEBRUARY 3, 2020</w:t>
        <w:br/>
        <w:t>that the uniformity of behaviors would lead consumers to perceive the absence of convenience in changing operators, thus favoring inertia.</w:t>
      </w:r>
    </w:p>
    <w:p>
      <w:r>
        <w:t>175. The following table provides some of the most significant evidence of the coordination regarding the implementation methods of the regulation during the approval phase of the monthly billing obligations.</w:t>
      </w:r>
    </w:p>
    <w:p>
      <w:r>
        <w:t>Table 8 – Most significant evidence regarding the adjustment methods to the new billing periodicity</w:t>
        <w:br/>
        <w:t>Date Document Description</w:t>
        <w:br/>
        <w:t>“Hi the debate is ongoing and there is a concrete risk that a new law forcing to go back to 30 days billing is issued. We could expect to be asked to start invoicing 30 days for future billing cycles. Timing and implementation plans are not clear. We are defining a common industry position with Telecom Italia and the other operators” (emphasis added).</w:t>
        <w:br/>
        <w:t>Internal email from Vodafone 26 October 2017 Doc. ISP.399</w:t>
        <w:br/>
        <w:t>Internal email from TIM “Our understanding is that Vodafone will reprice, so the annual price will not change for Vodafone customers”.</w:t>
        <w:br/>
        <w:t>On this email, various information regarding other operators is reported, particularly:</w:t>
        <w:br/>
        <w:t>TIM: “3 months in the case of 30-day billing as in this scenario they do not foresee revising the offer prices (which would therefore remain valued at the current price applied on 28 days)”;</w:t>
        <w:br/>
        <w:t>H3G (Wind Tre): “they do not have to do anything as they were only now planning the 28-day billing for mobile customers: based on the news, they have interrupted activities. Therefore, no price revision activity is planned”;</w:t>
        <w:br/>
        <w:t>Wind (Wind Tre): “No price revision is planned (which will remain the same as the 28-day offers). […] They will only adjust the consumer clientele (no enterprise and large account)”;</w:t>
        <w:br/>
        <w:t>Vodafone: “The revision of the current prices of the 28-day offers will be planned” (emphasis added).</w:t>
        <w:br/>
        <w:t>It should be noted that for TIM and Wind, the expression “not revising the offer prices” is intended to indicate that they will remain valued at the current price applied on 28 days and therefore a re-proportioning from 13 to 12 fees and an increase of the nominal fee of 8.6%, as it is specified in parentheses and is consistent with other evidence external to Fastweb211. For H3G, it is stated that they do not have to do anything as 28-day billing was not present. Meanwhile, it also emerges that Vodafone will carry out further tariff maneuvers.</w:t>
        <w:br/>
        <w:t>Internal email from TIM indicating that the chosen scenario is that of an 8.6% repricing. This evidence should be read in comparison with document ISP.258 of November 9, 2017, in which there were three different scenarios under study by TIM and there was still no final decision on which to choose.</w:t>
        <w:br/>
        <w:t>211 In particular, in TIM's document it states “we will maintain current prices so the increase of 8.6% already done (no any other repricing)” (see doc. ISP.155). In Vodafone's document it states “To understand what they mean by ‘this adjustment will not entail for new customers increases in annual expenditure’ and in response it states “They mean that they do not increase ‘further’. That is, they confirm the increase introduced with the transition to 28 days but spread it over 12 monthly payments. Each month costs 8% more” (see doc. ISP.368). In Wind Tre's document it states “If it were decided to spread the value of the thirteenth invoice over the ‘first twelve’, this would not entail an increase in prices on an annual basis” (see doc. ISP.749).</w:t>
      </w:r>
    </w:p>
    <w:p>
      <w:r>
        <w:t>BULLETIN NO. 5 OF FEBRUARY 3, 2020 67</w:t>
        <w:br/>
        <w:t>Date Document Description</w:t>
        <w:br/>
        <w:t>Business plan of Wind Tre: the budget of Wind Tre that incorporates substantial reduction hypotheses of competition among operators, consisting, in particular: in the reduction of price aggressiveness/ARPU erosion, in the absence of a price war in transitional offers, and in the reduction of the churn-migration rate of customers compared to the past (2017).</w:t>
        <w:br/>
        <w:t>The email reveals the information that Vodafone will carry out a further tariff maneuver in addition to the repricing: “It has been learned that Vodafone intends to operate a repricing concurrently with the restoration of 30-day billing”.</w:t>
        <w:br/>
        <w:t>“we need to understand how much we will find it difficult to manage this maneuver towards a TIM that will instead say that they do not increase prices. We will find ourselves doubly exposed”.</w:t>
        <w:br/>
        <w:t>In the email, Vodafone raises the issue regarding the circumstance that TIM will carry out mere repricing without making subsequent maneuvers, which were instead planned by Vodafone.</w:t>
        <w:br/>
        <w:t>Doc. ISP.297</w:t>
        <w:br/>
        <w:t>The email also reveals that the option chosen by Vodafone (8.6% repricing) is not rationally convenient compared to other options (rounding or selective maneuvers). Regarding the absence of economic rationality, see also doc. ISP.371.</w:t>
        <w:br/>
        <w:t>176. From this evidence, it clearly emerges that the telephone operators involved in the proceeding have consistently communicated and shared their intention to maintain the increases already made, making their competitors aware and informed of this intention. A focal point has been created, consisting of maintaining the revenues already realized, on which competing companies have informed their commercial choices, reducing the uncertainties normally present in a competitive context.</w:t>
        <w:br/>
        <w:t>177. Based on the previous considerations, it emerges that the Parties have established a unique, complex, and ongoing agreement, of a secret nature, at least from November 14, 2017 (the date on which the terms of coordination were definitively concretized, according to what emerges from Fastweb's email212) to April 13, 2018 (the date of notification of the precautionary measure), aimed at determining the repricing of retail fixed and mobile communication services in connection with the adjustment to the provisions contained in Article 19 quinquiesdecies of Decree-Law No. 148/2017, restricting the ability of consumer-customers to benefit from the correct competitive comparison among operators when exercising the right of withdrawal.</w:t>
        <w:br/>
        <w:t>178. Finally, it is noted that the agreement has been implemented by all Operators; only the timely adoption of precautionary measures by the Authority, imposed during the investigation, has prevented the occurrence of concrete anti-competitive effects, forcing the Operators involved in the proceeding to redefine their commercial policies regarding the fees for fixed and mobile telecommunications services in a context of new uncertainty typical of a competitive market.</w:t>
        <w:br/>
        <w:t>IX.2 The relevant markets</w:t>
        <w:br/>
        <w:t>179. Preliminary, it is recalled that, in cases concerning agreements, the definition of the relevant market is essentially aimed at identifying the characteristics of the economic and legal context in which the coordination between competing companies is situated. For the purposes of assessing an agreement, the identification of the relevant market, although useful for precisely delineating and focusing the analysis of the behaviors of the companies involved, is functional to identifying the product and territorial scope in which coordination among competing companies manifests and the effects arising from the anti-competitive conduct, being in particular “functional to deciphering its degree of offensiveness”213.</w:t>
        <w:br/>
        <w:t>180. The evidence on record, extensively illustrated above214 in the dedicated section, allows us to conclude that the relevant markets for the agreement in question are as follows:</w:t>
        <w:br/>
        <w:t>i. market for retail mobile telecommunications services, with national geographical scope;</w:t>
        <w:br/>
        <w:t>ii. market for retail narrowband fixed network access services, with national geographical scope;</w:t>
        <w:br/>
        <w:t>iii. market for retail broadband and ultra-broadband fixed telecommunications services, with national geographical scope.</w:t>
        <w:br/>
        <w:t>181. In these markets, the telephone operators involved in the proceeding jointly hold market shares exceeding 85%-90% of volumes during the period December 2016-December 2018 (see Tables 2-6 above).</w:t>
        <w:br/>
        <w:t>IX.3 The legal qualification of the contested agreement</w:t>
        <w:br/>
        <w:t>182. Article 101, paragraph 1, of the TFEU prohibits, as incompatible with the internal market, all agreements between undertakings, all decisions of associations of undertakings, and all concerted practices that may affect trade between Member States and that have as their object or effect the prevention, restriction, or distortion of competition within the common market and, in particular, those consisting of directly or indirectly fixing purchase or selling prices or other trading conditions, limiting or controlling production, outlets, technical development, or investments, dividing markets or sources of supply.</w:t>
        <w:br/>
        <w:t>183. The fact that Article 101, paragraph 1, of the TFEU distinguishes the notion of concerted practice from that of agreements between undertakings is due to the intention to include, among the prohibited behaviors, any form of coordination of the activities of undertakings that, without being pushed to the achievement of a true agreement, constitutes in practice a conscious collaboration between undertakings to the detriment of competition (a “concerted practice”)215. The criteria of coordination and cooperation necessary to ascertain the existence of a concerted practice do not require the elaboration of a true plan, but must be understood in light of the rationale underlying the Treaty rules, which imposes on each undertaking to independently determine the conduct it intends to follow in the internal market and the conditions it intends to reserve for customers216. In this context, the agreement then takes on a secretive character where the activities in which it is articulated are</w:t>
      </w:r>
    </w:p>
    <w:p>
      <w:r>
        <w:rPr>
          <w:b/>
        </w:rPr>
        <w:t>[Pages 67–69]</w:t>
      </w:r>
    </w:p>
    <w:p>
      <w:r>
        <w:t>BULLETIN NO. 5 OF FEBRUARY 3, 2020 69</w:t>
        <w:br/>
        <w:t xml:space="preserve">conducted clandestinely, the meetings are secret, and the related documentation is minimized217.  </w:t>
        <w:br/>
        <w:t xml:space="preserve">184. It follows that Article 101, paragraph 1, of the TFEU prohibits any direct or indirect contact between competitors aimed at or having the effect of influencing the behavior of a real or potential competitor in the market or revealing to that competitor the behavior they have decided or intend to adopt in the market, facilitating a collusive outcome in that market218. In this context, when a company receives strategic data from a competitor (in the context of a meeting, or by phone or email), it will be presumed that it has accepted such information and has adjusted its behavior in the market accordingly219.  </w:t>
        <w:br/>
        <w:t xml:space="preserve">185. That said, within the framework of the set of behaviors described above, from which a concerted action between Telecom Italia, Fastweb, Wind Tre, and Vodafone emerges incontrovertibly, it is not necessary to make a specific qualification of the conduct as constituting, when considered individually, the offense of agreement or concerted practice, given the unity of the purpose pursued with the examined conduct. In fact, community jurisprudence has repeatedly noted that a series of behaviors by multiple companies having the same anti-competitive object can be considered an expression of a single infringement, partly attributable to the concept of agreement and partly to that of concerted practice, as the notion of agreement and that of concerted practice are not incompatible, sharing the same nature and differing only in their intensity and the forms in which they manifest220.  </w:t>
        <w:br/>
        <w:t xml:space="preserve">186. From the perspective of qualifying the offense, the key point of the assessment entrusted to the Authority consists in “distinguishing between forms of collusion that fall under antitrust prohibitions and simple parallel behaviors lacking elements of concertation”221. The criteria of coordination and collaboration must be understood in light of the conception inherent to the Treaty rules on competition, according to which each economic operator must autonomously determine the conduct it intends to follow in the common market222. According to community jurisprudence, the requirement of autonomy strictly prohibits “direct or indirect contacts between the operators themselves that may influence the market behavior of a current or potential competitor, or reveal to that competitor the conduct they have decided or intend to follow in the market when such contacts aim to create conditions of competition that do not correspond to the normal conditions of the market in question, taking into account the nature of the goods and services provided, the importance and number of companies, and the volume of that market”223.  </w:t>
        <w:br/>
        <w:t xml:space="preserve">187. In the case at hand, it is unequivocally evident from the collected evidence that the autonomy that should characterize the activities of the companies has been compromised and conditioned by the pursuit of the collusive purpose illustrated above. While this requirement of autonomy does not exclude that economic operators may intelligently adapt to the behavior of competitors in the market, it cannot allow for any contact, direct or indirect, between companies, aimed at or having the effect of influencing the market behavior of a current or potential competitor, or revealing to that competitor the behavior intended to be adopted in the market224.  </w:t>
        <w:br/>
        <w:t xml:space="preserve">188. The Court of Justice states, in fact, that: “although a parallelism of behaviors of competing companies in the market is not necessarily attributable to a concertation contrary to competition, it must be considered that an exchange of information that is capable of eliminating certain uncertainties among the parties involved regarding the timing, scope, and modalities of the adjustment that the interested company must make has an anti-competitive object”225. Furthermore, it states that: “Although the parallelism of behaviors cannot alone be identified with the concerted practice, it can, however, constitute a serious indication thereof, if it leads to conditions of competition that do not correspond to the normal conditions of the market, taking into account the nature of the products, the size and number of companies, and the volume of the market itself. This occurs when the parallel behavior allows the parties involved to find price equilibrium at a level different from that which would have been determined in a competitive regime, as well as to crystallize positions, to the detriment of the actual freedom of movement of goods in the common market and the free choice of suppliers by consumers”226.  </w:t>
        <w:br/>
        <w:t xml:space="preserve">189. It should also be noted that, according to established administrative jurisprudence, “The principle regarding competition expressed by the Treaty rules is that each economic operator must autonomously determine its conduct in the market; this does not exclude that it has the right to react rationally to the observed or expected behavior of its competitors; however, it prohibits establishing any contact, direct or indirect, with the competitors aimed at influencing each other's behavior in the market or keeping each other informed of the behaviors intended to be implemented. If such contacts were allowed, in fact, it would replace “the risk of competition with the advantage of concertation” and the consumer would be systematically deprived of the benefits arising from the physiological tendency of each competing company to capture market shares by offering more favorable conditions than other companies”227.  </w:t>
        <w:br/>
        <w:t xml:space="preserve">190. That said, in light of the principles expressed by the aforementioned jurisprudence, the behaviors assumed by the Parties, analytically described above, can only be read in a unitary manner, and constitute an expression of a single “overall plan,” representing a unique, complex, and ongoing agreement restrictive of competition, resulting from a conscious collaboration of all parties involved in the investigation, aimed at eliminating the risks associated with the unfolding of correct competitive dynamics in the relevant markets.  </w:t>
        <w:br/>
        <w:t xml:space="preserve">191. Furthermore, it is noted that community jurisprudence considers a restrictive agreement to be configurably established even when, in a predominantly competitive market, the concertation concerns a one-time adjustment of market behavior in reference to a single competitive parameter228. In such cases, even a single contact between the parties may be sufficient to achieve the anti-competitive purpose pursued by the involved companies and limit their commercial autonomy in the market.  </w:t>
        <w:br/>
        <w:t xml:space="preserve">IX.3.1 The Restrictiveness of the Agreement  </w:t>
        <w:br/>
        <w:t xml:space="preserve">192. The investigative findings also prove that the collusive scheme described, due to its nature, as well as the context and characteristics of the markets in which it is inserted, constitutes a restriction of competition by object, capable of reducing the uncertainties of companies regarding the functioning of the market in a moment of exogenous shock, understood as a regulatory change in billing periodicity.  </w:t>
        <w:br/>
        <w:t xml:space="preserve">193. As is known, according to established community and national jurisprudence, all agreements that have as their object or effect a significant restriction of competition in the national market are prohibited229.  </w:t>
        <w:br/>
        <w:t xml:space="preserve">194. The same jurisprudence has consistently emphasized that the anti-competitive object and effect are not cumulative conditions, but rather alternative ones, and that, to determine whether an agreement is susceptible to being prohibited under Article 101 of the TFEU, it is unnecessary to consider its concrete effects, “where it is evident that it aims to prevent, restrict, or distort the play of competition within the common market”230. In fact, “the difference between infringements by object and infringements by effect lies in the fact that certain forms of collusion between companies can be considered by their very nature harmful to the proper functioning of normal competition”231.  </w:t>
        <w:br/>
        <w:t xml:space="preserve">195. The essential legal criterion for determining whether coordination between companies entails a restriction of competition by object lies in the fact that such coordination presents “a sufficient degree of harm to competition”232.  </w:t>
        <w:br/>
        <w:t>196. Furthermore, more generally, to assess whether an agreement presents a sufficient degree of harm to be considered a restriction by object, it is also necessary to refer to the objectives that</w:t>
      </w:r>
    </w:p>
    <w:p>
      <w:r>
        <w:rPr>
          <w:b/>
        </w:rPr>
        <w:t>[Pages 70–72]</w:t>
      </w:r>
    </w:p>
    <w:p>
      <w:r>
        <w:t>72 BULLETIN NO. 5 OF FEBRUARY 3, 2020</w:t>
        <w:br/>
        <w:t>it aims to achieve, as well as the economic and legal context in which it operates233. The degree of comprehensiveness with which the economic and legal context must be examined depends on the nature of the contested conduct. Therefore, when the anti-competitive objective is evident, the analysis of the economic and legal context in which the practice is situated can be limited to what is strictly necessary234.</w:t>
      </w:r>
    </w:p>
    <w:p>
      <w:r>
        <w:t>197. Some forms of coordination, particularly those referred to in Article 101 TFEU, according to the aforementioned case law, automatically meet this criterion: “it is indeed undisputed that certain collusive behaviors, such as those leading to horizontal price fixing, have negative effects, in particular, on the price, quantity, or quality of products or services” so that, “it may be deemed unnecessary, for the purposes of applying Article 81, paragraph 1, EC [now Article 101 TFEU], to demonstrate that such behaviors have concrete effects on the market235.</w:t>
      </w:r>
    </w:p>
    <w:p>
      <w:r>
        <w:t>198. As emerged from the examination of the investigation findings and will be further highlighted below, in this case, all the necessary conditions are met for the unique, complex, and continuous agreement implemented by the parties in this proceeding to be attributed a sufficient degree of harmfulness to competition such as to qualify it as restrictive “by object”.</w:t>
      </w:r>
    </w:p>
    <w:p>
      <w:r>
        <w:t>199. As already mentioned in the introduction, the collusive strategy implemented by Fastweb, TIM, Vodafone, and Wind Tre was aimed at maintaining the existing price level and hindering the mobility of their respective customer bases during the period under investigation, thus preventing the proper functioning of competitive dynamics among operators. The coordination was primarily aimed at preserving the existing price level, eliminating any incentive for consumers to exercise the right of withdrawal, and thus crystallizing market shares, limiting the level of competition among Operators. Only a cohesive behavior, in fact, would have determined a perception of substantial uselessness of migration236 and thus reduced the level of competition at a time of regulatory change regarding billing periodicity.</w:t>
      </w:r>
    </w:p>
    <w:p>
      <w:r>
        <w:t>200. As repeatedly emphasized by the Council of State, “price has particular importance as a tool of competition (it is the main weapon of competition among businesses)” and this “leads to the conclusion that any form of collusive conduct through which businesses alter its formation mechanism is prohibited”237.</w:t>
      </w:r>
    </w:p>
    <w:p>
      <w:r>
        <w:t>201. It is also recalled that, according to the consistent case law of the Council of State, the category of prohibited price agreements includes “not only agreements through which businesses set prices at precisely determined levels or establish minimum prices below which they commit not to sell, but, more generally, all agreements that aim or have the effect of</w:t>
      </w:r>
    </w:p>
    <w:p>
      <w:r>
        <w:t>233 Cited judgments.</w:t>
        <w:br/>
        <w:t>234 See, inter alia, judgment of the Court of Justice, of January 20, 2016, in case C-373/14 P, Toshiba/Commission, cited.</w:t>
        <w:br/>
        <w:t>235 See judgment of the Court of Justice EU, of September 11, 2014, in case C-67/13 P, Groupement des cartes bancaires (CB)/Commission.</w:t>
        <w:br/>
        <w:t>236 On this point, for example, it is noted that according to CODICI “many consumers perceived that the switch was useless in the presence of uniform behavior among all operators” (see doc. 193). According to Altroconsumo, “consumers, given the uniform practice, first, of maintaining four-week billing, then, of increasing the nominal fee upon switching to monthly billing, could not effectively exercise the right of withdrawal without penalties that in abstract had been recognized, as it did not seem convenient to migrate to other operators in light of the aforementioned uniformity of conduct” (see doc. 194).</w:t>
        <w:br/>
        <w:t>237 See, inter alia, Council of State No. 896/2011 of February 9, 2011, regarding case I694 – Price list of pasta.</w:t>
      </w:r>
    </w:p>
    <w:p>
      <w:r>
        <w:t>BULLETIN NO. 5 OF FEBRUARY 3, 2020 73</w:t>
        <w:br/>
        <w:t>short-circuit the free individual determination of price and, therefore, its natural flexibility”238.</w:t>
      </w:r>
    </w:p>
    <w:p>
      <w:r>
        <w:t>202. Furthermore, “the objective of a cartel may well consist solely in collusively mitigating the reduction of prices of certain goods or services in a context characterized by exogenous factors such as, for example, the progressive crisis of a sector or the reduction of demand”239. Finally, it is believed that an anti-competitive object also concerns those agreements aimed at market sharing240 and maintaining market shares241.</w:t>
      </w:r>
    </w:p>
    <w:p>
      <w:r>
        <w:t>203. The coordination sought by the Operators had the evident purpose of maintaining revenues in the transition from four-week billing to monthly billing and, at the same time, limiting the outflow of their customer base. Only the uniformity of behaviors would have limited the outflow of their customers to competitors, due to the fact that it would have created in the consumer the perception of the absence of convenience in changing operators, thus favoring inertia.</w:t>
      </w:r>
    </w:p>
    <w:p>
      <w:r>
        <w:t>204. In this case, however, the full realization of the effects of the agreement was avoided due to the timely adoption of precautionary measures by the Authority242, which imposed on Fastweb, TIM, Vodafone, and Wind Tre to define the terms of their service offerings independently of competitors, in accordance with the regulatory framework that each individual operator is required to comply with.</w:t>
      </w:r>
    </w:p>
    <w:p>
      <w:r>
        <w:t>IX.3.2 The secrecy of the agreement</w:t>
      </w:r>
    </w:p>
    <w:p>
      <w:r>
        <w:t>205. The behaviors carried out by the Parties, when considered as a whole, reveal, contrary to what has been claimed, the secrecy of the agreement in question.</w:t>
      </w:r>
    </w:p>
    <w:p>
      <w:r>
        <w:t>206. As clearly emerges from the examination of the investigation findings, the coordination contested here does not concern the official meetings that the operators had during the procedural participation or in association, in which the exercise of the right of defense in collective form or the protection of sector interests was discussed, but rather the inter-party contacts that occurred alongside and downstream of the official occasions for confrontation.</w:t>
      </w:r>
    </w:p>
    <w:p>
      <w:r>
        <w:t>207. The contacts from which the agreement arose were, in fact, conducted via conference calls and emails. The investigation findings show that the Operators were careful to preserve the secrecy of the discussions: Vodafone's warning to “write little”243 is recalled in this regard. Moreover, it should be noted that many of the evidence obtained, although consisting of emails intended for all Parties, were found during the inspection investigations only at some companies.</w:t>
      </w:r>
    </w:p>
    <w:p>
      <w:r>
        <w:t>208. On this point, administrative case law confirms that an agreement is secret if “it was certainly not made public and to prove it, correspondence from the involved companies had to be obtained, which is normally covered by correspondence secrecy”244.</w:t>
      </w:r>
    </w:p>
    <w:p>
      <w:r>
        <w:t>IX.4 The rebuttal of the main defenses of the Parties</w:t>
      </w:r>
    </w:p>
    <w:p>
      <w:r>
        <w:t>209. In light of the clear picture that emerges from the overall and contextual reading of the investigation findings, the Parties have focused their defenses, in particular, (i) on the definition of repricing, in order to exclude that there was an agreement on prices, (ii) on the qualification of the contacts, in order to bring them back within the bounds of legitimacy, (iii) on the economic rationality and autonomy of the behaviors, in an attempt to provide an alternative explanation to the concertation.</w:t>
      </w:r>
    </w:p>
    <w:p>
      <w:r>
        <w:t>210. In the following, responses will be provided to the arguments made by the Parties in order to highlight their speciousness and unfounded nature.</w:t>
      </w:r>
    </w:p>
    <w:p>
      <w:r>
        <w:t>IX.4.1 The definition of repricing</w:t>
      </w:r>
    </w:p>
    <w:p>
      <w:r>
        <w:t>211. The Parties have argued that the very object of the agreement was lacking as the repricing maneuver did not entail an increase in annual expenditure for the consumer245, consisting of the reparameterization of the cost of products offered to their customers to a monthly period.</w:t>
      </w:r>
    </w:p>
    <w:p>
      <w:r>
        <w:t>212. On this point, it is noted that the reference to annual expenditure is a communicative strategy aimed at bringing to the consumer's attention the invariance of annual expenditure, although this effectively results in a repricing of the periodic fee in the transition to monthly billing.</w:t>
      </w:r>
    </w:p>
    <w:p>
      <w:r>
        <w:t>213. It is noted that in the communication of telecommunications offers, whether mobile or fixed, the price communicated is always the periodic fee (for example, €24.90/month), while the annual expenditure does not constitute a contractual parameter for the users receiving the communications. The only amount known to them is that of each individual renewal of the offer, whether it is weekly, four-weekly, or monthly (but certainly not annual or daily). The investigation findings have shown that it is precisely on the basis of the individual renewal marketed that consumers make their choices to adhere to an offer or withdraw from the contract by changing operators246.</w:t>
      </w:r>
    </w:p>
    <w:p>
      <w:r>
        <w:t>214. Fastweb itself acknowledges that consumers are unable to perceive the price increases resulting from the change in billing periodicity, nor to identify ex ante the so-called hidden costs, thus confirming that consumer choices are essentially based on the amount of the marketed periodic fee, which becomes the main parameter of competition247.</w:t>
      </w:r>
    </w:p>
    <w:p>
      <w:r>
        <w:t>215. Prior to the events related to the modification of billing periodicity, the tariff changes communicated to customers had never occurred through reference to annual expenditure (or to a percentage), but had always been quantified in a specific amount to be added to the offer fee (e.g., +€1.50). The unusual nature of the repricing</w:t>
      </w:r>
    </w:p>
    <w:p>
      <w:r>
        <w:t>244 See Council of State, Section 6, December 31, 2018, No. 7320 and Council of State, Section VI, March 21, 2019, No. 1900.</w:t>
        <w:br/>
        <w:t>245 See doc. 40.</w:t>
        <w:br/>
        <w:t>246 See docs. 45, 192, 193, and 194.</w:t>
        <w:br/>
        <w:t>247 See doc. 45.</w:t>
      </w:r>
    </w:p>
    <w:p>
      <w:r>
        <w:rPr>
          <w:b/>
        </w:rPr>
        <w:t>[Pages 73–75]</w:t>
      </w:r>
    </w:p>
    <w:p>
      <w:r>
        <w:t>BULLETIN NO. 5 OF FEBRUARY 3, 2020 75</w:t>
        <w:br/>
        <w:t>through the reference to the percentage of 8.6%, it also becomes evident by observing the anomaly of the new monthly fees that presented decimal figures without rounding (for example, 10.86), a circumstance entirely new for the market and for consumers. The validity of this observation clearly emerges when examining what occurred in the market following the 8.6% repricing: all Parties indeed resumed communicating fee changes to their customers through the previous methods. See, for example, the tariff increases announced subsequently248.</w:t>
      </w:r>
    </w:p>
    <w:p>
      <w:r>
        <w:t>216. In relation to Wind Tre's defense, which claims to have previously implemented a percentage increase in the fee during the change of the VAT rate249, the following should be noted. First, the case of the VAT increase consists of a percentage tax calculated on the taxable amount; therefore, if the operator decided to pass on the increase of the VAT percentage rate to its customers, such passing on would affect the price percentage-wise. Secondly, it is noted that, according to what emerged during the investigation, Wind Tre stated that it did not communicate the tariff change pursuant to Article 70 of Legislative Decree No. 259 of August 1, 2003 (thus without recognizing the right of withdrawal), as the change in VAT was imposed by law and the variation was discernible from the invoice; this interpretation was applied both to consumer customers250 and to individual business customers251. Without prejudice to any potential violations of the regulatory provisions referred to in the aforementioned Article 70 of Legislative Decree No. 259/2003, due to the failure to recognize the right of withdrawal for consumer customers252 arising from the unilateral modification of a price including VAT253, it should be noted that in this case the percentage increase would have occurred without allowing customers to migrate to other operators, thus confirming the existing link between the behaviors under examination and the intention to reduce customer mobility.</w:t>
      </w:r>
    </w:p>
    <w:p>
      <w:r>
        <w:t>217. The defenses of the Parties arguing that the contested repricing was not an increase but merely a reallocation of annual expenditure do not appear to be shareable. The definition of the aforementioned repricing is indeed not suitable to change the anti-competitive nature of the coordination under examination, as it does not affect the fact that the Parties exchanged competitively sensitive information regarding the pricing conditions they would apply to their customer base during the change in billing periodicity. In a moment of exogenous market shock, the coordination concerning the reallocation of the fee on the assumption of invariance of annual expenditure constitutes an agreement akin to a coordination concerning any other variation in pricing conditions, especially since the telecommunications market has shown a trend of price reduction for years, and therefore, even maintaining the price level constitutes a discontinuity with this trend.</w:t>
      </w:r>
    </w:p>
    <w:p>
      <w:r>
        <w:t>218. It should be noted, in fact, that the Parties have repeatedly pointed out that the markets under examination have experienced a strong contraction in prices254, to the extent that "competitive pressure has always imposed a review of such choices and determined an inevitable negative trend in prices."255. Therefore, the behaviors under examination are discontinuous and contrast with this market trend, arising from the free play of competition.</w:t>
      </w:r>
    </w:p>
    <w:p>
      <w:r>
        <w:t>219. Upon the return to monthly billing imposed by law, companies were called to redetermine the cost of the monthly renewal of offers and communicate it to customers. In this context, the commercial autonomy of each company should have been expressed. Companies had various alternatives through which to implement the legislative changes (maintaining the same fee provided for four-week offers also for monthly offers, mere repricing, even if not generalized across the entire customer base but diversified by types of offers, different determination of rates, migration of the customer base to new tariff plans); all these alternatives were theoretically lawful, and each of them was obviously underpinned by a certain risk factor given the lack of knowledge of the alternatives that competitors would choose. Therefore, what is not lawful – and is not permitted – is to choose one of these alternatives in a coordinated manner with competitors, thereby acquiring certainty about the future market behaviors of competitors and ensuring that no one "breaks ranks," consequently eliminating the normal risk inherent in every strategy.</w:t>
      </w:r>
    </w:p>
    <w:p>
      <w:r>
        <w:t>220. Similarly, the arguments of the Parties aimed at supporting the diversity of behaviors and the presence of evidence showing internal studies within companies on tariff hypotheses that are temporally subsequent to the coordination appear to lack merit. In fact, this decision concerns a coordination that eliminates the typical uncertainty of a competitive context, to the extent that the choices of competing companies become informed and determined based on the knowledge of each other's intentions, consisting of the willingness to carry out repricing with a reallocation of fees.</w:t>
      </w:r>
    </w:p>
    <w:p>
      <w:r>
        <w:t>221. In this sense, in extremely complex markets, such as telecommunications – with hundreds of offers and tariff profiles and various variables (package price, contents, additional options, promotional offers) – the terms of a coordination can be sought through the identification of a focal point256, that is, a synthetic and general variable, such as the application of the repricing subject to coordination. The definition of a focal point appears to be an effective and convenient coordination tool precisely because of the complexity of the structure of the offers, as well as the need to make an immediate commercial choice (which affects a large portion of the customer base) and simultaneous among Operators (without the possibility of observing others' behavior and adapting over time).</w:t>
      </w:r>
    </w:p>
    <w:p>
      <w:r>
        <w:t>222. Moreover, from a comprehensive reading of the evidence, it emerges that all Operators have implemented the repricing with some marginally different aspects that do not compromise the uniform application of the general rule given by the focal point, which – as can be observed in Table 1 above – concerned almost all offers at 28 days for all Operators. This ancillary policy does not substantially differentiate the behaviors of the Operators, where the evidence relates to a coordination concerning the repricing of the fee.</w:t>
      </w:r>
    </w:p>
    <w:p>
      <w:r>
        <w:t>223. In fact, it should be noted that some more significant differences are found on elements that fall outside the focal point of repricing. This is the case of the increase in contents (reallocation of allowances) implemented by TIM (which increased the SMS, minutes, and data of mobile packages by 8.6%) and by Wind Tre (with a 10% increase in contents), but not implemented by Fastweb and Vodafone. However, this confirms the presence of an agreement concerning repricing. In fact, with regard to the economic aspect, there was uniformity of behaviors attributable to the terms of cooperation, while regarding the contents of the allowances – on which there was no comparison – the Parties made their commercial choices independently, which show evident differences. The coordination thus focused on the focal element represented by the economic aspect of repricing and on the methods of presenting it to users.</w:t>
      </w:r>
    </w:p>
    <w:p>
      <w:r>
        <w:t>224. Considering the reconstructions regarding the alleged differences in behaviors among the Parties, the following should be noted. Fastweb's defenses aimed at outlining the differences between its position and that of competitors in the general market context are irrelevant to the subject of the behaviors under examination and, in many cases, to the period in which they occurred. The evidence shows that, with reference to the +8.6% repricing communicated during the regulatory adjustment, Fastweb actively participated in the agreement under examination, engaging in continuous coordination with the other Operators. In many cases, moreover, Fastweb was a promoter and extremely active part of this coordination257, which it itself implemented in the terms communicated to the other Operators.</w:t>
      </w:r>
    </w:p>
    <w:p>
      <w:r>
        <w:t>225. Fastweb's customers were subjected to the +8.6% repricing, and Fastweb did not initiate active policies to migrate its customers to the allegedly more advantageous new offers, thus the presence of a possibility to access the new offers within the strategy #nientecomeprima does not matter in supporting a differentiation of Fastweb's conduct.</w:t>
      </w:r>
    </w:p>
    <w:p>
      <w:r>
        <w:t>226. To prove this, it suffices to think that the effects of price reductions for its customers, which Fastweb believes are attributable to its differentiated conduct258, are nothing more than the effect of the Authority's precautionary measure. In fact, in compliance with this precautionary measure, Fastweb communicated that, "using some tools already provided within its typical commercial strategy 'niente come prima,' it selectively directed customer awareness campaigns towards the less dynamic customer segment regarding the</w:t>
      </w:r>
    </w:p>
    <w:p>
      <w:r>
        <w:rPr>
          <w:b/>
        </w:rPr>
        <w:t>[Pages 76–78]</w:t>
      </w:r>
    </w:p>
    <w:p>
      <w:r>
        <w:t>78 BULLETIN NO. 5 OF FEBRUARY 3, 2020</w:t>
        <w:br/>
        <w:t>the possibility of changing their tariff plan free of charge and without time constraints in order to encourage the switch to the new and more advantageous offers marketed by Fastweb. This active policy of repositioning Fastweb's customers towards the new commercial offers of fixed and mobile services aims to achieve, in compliance with the precautionary measure, a reduction in repricing, resulting from the transition to monthly billing, which brings the average nominal increase from 8.6% to no more than 8.2% by June 30, 2018 […] In the event that the average result of the monthly repricing, as of June 30, 2018, is higher than the maximum target set of 8.2%, Fastweb commits to immediately reposition an additional and sufficient share of the customer base in order to achieve the predetermined result, allowing in any case the repositioned customers the right to withdraw from the contract free of charge259 (emphasis added). Clearly, Fastweb's commercial conduct changed following the precautionary measure, adopting measures aimed at pushing the more inert customers towards internal mobility (towards new and more advantageous Fastweb offers), resulting in savings for them and even contemplating a forced repositioning in the event of failure of such solicitations.</w:t>
      </w:r>
    </w:p>
    <w:p>
      <w:r>
        <w:t>227. This clearly confirms that the common thread of the examined conduct consists in preserving the repricing by associating it with a reduction in customer mobility, through compact and uniform behaviors that convey to the consumer the idea that it is not worth changing their telephone provider, as there would be no difference in market conduct among these Operators.</w:t>
      </w:r>
    </w:p>
    <w:p>
      <w:r>
        <w:t>228. As for TIM's reconstructions regarding the applied repricing percentage260, which would differ from 8.6%, it must also be noted that TIM has always communicated the repricing of 8.6%. The percentages that would allegedly have been applied by TIM are the result of a reconstruction that: (i) for mobile telephony, reduces the repricing by considering the effect of the increase in content (minutes, SMS, data), which as seen are ancillary elements not falling within the terms of the focal point; (ii) for fixed telephony, reduces the repricing as there is the exclusion of universal service offers and subsidized categories (the price of which, however, is defined by AGCOM and, therefore, not within TIM's control261); (iii) for business customers, increases the repricing with tariff maneuvers that had already been decided before the introduction of the regulation262 (in fact, they were established in the early months of 2017) related to the change in billing and which are unrelated to the coordination. Indeed, some evidence shows that TIM's choice regarding business users alarmed Fastweb, which immediately contacted TIM for explanations263. TIM then explains that this repricing method was linked to the fact that for a significant portion of business customers, monthly billing had been maintained and there was an ongoing repricing maneuver. This confirms the presence of coordination on the focal point, to the extent that a divergent behavior alarmed one of the Parties, which immediately sought accountability for such behavior.</w:t>
      </w:r>
    </w:p>
    <w:p>
      <w:r>
        <w:t>229. Considering the previous evidence, therefore, TIM's thesis, according to which the amount of its repricing would differ from 8.6%, is deemed unfounded. In general, what emerges from the documentation on record is that all Parties had to adapt the terms of coordination to certain contingent cases, such as regulatory obligations. Such contingent constraints do not exclude the presence of coordination among the Operators, who used information about competitors' future strategies to define their economic behavior in the market without the uncertainty typical of the competitive context.</w:t>
      </w:r>
    </w:p>
    <w:p>
      <w:r>
        <w:t>230. As for Wind Tre, and the exclusions related to certain customers, it is sufficient to read Fastweb's email of November 14, 2017, in which the presence of such exclusions for certain types of Wind Tre customers is clearly indicated (“WIND: […] They will only adjust the consumer clientele (no enterprise and large account)”264). Similarly for Vodafone, in the same Fastweb email, it emerges that for “VODAFONE: […] A review of the current prices of the 28-day offers will be provided.”265, confirming the study of additional options of the same, which is also reported in Telecom's email of December 7, 2017, which states: “It has been learned that Vodafone intends to carry out a repricing simultaneously with the restoration of billing to 30 days; in this regard, the Legal and Regulatory Functions have recommended caution and to avoid the simultaneity of the price changes (the right of withdrawal of customers must be guaranteed in the event of changes to the economic conditions of the offer)”266. Thus, the differences were fully discussed in the context of commercial coordination.</w:t>
      </w:r>
    </w:p>
    <w:p>
      <w:r>
        <w:t>231. The thesis, supported by the Parties, that the repricing of +8.6% was a natural consequence of the regulation regarding billing, appears to be intrinsically contradictory. On one hand, in fact, the Operators qualify the contacts as mere “intelligence” on the commercial policies of competitors and, on the other hand, claim that the repricing carried out at the time of the transition from four-week to monthly billing was an obligatory choice, without alternatives, independent of the strategies of other Operators.</w:t>
      </w:r>
    </w:p>
    <w:p>
      <w:r>
        <w:t>232. It is one or the other: either the repricing was an obligatory choice, and therefore the almost daily activity of “intelligence” would have been entirely superfluous, or the elimination of uncertainty regarding competitors' behavior was functional to the determinations regarding the commercial policy to be adopted in the event of regulatory adjustment. Indeed, the documentation on record, which highlights the monitoring and exchange of information, excludes the circumstance that the telephone Operators considered repricing an obligatory choice.</w:t>
      </w:r>
    </w:p>
    <w:p>
      <w:r>
        <w:t>233. Furthermore, there is another inconsistency between the defenses of the Parties; in fact, if the repricing of the fee in the contested measure were the necessary consequence of the transition from four-week to monthly billing (it would have been a mere arithmetic calculation of re-proportioning the fee based on the daily cost of services), in the reverse transition (that is to say the first transition from monthly to four-week), there would have been a re-proportioning of the fee to the advantage of the customer267, a circumstance that did not occur.</w:t>
      </w:r>
    </w:p>
    <w:p>
      <w:r>
        <w:t>234. On the other hand, that the repricing of monthly fees was not the automatic result of the implementation of the regulatory obligation is also evident from the examination of AGCOM Guidelines according to which: “Upon the restoration of the renewal frequency of offers and the billing of services on a monthly basis or multiples of the month, in compliance with what is provided for by the new paragraph 1-bis, Article 1 of Decree-Law January 31, 2007, No. 7, converted with modifications by Law April 2, 2007, No. 40, operators could decide to modify other elements of the offer, including the tariff profiles. In this case, it is specified that any variation in the price of services and/or renewals of offers constitutes an exercise of the ius variandi referred to in Article 70, paragraph 4, of Legislative Decree 259/2003 and thus gives rise, for users, to the right to be informed with adequate notice, not less than thirty days, regarding the aforementioned changes as well as regarding the possibility of exercising the right of withdrawal without penalties or deactivation costs” (emphasis added).</w:t>
      </w:r>
    </w:p>
    <w:p>
      <w:r>
        <w:t>235. The periodicity of billing and the daily cost of services, therefore, are not necessarily correlated as they are an autonomous commercial choice of the telephone operators268. This point must be emphasized precisely to understand the offensiveness of the conduct of the Parties, as the agreement subject to this proceeding directly affects this commercial choice.</w:t>
      </w:r>
    </w:p>
    <w:p>
      <w:r>
        <w:t>236. Contrary to what Asstel claims – that compliance with a regulatory obligation would not represent a moment of competitive differentiation of a commercial nature – it is confirmed that the implementation of the legal obligation left the Operators free to determine the “price” component of the commercial offer, binding them only on the “billing periodicity” component. On the other hand, that compliance with the regulatory obligation can be variously and differently interpreted and implemented by the Parties, in the absence of coordination, has been demonstrated in the phase of compliance with the precautionary measure ordered by the Authority in the context of the proceeding. The Parties have, in fact, translated the same precautionary order into at least three different implementation modalities, respecting the regulatory provision while applying different price conditions to their customer base.</w:t>
      </w:r>
    </w:p>
    <w:p>
      <w:r>
        <w:t>237. On this last point, it is noted that Fastweb's defense, according to which the company would not have changed its commercial policy in compliance with the precautionary measure, is completely unfounded. In fact, as seen previously, Fastweb applied an active policy of repositioning customers that utilized existing tools and encouraged customers to migrate. In this way, Fastweb actively urged its customers, indiscriminately subject to the tariff reconfiguration subject to the proceeding, to migrate to the new, more advantageous tariff plans without incurring the costs of changing plans.</w:t>
      </w:r>
    </w:p>
    <w:p>
      <w:r>
        <w:t>238. Therefore, Fastweb's defense that it did not implement any measures to comply with the precautionary order is unfounded. In fact, Fastweb itself stated that it had</w:t>
      </w:r>
    </w:p>
    <w:p>
      <w:r>
        <w:rPr>
          <w:b/>
        </w:rPr>
        <w:t>[Pages 79–81]</w:t>
      </w:r>
    </w:p>
    <w:p>
      <w:r>
        <w:t>BULLETIN NO. 5 OF FEBRUARY 3, 2020 81</w:t>
        <w:br/>
        <w:t>“selectively directed towards the less dynamic customer segment the customer awareness campaigns regarding the possibility of changing their tariff plan free of charge and without time constraints in order to encourage the transition to the new and more convenient offers marketed by Fastweb” 269. Fastweb has therefore initiated, in compliance with the precautionary measure, an “active policy of repositioning Fastweb's customers towards the new commercial offers of fixed and mobile services” 270, with the aim of reducing repricing.</w:t>
      </w:r>
    </w:p>
    <w:p>
      <w:r>
        <w:t>239. It is also noted that many of the defenses put forward by the Parties are based on the entirely apodictic assumption that the counterfactual scenario hypothesized by the Authority in the context of this proceeding is one in which the change in billing periodicity would necessarily have led to a reduction in prices. In fact, both the precautionary measure and the Communication of Investigative Findings merely asserted that the repricing as carried out is the result of coordination and, therefore, illegitimate from an antitrust perspective. The counterfactual scenario of the agreement is one in which the commercial choices of the Parties, whatever they may be, were determined autonomously and without being influenced by knowledge of the competitors' intentions. Indeed, this approach is also confirmed in the precautionary measure, whose objective was precisely to obtain a re-edition of the commercial choices in a context of new uncertainty typical of a competitive market, a context opposed to that in which the main competitors in the relevant markets exchanged sensitive information about the strategies to be followed.</w:t>
      </w:r>
    </w:p>
    <w:p>
      <w:r>
        <w:t>240. Finally, regarding the Parties' thesis concerning the competitive dynamism of the affected markets and the presence – in the last decade – of a constant reduction in prices, it is unclear how such a statement could benefit the position of the Parties themselves. It is evident that the greater the degree of competitive tension in the market, the greater the need to eliminate the uncertainty typical of such tension and the risk of revenue loss due to customer churn at a time of general revision of billing methods. In fact, it should be emphasized that the legislative changes affected a significant portion of the customer bases of the Operators, with almost simultaneous and immediate modifications and with the impossibility of adapting their strategy over time. It was therefore a moment of very high competitive tension, capable of impacting numerous customers. In any case, as mentioned above, a restrictive agreement can also be aimed at countering a natural contraction of prices resulting from the free play of competition.</w:t>
      </w:r>
    </w:p>
    <w:p>
      <w:r>
        <w:t>241. It should be noted that – as indicated by several operators – the commercial offers reserved for new customers are usually lower than those applied to the existing customer base. This is due to the presence of exit administrative costs (for example, searching for new offers, costs and times for signing the contract) that create a propensity for consumer inertia, who will therefore decide to migrate to a new operator only in the presence of more convenient offers. It follows that the lower the price paid by the existing customer base, the lower the price reserved for new customers must be. It directly follows that maintaining a price level above the competitive level for the existing customer base results in a lower incentive to offer lower prices even to new customers. In other words, if competitors' customers pay a higher price, less competitive effort will be required to acquire them271.</w:t>
      </w:r>
    </w:p>
    <w:p>
      <w:r>
        <w:t>242. TIM argued that this relationship is not confirmed by its internal data, as it would emerge that “the relationship between the aforementioned two values is inverse to that hypothesized: aggressive acquisition offers require higher prices for the customer base, because they reduce the average ARPU”272. However, TIM's analysis concerns TIM's average revenue and the variable “discount” for new customers (that is, the difference between the ARPU of old and new customers). In this regard, it is noted that (i) TIM's data are irrelevant as the relationship concerns the prices applied by one operator compared to the prices of the competitor (and not the prices of old and new customers of the same operator) and (ii) the fact that when the ARPU of old customers shows no correlation with the “discount” for new customers says nothing about the prices charged, because this relationship does not capture their movements: in fact, the discount depends on both the ARPU of new customers and old customers, so if the discount is constant and the ARPU of old customers increases (and therefore, as claimed by TIM, there would be no apparent relationship), this means that as the price (ARPU) for old customers increases, the price (ARPU) for new customers has also increased enough to keep the discount constant273.</w:t>
      </w:r>
    </w:p>
    <w:p>
      <w:r>
        <w:t>243. Indeed, it is clear that if a customer pays €10/month, they will be encouraged (all else being equal) to change operators only if they find offers lower than €10/month, while if they pay a higher amount (for example, €12), they might change operators even with offers of €11 or €11.50. There is therefore an irreparable alteration of competitive dynamics, even future ones, connected to the compromise of the mechanisms of normal competitive comparison that affect the relevant fixed and mobile telecommunications markets.</w:t>
      </w:r>
    </w:p>
    <w:p>
      <w:r>
        <w:t>IX.4.2 The nature of the contacts between the Parties in light of the investigative evidence and the respect of the evidentiary standard</w:t>
      </w:r>
    </w:p>
    <w:p>
      <w:r>
        <w:t>244. The defenses of the Parties attempt in vain to downplay the evidentiary value of the inspection documentation, providing alternative readings of it and claiming that the Authority has made partial and instrumental use of it and, therefore, there are no elements of proof suitable to sufficiently demonstrate the existence of an infringement of Article 101 TFEU.</w:t>
      </w:r>
    </w:p>
    <w:p>
      <w:r>
        <w:t>245. Upon closer examination, the Parties propose an atomistic reading of each individual document, providing alternative explanations, often incoherent and contradictory between one document and another, invoking the application of the principle of the presumption of innocence and neglecting the overall picture that emerges from the collectively assessed investigative findings.</w:t>
      </w:r>
    </w:p>
    <w:p>
      <w:r>
        <w:t>246. On this point, it should be noted that the presumption of innocence or the principle in dubio pro reo can apply in cases where the overall reading of the evidentiary framework leaves room for an alternative explanation of the conduct under investigation; a circumstance that certainly does not occur in this case where the anti-competitive nature of the conduct is clearly evident from the documents on file which represent, in fact, full proof of the infringement and not mere indications or presumptions.</w:t>
      </w:r>
    </w:p>
    <w:p>
      <w:r>
        <w:t>247. The judgments cited by the Parties, particularly by Vodafone274, in support of their theses are, among other things, irrelevant as they refer to cases contesting mere parallelism of conduct in the market, a situation different from that subject to this measure which, as extensively explained in the section dedicated to the legal framework of the agreement and as will be reiterated below, concerns the concertation on repricing aimed at maintaining the level of existing prices and hindering the mobility of customer-consumers.</w:t>
      </w:r>
    </w:p>
    <w:p>
      <w:r>
        <w:t>248. In any case, it is reiterated that the documentary evidence has never been extracted from the context that has instead been described and recalled precisely in order to contextualize the evidence and arrive at a systematic and chronological reconstruction of the events under investigation.</w:t>
      </w:r>
    </w:p>
    <w:p>
      <w:r>
        <w:t>249. The reconstruction regarding the coordination that took place among the telephone Operators takes into account the specific context in which the conduct was carried out and, in fact, the lobbying activity carried out through Asstel or the operators' dialogue with the Regulatory Authority or even the appeal of Resolution 121/17/CONS is not stigmatized as illegitimate.</w:t>
      </w:r>
    </w:p>
    <w:p>
      <w:r>
        <w:t>250. Therefore, the defenses of the Parties concerning the right to defense and the right to engage in lobbying activities are entirely irrelevant as this point has never been contested. What is contested is the coordination of commercial policies among the four Operators, which exceeds the boundaries of legitimate lobbying activity. In particular, alongside the uncontested lobbying activity carried out within Asstel, the companies Fastweb, TIM, Vodafone, and Wind Tre exchanged information about their future commercial strategies. It is enough to note that on October 30, 2017, following the conference call among the aforementioned telephone Operators within Asstel275, TIM informed internally about future commercial strategies related to Vodafone276.</w:t>
      </w:r>
    </w:p>
    <w:p>
      <w:r>
        <w:t>251. This crossing of boundaries is evidenced by the documents referred to and described above, from which it clearly emerges that the telephone operators involved in the proceeding exchanged commercial information related to repricing, understood as a nominal increase in the monthly fee or, similarly, as invariance of annual expenditure. The definition that the Operators give of repricing does not affect the fact that they exchanged sensitive information regarding their future commercial policies towards their respective customer bases. Moreover, it is recalled that according to established case law, “an agreement [has] a restrictive object even if it does not have as its sole objective a restriction of competition, but also pursues the achievement of other legitimate objectives”277.</w:t>
      </w:r>
    </w:p>
    <w:p>
      <w:r>
        <w:t>252. The Parties insist on claiming that the reconstruction made in the Communication of Investigative Findings would be severely lacking as it would not explain what the contacts and anti-competitive conduct are. This objection appears entirely instrumental and lacking merit as it</w:t>
      </w:r>
    </w:p>
    <w:p>
      <w:r>
        <w:rPr>
          <w:b/>
        </w:rPr>
        <w:t>[Pages 82–84]</w:t>
      </w:r>
    </w:p>
    <w:p>
      <w:r>
        <w:t>84 BULLETIN NO. 5 OF FEBRUARY 3, 2020</w:t>
        <w:br/>
        <w:t>the Communication of the Investigation Findings was clear in stigmatizing all those contacts between the Parties that concerned the exchange of information regarding, directly or indirectly, the future commercial policies of the Operators related to the modification of the billing cycle. The fact that the coordination occurred alongside lobbying activities has no relevance for its qualification in terms of anti-competitive conduct, given the ongoing prohibition on exchanging certain types of information among competitors regardless of the context in which the exchange takes place278.</w:t>
      </w:r>
    </w:p>
    <w:p>
      <w:r>
        <w:t>253. Fastweb, for its part, extensively argues in its defense writings that the Company would have decided the methods of applying the repricing well before when, according to the CRI's reconstruction, a preliminary agreement between the Parties would have been reached. In this exercise of pro domo sua interpretation of the investigation findings, Fastweb forgets that even unilaterally communicating to its competitors information concerning future commercial policies amounts to an exchange of information prohibited under Article 101 TFEU, as recalled in paragraph 62 of the "Guidelines on the applicability of Article 101 TFEU to horizontal cooperation agreements"279. Moreover, the evidence also demonstrates a proactive attitude of Fastweb in the understanding280.</w:t>
      </w:r>
    </w:p>
    <w:p>
      <w:r>
        <w:t>254. The investigation findings contradict the Parties' claims that documents attesting to the internal decision-making process within the companies, which would demonstrate the autonomy of the implemented policies, were ignored in the investigation. This documentation was, instead, expressly evaluated precisely to account for the fact that, before reaching an agreement among the Operators, they were internally evaluating alternative scenarios to the repricing of +8.6%. This is the case for the documents found at the offices of TIM281 and Wind Tre282. These documents predate (October 24 and 27, 2017) the period in which, according to the investigation findings, the Parties reached coordination on repricing (November 14, 2017)283, after having consistently exchanged comments regarding the need to maintain the increases already made. Therefore, these documents demonstrate that other commercial conduct was possible compared to the 8.6% repricing, and thus prove that alternative counterfactual scenarios existed compared to those adopted in implementation of the agreement and, above all, that the 8.6% repricing was not, as claimed by the Parties, a forced choice.</w:t>
      </w:r>
    </w:p>
    <w:p>
      <w:r>
        <w:t>255. It must also be considered that the contested coordination took place at the top management level of the companies, as evidenced by the investigation findings, which is the level to refer to for any contrary evidence. In very structured companies, it is indeed likely that lower or more operational levels are not aware of certain strategic decisions, especially when such decisions are illegitimate from a competitive standpoint, and that such employees continued even after the period in which a preliminary agreement was reached between the Parties to carry out intelligence activities or to continue previously initiated internal processes. It goes without saying that by top management, we do not only mean the legal representatives of the telephone Operators involved in the proceeding (who also participated in the coordination), but also, due to the specific case, the heads of the regulatory and legal functions who were mostly responsible for liaising with the institutional subjects involved in the matters subject to this proceeding.</w:t>
      </w:r>
    </w:p>
    <w:p>
      <w:r>
        <w:t>256. It is instead the Parties that provide misleading and contradictory interpretations of the documentation on record. For example, see the case of Vodafone's defense, according to which the Authority would have misinterpreted the meaning of inspection document No. 824, in which Asstel listed the objectives of the lobbying activity, among which was: "Maintaining the increases already made, avoiding triggering the procedures under Article 70 CCE again." Indeed, Vodafone, in order to support its interpretation that the openly pursued objective was not to apply the 8.6% repricing concurrently with the future modification of the billing cycle but rather to avoid being forced to return part of the sums already collected, omits in its citation of the document the "again"284, which evidently imposes a different reading than the one proposed directed towards the future and not the past.</w:t>
      </w:r>
    </w:p>
    <w:p>
      <w:r>
        <w:t>257. It is not clear, in fact, what sense the reference to the "procedures under Article 70 CCE" would have if it were actually referring to refunds. It should be noted that the aforementioned regulatory reference concerns the right of withdrawal of consumers in the face of the exercise of the ius variandi by the Operators. Therefore, it is not possible that this clause refers to the possible return of an illegitimately received sum. On the other hand, the reading of the document provided by Vodafone, and also by Asstel285, is contradicted by the fact that the objective of avoiding the retroactive return of sums already received is expressly indicated immediately before the one in question: "No retroactivity of the restoration of 30 days/month." Since the two objectives are differentiated, they can only be considered concerning different factual situations: on one side, the non-retroactivity of the restoration to avoid the return of sums already received, on the other side, the future repricing through the reallocation of annual expenditure avoiding granting users the right of withdrawal at the time of the relevant communication. There are no other logical and rational interpretations of the document in question.</w:t>
      </w:r>
    </w:p>
    <w:p>
      <w:r>
        <w:t>258. On the other hand, the interpretation of the reference to the procedures under Article 70 of the Electronic Communications Code is also found in a document from Wind Tre cited previously, according to which: "If it were decided to spread the value of the thirteenth bill over the 'first twelve', this would not entail an increase in prices on an annual basis. Agcom has communicated to us that for political reasons a communication to the customer would still be necessary under Article 70.4. Otherwise, if there were no such 'spreading', a mere notice to the customer would suffice without applying Article 70.4"286 (emphasis added). In this perspective, the phrase "Maintaining the increases already made, avoiding triggering the procedures under Article 70 CCE again" can only be referred to the repricing subject to this proceeding.</w:t>
      </w:r>
    </w:p>
    <w:p>
      <w:r>
        <w:t>259. Equally inconsistent appears Fastweb's defense, which first admits that "it is undeniable that the operators have addressed the issue of so-called repricing in an associative context, it is equally undeniable that these contacts took place because the companies were not in a position to protect their legitimate interests without addressing the discussion on repricing"287 (emphasis added) and then attempts to argue that the contacts documented in the investigation findings did not concern the future commercial policy of the Operators. On this point, it is reiterated that the Authority believes that the Operators could legitimately claim the freedom to autonomously determine their commercial offering policies, contesting the regulatory and legislative intervention aimed at compressing their margins of autonomy, but they could not in any way agree, nor even merely exchange information concerning, the commercial policies related to the new regulatory and legislative framework.</w:t>
      </w:r>
    </w:p>
    <w:p>
      <w:r>
        <w:t>260. As for the criticism regarding the failure to meet the burden of proof that rests on the Authority, it is noted that established national jurisprudence holds that the Authority's determinations can be said to be free from criticism "whenever they represent a reliable and documented synthesis of the complex of findings on record, it not being necessary (and indeed, not even possible) that they arise from the mere summation of entirely univocal elements in their respective indicative weight288."</w:t>
      </w:r>
    </w:p>
    <w:p>
      <w:r>
        <w:t>261. The documentary evidence collected fully satisfies this burden of proof and, contrary to what the Parties claim, complies with the guiding criterion indicated by national jurisprudence, namely that of so-called narrative consistency. The evidence has not been extracted from the context, which has instead been described and recalled precisely to contextualize it and arrive at a systematic and chronological reconstruction of the events under investigation. The defenses of the Parties miss the mark, as they do not take into account that what is contested is not a mere parallelism of conduct, but rather a coordination through qualified contacts that has eliminated any uncertainty regarding the commercial conduct of competitors. Therefore, the Authority does not bear the burden of proving the non-existence of alternative explanations for the coordination. However, despite the presence of the exogenous elements widely described, for the sake of argumentative completeness, it is deemed appropriate to contest, also from an economic perspective, the plausibility of the alternative explanations provided by the Parties.</w:t>
      </w:r>
    </w:p>
    <w:p>
      <w:r>
        <w:t>IX.4.3 The economic rationality of the conduct</w:t>
      </w:r>
    </w:p>
    <w:p>
      <w:r>
        <w:t>262. As a preliminary matter, it is noted that the defenses of the Parties concerning the independence and autonomy of their commercial conduct are entirely irrelevant in a context where a mere parallelism of conduct is not hypothesized, but rather a coordination through qualified contacts that has evidently eliminated any uncertainty regarding the commercial conduct of competitors, undermining the alleged independence and autonomy of the adopted commercial policies. In summary, the commercial choices of the Parties have been influenced by the knowledge of the will of the competitors.</w:t>
      </w:r>
    </w:p>
    <w:p>
      <w:r>
        <w:rPr>
          <w:b/>
        </w:rPr>
        <w:t>[Pages 85–87]</w:t>
      </w:r>
    </w:p>
    <w:p>
      <w:r>
        <w:t>BULLETIN NO. 5 OF FEBRUARY 3, 2020 87</w:t>
        <w:br/>
        <w:t>other Parties to maintain the existing price level and to carry out repricing in the manner described.</w:t>
      </w:r>
    </w:p>
    <w:p>
      <w:r>
        <w:t>263. In light of the nature of the information exchanged between Fastweb, TIM, Vodafone, and Wind Tre, their subsequent commercial conduct cannot be qualified as autonomous or independent, as the Operators consciously replaced practical collaboration among themselves with the risks of competition they would have faced had they decided, in full autonomy, how to react to the new regulatory and legislative obligations.</w:t>
      </w:r>
    </w:p>
    <w:p>
      <w:r>
        <w:t>264. On the other hand, the main alternative explanation provided by the Parties consists of the necessity, arising from mere internal budgetary needs and certainly not from peculiar characteristics or market structure, to maintain unchanged the expected revenues in the transition from four-week billing to monthly billing. This assessment, abstractly valid for each operator, actually constitutes the objective pursued by the agreement and not an alternative explanation for it.</w:t>
      </w:r>
    </w:p>
    <w:p>
      <w:r>
        <w:t>265. It is evident that, in a very aggressive competitive context, as the Parties claim, the commercial policies of the individual company cannot be adopted solely based on internal budgetary needs, disregarding the reaction of competitors, as the risk of losing their customers to other operators could, in theory, translate into a greater loss than the one they seek to avoid.</w:t>
      </w:r>
    </w:p>
    <w:p>
      <w:r>
        <w:t>266. That said, regarding the defenses put forward by the Parties about the individual economic rationality of their conduct and the circumstance that repricing while maintaining previously implemented increases is justified by the need to ensure the achievement of budgetary objectives, for completeness of reasoning, the following observations are made.</w:t>
      </w:r>
    </w:p>
    <w:p>
      <w:r>
        <w:t>267. First of all, the Parties presented distinct theses regarding economic rationality289, even going so far as to assert that “even companies that are otherwise perfectly rational do not always adopt, either in reality or in experimental practice, the choice that results from profit maximization calculations”290. This thesis of Fastweb, contradictory to the theses of the other Parties, would already be sufficient to deem all the justifications put forward by the Parties to support the autonomy of their behaviors inconsistent, which, as mentioned, is contradicted by the documentary evidence on record.</w:t>
      </w:r>
    </w:p>
    <w:p>
      <w:r>
        <w:t>268. It is not understood, in fact, how one can assume as proof of the autonomy of their behavior the alleged rationality of their conduct when it is then stated that rational choices are not always followed. The alleged rationality, therefore, does not inform anything about the counterfactual that would have existed in the absence of the agreement.</w:t>
      </w:r>
    </w:p>
    <w:p>
      <w:r>
        <w:t>269. Coming to the individual arguments presented by the Parties, what Wind Tre claims is not deemed shareable, proposing the following paradigm: once the adjustments from monthly billing to four-week billing were made – in the period from March 2015 to March 2017 – the market was in equilibrium, and any unilateral deviation from this equilibrium would have constituted a deviation from the optimum and would not have been profitable291. According to Wind Tre's construct, therefore, once back to monthly billing, the only rational choice would have been to readjust the amount on the bill as it derives from an oligopoly economic equilibrium.</w:t>
      </w:r>
    </w:p>
    <w:p>
      <w:r>
        <w:t>290 Cfr. doc. 388.</w:t>
        <w:br/>
        <w:t>291 Cfr. doc. 229 (attachments 1 and 6; see also the accessible version doc. 232).</w:t>
      </w:r>
    </w:p>
    <w:p>
      <w:r>
        <w:t>88 BULLETIN NO. 5 OF FEBRUARY 3, 2020</w:t>
        <w:br/>
        <w:t>This thesis must be rejected for several reasons, both with reference to economic theory and, above all, due to the evidence on record.</w:t>
      </w:r>
    </w:p>
    <w:p>
      <w:r>
        <w:t>270. Regarding economic theory, Wind Tre formulates a thesis based on the following sequence of actions: (i) the operators modified, between 2015 and 2017, the billing frequency and effectively increased the rates; (ii) consumers reacted to these increases with extremely low migration rates; (iii) the new price level at 28 days would be an equilibrium; (iv) since there is an equilibrium, by definition, operators would not find it profitable to deviate from it because it would not be optimal. This construct completely ignores the peculiarity of the case and, in particular, the circumstance that contractual variations concern the billing periodicity and the periodic price: therefore, it completely ignores the effect on consumer perception of the way the price is represented.</w:t>
      </w:r>
    </w:p>
    <w:p>
      <w:r>
        <w:t>271. Consumers, as extensively explained previously and as recognized by the Parties, at the time of the transition from monthly to four-week billing did not truly understand the extent of the increase.</w:t>
      </w:r>
    </w:p>
    <w:p>
      <w:r>
        <w:t>272. The effect of the different representation of the price in 28-day periods instead of monthly has determined – as explained by economic theory regarding the so-called price framing292 and confirmed by the evidence on record293 – that an increase in the price level was possible precisely because consumers did not fully perceive its effects and, consequently, did not migrate to other operators. In summary, an increase was possible due to the opacity and difficulty in grasping the real cost compared to a consolidated reference period such as the month.</w:t>
      </w:r>
    </w:p>
    <w:p>
      <w:r>
        <w:t>273. This is not, as claimed by Vodafone294, mere theoretical speculation. The documentary evidence on record, in fact, aligns with the cited economic theory, confirming that consumers, especially in the initial phases of four-week billing, had not perceived the effect of the different billing periodicity in the case at hand295. Regarding the thesis</w:t>
      </w:r>
    </w:p>
    <w:p>
      <w:r>
        <w:t>292 Cfr. Nota 102. On the subject, see Kahneman, D., Tversky, A. (1979) “Prospect theory: An analysis of decision under risk”, Econometrica: Journal of the Econometric Society, 47(2); Kahneman, D., Tversky, A. (1984) “Choices, values, and frames”, American Psychologist, 39(4); Kahneman, D., Tversky, A. (1986) “Rational Choice and the Framing of Decisions”, Journal of Business, 59; Dodds, W.B., Monroe, K.B., Grewal, D. (1991), “Effects of price, brand, and store information on buyers’ product evaluations”, Journal of Marketing Research, 28(3); Tripathi, A., Pandey, N., “Price framing literature: Past, present, and future.”, Marketing Review, 17(3). Regarding the effect of price periodicity, see, for example, Atlas, S. A., Bartels, D. M. (2018), “Periodic Pricing and Perceived Contract Benefits”, Journal of Consumer Research, 45(2). This research shows how even among a highly educated population (master's students) the representation of periodic price compared to an annual price encourages the purchase of a service (such as a subscription to a newspaper, a pay television service, or a music streaming service).</w:t>
      </w:r>
    </w:p>
    <w:p>
      <w:r>
        <w:t>293 According to Fastweb, “Fastweb's experience has, […], highlighted an insufficient ability of consumers to discriminate between monthly prices and four-week prices” (cfr. doc. 45). This is also confirmed by AGCOM (doc. 229, attachments 6, see also the accessible version doc. 232) and by consumer associations Altroconsumo and CODICI (docs. 193 and 194).</w:t>
      </w:r>
    </w:p>
    <w:p>
      <w:r>
        <w:t>294 Cfr. doc. 387.</w:t>
        <w:br/>
        <w:t>295 On this point, Altroconsumo observed that “four-week billing has generated evident confusion among consumers regarding the real cost of telephone offers, hindering the comparison between offers and thus consumer choice. […] Consumers' attention, in fact, focuses on the cost element (advertised fee) without being able to perceive the effect that the different periodicity produces on the real cost, just as happens with hidden costs and activation and modem costs.” (cfr. doc. 194). According to CODICI, consumers would not have “immediately perceived the impact on price of the change in billing from monthly to four-week, so much so that in an initial period few reports related to this issue were received from consumers. Only after some time and, in particular, after AGCOM's resolution did consumers realize the presence of a hidden thirteenth monthly payment.” (cfr. doc. 193).</w:t>
      </w:r>
    </w:p>
    <w:p>
      <w:r>
        <w:t>BULLETIN NO. 5 OF FEBRUARY 3, 2020 89</w:t>
        <w:br/>
        <w:t>of TIM296, according to which prices were perfectly comparable because all offers were now at 28 days, it must be noted that this thesis is refuted by the evidence on record: it suffices to think that out of over 29 million “human” SIMs297, only 14 million298 had an offer at 28 days. TIM itself had yet to migrate business customers to 28-day billing299 and the same was to happen with some Wind Tre customers300. Therefore, the new price level (at 28 days) would indeed be an equilibrium, but only to the extent that this price level is expressed in 28 days and not on a monthly basis. In fact, once the actual cost of the offers was made more transparent, consumers were able to fully perceive the implications of the increases and, consequently, could migrate to other offers if they deemed it appropriate.</w:t>
      </w:r>
    </w:p>
    <w:p>
      <w:r>
        <w:t>274. On the other hand, Wind Tre's thesis appears contradictory to the extent that it considers it normal for there to be an increase in rates when transitioning from monthly to four-week billing, but then believes that in the opposite transition there cannot be an effect of price modification as this would contradict the notion of equilibrium. However, even prior to the transition from monthly to four-week billing, there was an equilibrium, but this did not prevent rates from being increased (and thus reaching another equilibrium).</w:t>
      </w:r>
    </w:p>
    <w:p>
      <w:r>
        <w:t>275. In this case, a new equilibrium was reached precisely due to the perception of users, who did not understand the rate increase, and the consequent low mobility of the same. The forced return to monthly billing would have resulted in greater tariff transparency and would have exponentially increased the number of consumers who could have changed operators. The effects in terms of increased migration rates are shown both by AGCOM (Figure below) and – for example – by TIM.</w:t>
      </w:r>
    </w:p>
    <w:p>
      <w:r>
        <w:rPr>
          <w:b/>
        </w:rPr>
        <w:t>[Pages 88–90]</w:t>
      </w:r>
    </w:p>
    <w:p>
      <w:r>
        <w:t xml:space="preserve">90 BULLETIN NO. 5 OF FEBRUARY 3, 2020  </w:t>
        <w:br/>
        <w:t xml:space="preserve">Figure 8 – Annual comparison of mobile number mobility indices301  </w:t>
        <w:br/>
        <w:t xml:space="preserve">276. The changes from monthly billing to four-week billing by mobile operators on their respective customer bases were implemented in August 2015 by TIM, in November 2015 by Wind, in March 2016 by Vodafone, and in April 2017 by Fastweb302. Despite these changes, however, there was no increase in user portability. In fact, as can be observed from the previous figure, following TIM's maneuver in August 2015, the mobility index for September and December 2015 is significantly lower than the data for the same periods in 2017 and 2018. The same occurs for Wind's maneuver in November 2015: the mobility index for December 2015 and March 2016 is extremely lower than that of the same periods in 2017 and 2018. For Vodafone's maneuver in March 2016, it is noted that the mobility indices for June and September 2016 are significantly lower than those of the same periods in 2017 and 2018. Finally, also concerning Fastweb's maneuver in April 2017 (which has a limited market share in mobile telephony), it is observed that the mobility index for June 2017 is the same as that of 2018, while that of September 2017 is lower than that of September 2018.  </w:t>
        <w:br/>
        <w:t xml:space="preserve">277. In general, although the predominant part of the mobile market (TIM, Vodafone, and Wind Tre, with a number of lines of 85%-90%303) changed billing from monthly to four-week and increased rates during the period 2015-2016, the reaction of consumers was not to change operators. In fact, the previously identified mobility indices are consistently lower than those of the same periods in subsequent years. The data regarding the migration of mobile phone users confirm that the tariff increases, made through the transformation from monthly billing to four-week billing, did not result in significant migrations, due to the distorted perception of price increases by consumers.  </w:t>
        <w:br/>
        <w:t xml:space="preserve">278. All these elements confirm what has been highlighted by consumer associations304 regarding the fact that with four-week billing, consumers did not perceive the actual tariff increase. This means that tariff increases were sustainable in a 28-day billing context, but not necessarily the same would be sustainable in the changed context where billing would return to a monthly periodicity. This is sufficient to refute Wind Tre's paradigm regarding the economic rationality of maintaining revenues: there is no reason to believe that an equilibrium price level with 28-day billing remains the same with monthly billing. In fact, just as there was a change in the price level when transitioning from monthly to four-week billing, a change in prices could occur in the opposite transition, which cannot be excluded based on an asserted market equilibrium level.  </w:t>
        <w:br/>
        <w:t xml:space="preserve">279. Therefore, the only way to maintain the existing price level was to limit customer outflow when returning to monthly billing, just as it had occurred at the time of the transition from monthly billing to 28 days (due to the lesser understanding of offers), and this would only have been possible in a scenario where all operators behaved substantially the same way, so that there would be no incentive for a customer to change operators305.  </w:t>
        <w:br/>
        <w:t xml:space="preserve">280. In fact, Wind Tre's own corporate documents confirm that repricing would only have been possible with a substantial absence of competition. As can be seen in the following Figure, the business plan306 provided by Wind Tre itself is based on a substantial reduction of price aggressiveness and the absence of price wars (“substantial reduction of price aggressiveness”, “no price war on phase-in offers”), in the decrease of customer outflow rates (lower churn rate in 2018 compared to 2017). Once again, it is demonstrated that the feasibility of maintaining rates at 28 days was linked to limiting customer outflow rates; this was only possible if all operators behaved substantially the same way during the implementation of repricing, so that there was no incentive for a customer to change operators.  </w:t>
        <w:br/>
        <w:t xml:space="preserve">304 Cf. docs. 193 and 194.  </w:t>
        <w:br/>
        <w:t xml:space="preserve">305 On this point, for example, it is noted that according to CODICI “many consumers perceived that the transition was unnecessary in the presence of uniform behavior among all operators” (cf. doc. 193). According to Altroconsumo, “consumers, given the uniform practice, first, of maintaining four-week billing, then, of increasing the nominal fee upon transitioning to monthly billing, could not effectively exercise the right of withdrawal without penalties that in abstract had been recognized, as it did not seem convenient to migrate to other operators in light of the aforementioned uniformity of conduct” (cf. doc. 194).  </w:t>
        <w:br/>
        <w:t>306 Cf. doc. 292 (annex 2).</w:t>
      </w:r>
    </w:p>
    <w:p>
      <w:r>
        <w:t xml:space="preserve">92 BULLETIN NO. 5 OF FEBRUARY 3, 2020  </w:t>
        <w:br/>
        <w:t xml:space="preserve">Figure 9 - Assumptions of Wind Tre's business plan307  </w:t>
        <w:br/>
        <w:t xml:space="preserve">281. These considerations are confirmed by the analysis of internal documents, which show that when tariff maneuvers were carried out in a more transparent manner compared to repricing from monthly to four-week (for example, indicating to users that the price would increase by €2.99 per month), there was greater customer mobility. Therefore, it is confirmed that market equilibrium also depends on the manner of price presentation and a “28-day” price level is not necessarily sustainable with a “monthly” price presentation; this is because customers react differently to such pricing.  </w:t>
        <w:br/>
        <w:t xml:space="preserve">282. On this point, see the following Table, where the first row shows the repricing from monthly to 28 days (with a contained reaction from customers and a churn rate for Wind Tre customers between 1-5% and 5-10%), while for more transparent maneuvers (for example, indicating the final price or the monthly increase in euros), the churn rates are extremely higher (above 15-20% and usually reaching 40-50%). Once again, therefore, it emerges that, in light of the renewed context of transparency, determined by the return to monthly billing, maintaining rates while simultaneously limiting migration was only possible if all operators behaved substantially the same way, eliminating any interest for a customer to change operators308.  </w:t>
        <w:br/>
        <w:t xml:space="preserve">307 Cf. docs. 292 (annex 2) and 299 (annex 1).  </w:t>
        <w:br/>
        <w:t>308 In this regard, one of Wind Tre's theoretical analyses states that the increase is not profitable when there is a churn rate between 8% and 13%. As can be seen in the following table, in cases where Wind Tre has carried out repricing in a more transparent manner, churn rates exceeded 15% and were significantly higher than those experienced with the transition from monthly to four-week (Cf. doc. 229, annex 1: “for each change introduced by Wind, the number of customers that Wind would have had to lose is between 8.5% and 12.1% of the entire customer base, depending on the reference segment” (see also the accessible version, doc. 232). Furthermore, since a maneuver is hypothesized across the entire customer base, the percentage incidence is calculated on this value. It is noted that, depending on the</w:t>
      </w:r>
    </w:p>
    <w:p>
      <w:r>
        <w:rPr>
          <w:b/>
        </w:rPr>
        <w:t>[Pages 91–93]</w:t>
      </w:r>
    </w:p>
    <w:p>
      <w:r>
        <w:t>BULLETIN NO. 5 OF FEBRUARY 3, 2020 93</w:t>
        <w:br/>
        <w:t>Table 9 – List of some maneuvers by Wind Tre and the customer churn rate; comparison with the churn rate309 of customers during the transition from monthly to four-week billing310</w:t>
      </w:r>
    </w:p>
    <w:p>
      <w:r>
        <w:t>CONSUMER</w:t>
        <w:br/>
        <w:t>Maneuver Churn Volumes</w:t>
        <w:br/>
        <w:t>Description Implementation Date Tariff Category impacted sim/line</w:t>
        <w:br/>
        <w:t>Infostrada informs that, following the market evolution and for the purpose of harmonization with other Wind services, pursuant to and for the effects of the General Conditions of Contract, starting from September 2016, the fees and content of the offers in subscription will be renewed every 4 weeks instead of monthly. Therefore, the telephone bill will be issued every 4 weeks instead of bi-monthly.</w:t>
      </w:r>
    </w:p>
    <w:p>
      <w:r>
        <w:t>[…]</w:t>
      </w:r>
    </w:p>
    <w:p>
      <w:r>
        <w:t>Infostrada informs that, as part of the simplification and rationalization process of its portfolio, it has created a new offer that will group the current voice offers that will no longer be available and will allow unlimited calls to all national landline and mobile numbers at any time of the day.</w:t>
      </w:r>
    </w:p>
    <w:p>
      <w:r>
        <w:t>From June 1, 2016, the new offer Noi Unlimited, at 27.95 euros per month, will include:</w:t>
        <w:br/>
        <w:t>• Unlimited calls to all national landline numbers, without connection fee and without cost per minute</w:t>
        <w:br/>
        <w:t>• Unlimited calls to all national mobile numbers, without connection fee and without cost per minute</w:t>
        <w:br/>
        <w:t>• Unlimited calls to all landline numbers in Western Europe, the USA, and Canada without connection fee</w:t>
      </w:r>
    </w:p>
    <w:p>
      <w:r>
        <w:t>Based on assumptions about the amount of costs, the percentage may be higher. However, from Wind Tre's documentation, it emerges that the margin level is around 70-80% of revenues, implying that the maximum cost value is approximately 30%. This means that in Wind Tre's simulation, assuming costs reach up to 40% of revenues, the threshold churn rate becomes 13%).</w:t>
      </w:r>
    </w:p>
    <w:p>
      <w:r>
        <w:t>309 The churn rate or abandonment rate is the percentage of customers or subscribers who stop using the services offered by a company for a period of time.</w:t>
        <w:br/>
        <w:t>310 See doc. 125, response no. 6.</w:t>
      </w:r>
    </w:p>
    <w:p>
      <w:r>
        <w:t>94 BULLETIN NO. 5 OF FEBRUARY 3, 2020</w:t>
        <w:br/>
        <w:t>CONSUMER</w:t>
        <w:br/>
        <w:t>Maneuver Churn Volumes</w:t>
        <w:br/>
        <w:t>Description Implementation Date Tariff Category impacted sim/line</w:t>
        <w:br/>
        <w:t>[…]</w:t>
      </w:r>
    </w:p>
    <w:p>
      <w:r>
        <w:t>Infostrada informs that it is evolving its services to make them increasingly aligned with the needs of its Customers and to allow for greater certainty and stability of monthly expenditure. Starting from June 1, 2016, the Absolute ADSL offer will no longer be marketed and will be replaced by the new Absolute offer which will have the following characteristics:</w:t>
      </w:r>
    </w:p>
    <w:p>
      <w:r>
        <w:t>Pursuant to and for the effects of the General Conditions of Contract, we inform you that, from June 1, 2016, your Absolute ADSL offer will be automatically replaced by the new Absolute+ offer, the monthly cost of which will be that of your current Absolute ADSL offer increased by 3.28 euros per month.</w:t>
      </w:r>
    </w:p>
    <w:p>
      <w:r>
        <w:t>[…]</w:t>
      </w:r>
    </w:p>
    <w:p>
      <w:r>
        <w:t>Starting from June 26, 2016, following the evolution of the economic conditions of the SuperWeb.100 offer, the option TRE mobile Super Web.100 modifies the cost of renewal from 15€ to 19€ per month (VAT included).</w:t>
      </w:r>
    </w:p>
    <w:p>
      <w:r>
        <w:t>[…]</w:t>
      </w:r>
    </w:p>
    <w:p>
      <w:r>
        <w:t>Following the changed conditions of the economic and market context and the positioning of the offer, it is communicated that starting from June 30, 2017, for customers with the active All Inclusive Unlimited and All Inclusive Unlimited Business offers, the fee of the offer will be increased by 3 euros (for Business offers, the amount is VAT excluded). All existing promotions, if already active on the line, will be preserved until their expiration.</w:t>
      </w:r>
    </w:p>
    <w:p>
      <w:r>
        <w:t>[…]</w:t>
      </w:r>
    </w:p>
    <w:p>
      <w:r>
        <w:t>Modification If you are the recipient of a specific ALL-IN SMS, sent starting from May 18, 2017, your prepaid ALL-IN option with charge on Current Account or Credit Card will undergo changes.</w:t>
      </w:r>
    </w:p>
    <w:p>
      <w:r>
        <w:t>[…]</w:t>
      </w:r>
    </w:p>
    <w:p>
      <w:r>
        <w:t>the variation of the fee charge for the renewal cost from calendar month to 30 days with a possible increase of up to 2.99 euros/30 days. Wind informs you that starting from July 14, 2017, the periodic cost of the All Inclusive Gold prepaid will increase by 1.50 euros.</w:t>
      </w:r>
    </w:p>
    <w:p>
      <w:r>
        <w:t>[…]</w:t>
      </w:r>
    </w:p>
    <w:p>
      <w:r>
        <w:t>Wind informs you that from July 17, 2017, the Wind 2 and Wind 2 Senza Scatto plans will have an additional cost of 2 euros every 30 days. The other characteristics of the Wind mobile offer remain unchanged. The variation has been determined by the modification of the structural market conditions.</w:t>
      </w:r>
    </w:p>
    <w:p>
      <w:r>
        <w:t>[…]</w:t>
      </w:r>
    </w:p>
    <w:p>
      <w:r>
        <w:t>Wind informs you that starting from July 17, 2017, the periodic cost of some All Inclusive offers and Wind Celebration will increase by 1.50 euros.</w:t>
      </w:r>
    </w:p>
    <w:p>
      <w:r>
        <w:t>Wind informs you that, from the first renewal following July 16, 2017, the cost of some offers Noi Tutti, Noi Tutti Big, and Noi Tutti Più will increase by 2 euros every 4 weeks.</w:t>
      </w:r>
    </w:p>
    <w:p>
      <w:r>
        <w:t>[…]</w:t>
      </w:r>
    </w:p>
    <w:p>
      <w:r>
        <w:t>Wind informs you that starting from September 10, 2017, the periodic cost of the All Inclusive 1000 will increase by 1.50 euros.</w:t>
      </w:r>
    </w:p>
    <w:p>
      <w:r>
        <w:t>[…]</w:t>
      </w:r>
    </w:p>
    <w:p>
      <w:r>
        <w:t>Wind informs that some options of the Noi Tutti family will undergo a cost variation every 4 weeks starting from July 17, 2016.</w:t>
      </w:r>
    </w:p>
    <w:p>
      <w:r>
        <w:rPr>
          <w:b/>
        </w:rPr>
        <w:t>[Pages 94–96]</w:t>
      </w:r>
    </w:p>
    <w:p>
      <w:r>
        <w:t>96 BULLETIN NO. 5 OF FEBRUARY 3, 2020</w:t>
        <w:br/>
        <w:t>CONSUMER</w:t>
        <w:br/>
        <w:t>Churn Maneuver Volumes</w:t>
        <w:br/>
        <w:t>Description Implementation Date Affected tariff category sim/line</w:t>
        <w:br/>
        <w:t>weeks. first 3 months,</w:t>
        <w:br/>
        <w:t>Below are the options subject to the variation:</w:t>
        <w:br/>
        <w:t>- Noi Tutti Jun.2013 changes from 6.05 euros to 7 euros starting from the first renewal following 17/07/2016</w:t>
        <w:br/>
        <w:t>- Noi Tutti + Nov.2014 changes from 9 euros to 10 euros starting from the first renewal following 22/08/2016</w:t>
        <w:br/>
        <w:t>- Noi Tutti Special Edition changes from 6 euros to 7 euros starting from the first renewal following 22/08/2016</w:t>
        <w:br/>
        <w:t>- Noi Tutti Nov.2014 changes from 6 euros to 7 euros starting from the first renewal following 01/09/2016</w:t>
        <w:br/>
        <w:t>- Noi Tutti Big 2013 changes from 8.07 euros to 9 euros starting from the first renewal following 19/09/2016</w:t>
        <w:br/>
        <w:t>- Noi Tutti+ Mar.2015 changes from 9 euros to 10 euros starting from the first renewal following 29/09/2016</w:t>
        <w:br/>
        <w:t>- Noi Tutti Nov.2013 changes from 6 euros to 7 euros starting from the first renewal following 17/10/2016</w:t>
        <w:br/>
        <w:t>- Noi Tutti changes from 6 euros to 7 euros starting from the first renewal following 17/10/2016</w:t>
        <w:br/>
        <w:t>- Noi Tutti Big changes from 9 euros to 10 euros starting from the first renewal following 17/10/2016</w:t>
        <w:br/>
        <w:t>[…]</w:t>
        <w:br/>
        <w:t>283. As for the economic simulations of Wind Tre regarding the customer base311, from which it would emerge that only a huge increase in the customer base would justify an absence of repricing of 8.6%, the following observations are made.</w:t>
        <w:br/>
        <w:t>284. Firstly, such simulations assume that repricing is applied to the entire customer base, while in reality it only concerned a certain subset of customers and, therefore, one must consider the behavior (exit or retention) of the customers targeted by the tariff maneuver and not the entire customer base. This element affects the results as Wind Tre's assumption amplifies revenue variations, leading to the incorrect conclusion that it is advantageous to carry out repricing; otherwise, there would be a generalized discount across the entire customer base. The 28-day tariffs did not constitute the entire customer base of Wind Tre (especially in mobile), and therefore, the assumptions underlying Wind Tre's theoretical analyses are not confirmed by the factual circumstances.</w:t>
        <w:br/>
        <w:t>311 See docs. 229 (annex 1, see also the accessible version doc. 232) and 382 (annex 1).</w:t>
      </w:r>
    </w:p>
    <w:p>
      <w:r>
        <w:t>BULLETIN NO. 5 OF FEBRUARY 3, 2020 97</w:t>
        <w:br/>
        <w:t>285. Secondly, the analysis only considers two scenarios: absence of repricing or an 8.6% repricing, but as seen earlier, there were many options, such as selective repricing, non-percentage repricing, migration to new offers, etc.</w:t>
        <w:br/>
        <w:t>286. Thirdly, the fact that the choice of an 8.6% repricing was not taken for granted and automatic emerges from the documentary evidence of Wind Tre itself, which on October 27, 2017 noted that: “We consider this change as imposed by law and therefore not a repricing activity. As such, there is no obligation to notify the customer and the right of withdrawal: On this point, it seems that the government's orientation is changing. If they impose a repricing scenario, we need to understand whether it is riskier to do a repricing or if it is better not to increase costs and definitely lose [omitted] million on fixed and [omitted] on mobile”312. In the presence of the right of withdrawal, as occurred in fact, customer mobility could have forced Wind Tre not to carry out the repricing (not to increase costs) and lose part of the budgeted revenues.</w:t>
        <w:br/>
        <w:t>287. Indeed, the analysis proposed in Wind Tre's economic briefs313 is conceptually incorrect because it is based on an assumption that does not reflect reality. In fact, Wind Tre implicitly assumes that there is no customer exit in the case of repricing, and thus concludes that it is not advantageous to carry out repricing because the discount granted should be compensated by the influx of many customers. But such an analysis is completely irrelevant as it does not consider that, in the case of repricing, the right of withdrawal is granted to customers (a right that would not have been recognized in the absence of repricing).</w:t>
        <w:br/>
        <w:t>288. The question to ask is whether – by carrying out repricing and granting the right of withdrawal – the exit of customers to other operators is such that it would prefer the choice not to carry out repricing (and therefore not to grant the right of withdrawal). The internal document of Wind Tre cited above314 focuses precisely on this point, namely the assessment of user exit (exercise of the right of withdrawal) and repricing.</w:t>
        <w:br/>
        <w:t>289. In the absence of repricing, the operator loses 8.6% of revenues, but if it carries out repricing, it must consider that there will be an increase in customers who change operators and therefore a reduction in profits (understood as the difference between revenues and costs for each customer who changes operator). Therefore, if the number of users who migrate and change operators becomes too high, the operator may find it advantageous not to carry out repricing. This type of analysis is completely absent in Wind Tre's economic briefs, which implicitly assumes the absence of customer abandonment315.</w:t>
        <w:br/>
        <w:t>290. In response to Wind Tre's observations316, it is noted that – applying the same assumptions regarding ARPU and costs proposed by Wind Tre – if one assumes an incremental monthly exit rate of customers (incremental churn317) of at least 6% (thus an incremental churn rate of 18% in the three-month period hypothesized by Wind Tre), an 8.6% repricing strategy would not be profitable.</w:t>
        <w:br/>
        <w:t>291. The following tables show the simulations based on Wind Tre's assumptions that consider the phenomenon of customer exit in the case of repricing (as mentioned, a circumstance implicitly not considered in Wind Tre's theoretical analyses), due to the recognition of the right of withdrawal to customers pursuant to Article 70 of the Electronic Communications Code. Indeed, in the various scenarios identified by Wind Tre, with a 6% increase in the churn rate for three months, the repricing option becomes no longer profitable, while the choice not to carry out repricing becomes the most profitable (with a higher net result).</w:t>
      </w:r>
    </w:p>
    <w:p>
      <w:r>
        <w:rPr>
          <w:b/>
        </w:rPr>
        <w:t>[Pages 97–99]</w:t>
      </w:r>
    </w:p>
    <w:p>
      <w:r>
        <w:t>BULLETIN NO. 5 OF FEBRUARY 3, 2020 99</w:t>
        <w:br/>
        <w:t>Table 10 – Analysis of Wind Tre considering customer churn for mobile telephony318</w:t>
        <w:br/>
        <w:t>Hypothesis 1 Hypothesis 2</w:t>
        <w:br/>
        <w:t>(ARPU €10) (ARPU €13)</w:t>
        <w:br/>
        <w:t>Repricing Repricing</w:t>
        <w:br/>
        <w:t>No repricing No repricing</w:t>
        <w:br/>
        <w:t>8.6% 8.6%</w:t>
        <w:br/>
        <w:t>ARPU per customer €10.00 €9.14 €12.50 €11.43</w:t>
        <w:br/>
        <w:t>Cost per customer €5.00 €5.00 €5.00 €5.00</w:t>
        <w:br/>
        <w:t>Margin per customer €5.00 €4.14 €7.50 €6.43</w:t>
        <w:br/>
        <w:t>Additional customer churn of 6%</w:t>
        <w:br/>
        <w:t>monthly for 3 months, totaling €0.90 €1.35</w:t>
        <w:br/>
        <w:t>18% in case of repricing</w:t>
        <w:br/>
        <w:t>Net result of the strategy €4.10 €4.14 €6.15 €6.43</w:t>
        <w:br/>
        <w:t>Table 11 – Analysis of Wind Tre considering customer churn for fixed telephony319</w:t>
        <w:br/>
        <w:t>Hypothesis 1 Hypothesis 2</w:t>
        <w:br/>
        <w:t>(ARPU €25) (ARPU €30)</w:t>
        <w:br/>
        <w:t>Repricing Repricing</w:t>
        <w:br/>
        <w:t>No repricing No repricing</w:t>
        <w:br/>
        <w:t>8.6% 8.6%</w:t>
        <w:br/>
        <w:t>ARPU per customer €25 €22.85 €30.00 €27.42</w:t>
        <w:br/>
        <w:t>Cost per customer €12.00 €12.00 €12.00 €12.00</w:t>
        <w:br/>
        <w:t>Margin per customer €13.00 €10.85 €18.00 €15.42</w:t>
        <w:br/>
        <w:t>Additional customer churn of</w:t>
        <w:br/>
        <w:t>6% monthly for 3 months, totaling €2.34 - €3.24 - €</w:t>
        <w:br/>
        <w:t>18% in case of repricing</w:t>
        <w:br/>
        <w:t>Net result of the strategy €10.66 €10.85 €14.76 €15.42</w:t>
        <w:br/>
        <w:t>292. It should therefore be noted that, since the previous maneuvers by Wind Tre, carried out transparently, have usually led to increases in the customer churn rate, which becomes higher than 10-15% on a monthly basis (see Table 9 above), the thesis of Wind Tre regarding an absence of convenience in not carrying out repricing is deemed unconvincing. On the contrary, such analyses reveal that the convenience of carrying out repricing is directly correlated – as repeatedly noted in this decision – to a reduction in the customer migration rate, and therefore to a mitigation of competition between the Parties related to the agreement in question.</w:t>
        <w:br/>
        <w:t>293. Equally relevant are the evidences concerning Vodafone that show the presence of other options under consideration – such as selective repricing or the definition of so-called "rounded" prices – which were much more profitable than uniform repricing during the billing change. These much more profitable options were no longer pursued. In this regard, Vodafone's documentation states320: “I am attaching 3 scenarios on episode 2. The calculations are made by placing on the x-axis 0 the budget which is the inertial trend, i.e., as is with revenues at 28 days all held at 30</w:t>
        <w:br/>
        <w:t>1) what is in the pipeline and you know, [€60-80] million with repricing and 28-30 together. worth [€60-80] million</w:t>
        <w:br/>
        <w:t>2) what you asked me, namely recovery 28-30 from April 5 on customers we would have repriced (and therefore not on lock-in, aladino, ethnic shakes, etc. for a total of [1-2] million customers, and not on secure network, add-ons, Sunday, etc. - effects visible separately in slides). Worth [€0-20] million</w:t>
        <w:br/>
        <w:t>3) scenario 2 without repricing from July 1 if competitive reasons prevented it. Worth –[€40-60] million”321. Attached to this email is a presentation from which it emerges that:</w:t>
        <w:br/>
        <w:t>- if Vodafone had simultaneously implemented a segmented increase on certain customers along with the 28-day-month repricing, it would have gained [€40-80] million compared to the budget;</w:t>
        <w:br/>
        <w:t>- if Vodafone had implemented the 28-day-month repricing in April and a subsequent increase in July, it would have gained [€0-40] million compared to the budget.</w:t>
        <w:br/>
        <w:t>294. Thus, the chosen solution is the least convenient, namely to carry out two tariff adjustments (one 28-day-month in April and a further increase in July). This choice is not individually rational, as Vodafone chose not to deviate from the 8.6% repricing even though selective and segmented repricing would have been more advantageous.</w:t>
        <w:br/>
        <w:t>295. Furthermore, the presentation included another scenario, that without adjustment, with a decrease compared to the planned budget. This scenario was contemplated “if competitive reasons”322 prevented repricing. This demonstrates that budget objectives must necessarily clash with the competitive context and, therefore, if competitors had been more aggressive, it would have been necessary to backtrack and not achieve the budget objectives. Naturally, in the case of uniformity of attitude regarding repricing, such “competitive reasons” cease to exist.</w:t>
        <w:br/>
        <w:t>296. Vodafone believes that this document demonstrates its commercial autonomy, as it is subsequent to November 14, 2017323. As repeatedly noted above, the agreement in question consists of a coordination that eliminates uncertainties regarding the market behaviors of competitors and therefore determines commercial choices based on such information. The agreement has therefore resulted in the elimination of the uncertainty typical of a competitive context. The fact that the tariff maneuver is developed after the transfer of competitively sensitive information does not demonstrate the absence of the agreement. Vodafone's commercial assessments, like those of other operators, are based on informational elements that have eliminated the typical uncertainty of competitive comparison324. To prove this, it is enough to consider that already in this email the repricing is the “in the pipeline” option325, while the option of no repricing is included “if competitive reasons”326 prevented repricing, a circumstance that is excluded in the presence of an agreement.</w:t>
        <w:br/>
        <w:t>297. Moreover, a further email from the CEO327 of Vodafone confirms that other alternatives (never chosen by Vodafone), such as rounding or providing additional data traffic (giga) at an additional cost, were more convenient than the chosen option of mere repricing. In particular, the figure below clearly shows the absence of individual rationality on Vodafone's part in choosing to implement a percentage repricing in April 2018. In fact, options B and C were decidedly more advantageous than option A, which consisted of the choice to reprice to neutralize the transition from 28 days to monthly. This demonstrates the absence of individual economic rationality in Vodafone's choice to carry out mere repricing.</w:t>
        <w:br/>
        <w:t>324 “I am sending you my comments on repricing:</w:t>
        <w:br/>
        <w:t>- very concerned about percentage increases that can trigger heavy reactions from associations, institutions, and the press, especially on mobile</w:t>
        <w:br/>
        <w:t>- some price points above [omitted] euros seem to me predatory pricing and I would be very, very careful</w:t>
        <w:br/>
        <w:t>- we need to understand how difficult it will be to manage this maneuver against a TIM that will instead say that they are not increasing prices. We will find ourselves doubly exposed</w:t>
        <w:br/>
        <w:t>- [omitted] GB in opt-in seem very stingy. If there is one thing I have learned in this year of fierce battles, it is that we may have been a bit too stingy in the battle for gigas. To be discussed. Because instead of [omitted] we do not say [omitted] on pre and [omitted] on post, provided we decide to touch the post...” See doc. ISP.297.</w:t>
        <w:br/>
        <w:t>325 See doc. ISP.371.</w:t>
        <w:br/>
        <w:t>326 See doc. ISP.371.</w:t>
        <w:br/>
        <w:t>327 See docs. ISP.297 and ISP.298.</w:t>
      </w:r>
    </w:p>
    <w:p>
      <w:r>
        <w:rPr>
          <w:b/>
        </w:rPr>
        <w:t>[Pages 100–102]</w:t>
      </w:r>
    </w:p>
    <w:p>
      <w:r>
        <w:t>102 BULLETIN NO. 5 OF FEBRUARY 3, 2020</w:t>
        <w:br/>
        <w:t>Figure 10 – Vodafone's presentation regarding repricing options328</w:t>
        <w:br/>
        <w:t>298. The absence of economic rationality is also evident from the choice – later made by Vodafone – to implement repricing in April 2018 and then a subsequent increase in tariffs in July 2018, which were subsequently realized. The figure below, in fact, shows that the option chosen by Vodafone was less advantageous compared to the option of simultaneously implementing repricing and a segmented increase. In fact, the option chosen by Vodafone resulted in expected revenue increases of less than 40 million Euros, while the option of repricing and a simultaneous segmented increase in tariffs would have resulted in revenues of 40-80 million Euros. It follows that differentiating from other Operators would have been more advantageous, yet Vodafone still chose not to deviate from the focal point represented by the 8.6% repricing. This occurs despite the fact that, in the accompanying email of this presentation329, the CEO of Vodafone expressed being “very concerned about percentage increases that could trigger heavy reactions”330. The reason for implementing the repricing at the level of 8.6%, without choosing the other differentiated and more profitable options (see Figure 10, options b. and c.), seems to lie in the knowledge of others' strategies, as in the same email it is stated “we need to understand how difficult it will be to manage this maneuver against a TIM that will instead say that they are not increasing prices. We will find ourselves doubly exposed”331.</w:t>
        <w:br/>
        <w:t>328 See docs. ISP.297 and ISP.298.</w:t>
        <w:br/>
        <w:t>329 See doc. ISP.297.</w:t>
        <w:br/>
        <w:t>330 See doc. ISP.297.</w:t>
        <w:br/>
        <w:t>331 See doc. ISP.297.</w:t>
      </w:r>
    </w:p>
    <w:p>
      <w:r>
        <w:t>BULLETIN NO. 5 OF FEBRUARY 3, 2020 103</w:t>
        <w:br/>
        <w:t>Figure 11 - Vodafone's analysis on a series of tariff adjustments to be made jointly or separately from repricing332</w:t>
        <w:br/>
        <w:t>299. In conclusion, the evidence on record demonstrates that the actions taken by the Parties cannot be rationally explained unless considering the circumstance that the Parties themselves sought to eliminate uncertainty regarding their respective commercial policies concerning repricing related to the change in billing periodicity. At the same time, such evidence appears to confirm that only a uniform behavior among Operators – and the consequent reduction in customer churn rates – would have made the choice to reprice rational.</w:t>
        <w:br/>
        <w:t>332 See doc. ISP.371.</w:t>
      </w:r>
    </w:p>
    <w:p>
      <w:r>
        <w:t>104 BULLETIN NO. 5 OF FEBRUARY 3, 2020</w:t>
        <w:br/>
        <w:t>300. Finally, regarding the argument that the rationality of the repricing conduct would be demonstrated by the fact that Sky would have made the same choice despite being outside the agreement, it is noted that Sky cannot be considered an outsider to the market dynamics of telephone Operators due to the joint offers that the company proposes together with them, as evidenced by the fact that information regarding Sky's intentions is also found in the email exchanges on record333.</w:t>
        <w:br/>
        <w:t>301. Furthermore, it is recalled that Sky is a dominant operator in the pay television market334, a notion that indicates that position of economic power by which the enterprise occupying it is able to behave independently of other competitors, as well as customers and consumers. Therefore, it is not possible to compare the behaviors exhibited in two different markets, where the competitive conditions are extremely different (in the telecommunications markets, according to the Parties, there is an extremely high degree of competitiveness). In fact, it should be noted that, in competitive markets, the only way to behave without regard for competitors' reactions (and thus the loss of customers to them) is precisely to coordinate, creating a restrictive agreement on competition.</w:t>
        <w:br/>
        <w:t>302. In summary, in extremely competitive markets, operators typically exhibit different behavior compared to markets where there are operators in a dominant position. But this implies that the uniform behavior observed in competitive markets and in non-competitive markets is explainable by the presence of a restrictive agreement on competition, which limits competition in the telecommunications market and makes it similar to the non-competitive market where a single operator holds a very large market share and, therefore, can behave independently of competitors and consumers.</w:t>
        <w:br/>
        <w:t>IX.4.4 Ne bis in idem</w:t>
        <w:br/>
        <w:t>303. In the final memorandum, Fastweb argues, also submitting an opinion335 for this purpose, that the Authority should dismiss the proceeding as the same conduct would have been subject to sanctions imposed by AGCOM. Consequently, any potential sanction from the Authority would violate the principle of ne bis in idem.</w:t>
        <w:br/>
        <w:t>304. That said, it is highlighted, for the sake of completeness, that the conditions identified by jurisprudence for the application of the principle of ne bis in idem do not exist, due to the fact that the conduct sanctioned in AGCOM proceedings is different from the conduct under investigation in the present proceeding. The proceedings initiated and concluded by AGCOM pertain, in fact, exclusively to the non-compliant conduct of each individual operator with respect to the regulatory obligations imposed to protect users of fixed telephony services. The conduct investigated in this case consists of a restrictive agreement on competition established in violation of Article 101 TFEU, aimed at maintaining the existing price level and hindering the mobility of their respective customer bases during the period under investigation, thus preventing the proper functioning of competitive dynamics among operators in the markets for fixed telephony services and services of</w:t>
        <w:br/>
        <w:t>333 On this point, see for example doc. ISP.256.</w:t>
        <w:br/>
        <w:t>334 See AGCM Decision No. 27784 of May 20, 2019, case C12207 – Sky/R2; AGCM Decisions No. 18932 of October 2, 2008, and No. 21316 of July 7, 2010, case A407 – Conto TV/Sky Italia.</w:t>
        <w:br/>
        <w:t>335 See doc. 388, annex 3.</w:t>
      </w:r>
    </w:p>
    <w:p>
      <w:r>
        <w:rPr>
          <w:b/>
        </w:rPr>
        <w:t>[Pages 103–105]</w:t>
      </w:r>
    </w:p>
    <w:p>
      <w:r>
        <w:t>BULLETIN NO. 5 OF FEBRUARY 3, 2020 105</w:t>
        <w:br/>
        <w:t>mobile telephony, subject to the provisions of Article 19 quinquiesdecies of Decree-Law No. 148/2017. Therefore, the requirement of idem factum, necessary to configure a violation of the principle in question, is absent.</w:t>
      </w:r>
    </w:p>
    <w:p>
      <w:r>
        <w:t>305. Finally, it is highlighted that the refunds that the Operators must pay following the rejection of the appeals filed against AGCOM Resolutions cannot certainly be classified as sanctions but represent the exact fulfillment of the regulatory obligations of AGCOM Resolution No. 121/17/CONS. They therefore have nothing to do with the purpose of the sanctions provided for by Law No. 287/90. In conclusion, Fastweb's arguments regarding the alleged ne bis in idem are not deemed worthy of acceptance.</w:t>
      </w:r>
    </w:p>
    <w:p>
      <w:r>
        <w:t>X. HARM TO TRADE BETWEEN MEMBER STATES</w:t>
        <w:br/>
        <w:t>306. According to the Commission Communication 2004/C 101/07 – Guidelines on the notion of harm to trade between Member States under Articles 81 and 82 of the Treaty, published in OJ C 101/81 of April 27, 2004 (now Articles 101 and 102 of the TFEU), the concept of harm to intra-community trade must be interpreted taking into account the direct or indirect, actual or potential influence on trade flows between Member States.</w:t>
      </w:r>
    </w:p>
    <w:p>
      <w:r>
        <w:t>307. The agreement in question concerns the entire national territory and involves the major operators in the relevant markets operating throughout the national territory, belonging to significant multinational groups. Therefore, the behaviors described above are potentially capable of harming intra-community trade and constitute the elements for an infringement of Article 101 of the TFEU.</w:t>
      </w:r>
    </w:p>
    <w:p>
      <w:r>
        <w:t>XI. SEVERITY AND DURATION OF THE AGREEMENT</w:t>
        <w:br/>
        <w:t>308. Article 15, paragraph 1, of Law No. 287/90 provides that the Authority, in cases of serious infringements, taking into account their severity and duration, shall impose an administrative pecuniary sanction of up to 10% of the turnover achieved by each company or association in the last financial year closed prior to the notification of the warning adopted as a result of an investigative procedure.</w:t>
      </w:r>
    </w:p>
    <w:p>
      <w:r>
        <w:t>309. According to established European and national jurisprudence, to assess the severity of an infringement, a multitude of factors must be considered, the nature and importance of which vary depending on the type of infringement and the specific circumstances of the case. Among these factors, the nature of the restriction of competition, as well as the role and market representation of the companies involved, are particularly relevant.</w:t>
      </w:r>
    </w:p>
    <w:p>
      <w:r>
        <w:t>310. Based on the findings of the investigation, it has been established that the telephone Operators involved in the proceeding have engaged in a unique, complex, and continuous agreement, of a secret nature, at least from November 14, 2017 (the date on which the terms of coordination were definitively realized, according to what emerges from Fastweb's email336) to April 13, 2018 (the date of notification of the precautionary measure), aimed at determining the repricing of retail fixed and mobile communication services in connection with compliance with the provisions contained in Article 19 quinquiesdecies of Decree-Law No. 148/2017, restricting the ability of consumer-customers to benefit from proper competitive comparison among Operators.</w:t>
      </w:r>
    </w:p>
    <w:p>
      <w:r>
        <w:t>336 See doc. ISP.526.</w:t>
      </w:r>
    </w:p>
    <w:p>
      <w:r>
        <w:t>106 BULLETIN NO. 5 OF FEBRUARY 3, 2020</w:t>
        <w:br/>
        <w:t>311. It is noted that the agreement, extended to the entire national territory, involved the main players in the reference markets, which collectively hold about 90% of the fixed and mobile telephony service markets, and that these services are now considered essential services with nearly total penetration of the population. The repricing subject to the agreement – in the absence of the adoption of precautionary measures by the Authority – would have affected approximately 44 million mobile lines and over 16.8 million fixed lines337. The agreement was fully implemented as the occurrence of further anti-competitive effects was avoided solely by the adoption of the precautionary measures ordered in the context of this proceeding.</w:t>
      </w:r>
    </w:p>
    <w:p>
      <w:r>
        <w:t>312. It should also be considered that the purpose of the coordination was to maintain the 8.6% increase originally achieved with four-week billing, a practice that the Parties themselves admitted was designed to raise prices for consumers338. The Parties abused the procedural participation guaranteed by the regulator, turning it into occasions for anti-competitive collusion.</w:t>
      </w:r>
    </w:p>
    <w:p>
      <w:r>
        <w:t>313. The described conduct is considered among the most serious violations of antitrust law, as it is aimed at coordinating pricing conditions. It therefore constitutes a very serious violation of the rules protecting competition. In this regard, the Authority's Guidelines on the application of the criteria for quantifying administrative pecuniary sanctions, adopted by the Authority on October 22, 2014, consider such horizontal secret agreements on price-fixing, market allocation, and production limitation to be serious violations (point 12).</w:t>
      </w:r>
    </w:p>
    <w:p>
      <w:r>
        <w:t>XII. THE OPINION OF THE AUTHORITY FOR GUARANTEES IN COMMUNICATIONS</w:t>
        <w:br/>
        <w:t>314. On January 17, 2020, the opinion of the Authority for Guarantees in Communications was received pursuant to Article 1, paragraph 6, letter c), No. 11, of Law No. 249 of July 31, 1997, requested by the Authority on December 17, 2020.</w:t>
      </w:r>
    </w:p>
    <w:p>
      <w:r>
        <w:t>XII.1 The content of the Opinion of the Authority for Guarantees in Communications</w:t>
        <w:br/>
        <w:t>315. In the opinion issued with Resolution No. 6/20/CONS of January 15, 2020339, the Authority for Guarantees in Communications analyzes the economic-legal context of reference, as well as the main elements of the draft final decision. Regarding the relevant markets, AGCOM shares the Authority's conclusions regarding the identified markets, both from a commodity and geographical perspective. AGCOM emphasizes that these markets are usually characterized by competitive and innovative dynamics.</w:t>
      </w:r>
    </w:p>
    <w:p>
      <w:r>
        <w:t>316. Regarding the agreement, AGCOM states that the repricing originates from the progressively implemented choices of individual operators in the period prior to Resolution No. 462/16/CONS of October 19, 2016, which were not contested from an antitrust perspective. In this sense, “it was precisely AGCOM, in Resolution No. 462/16/CONS (Annex B, p. 3), that highlighted, contesting it to the operators, the implicit effect of the ‘repricing’ concerning the temporal dimension of the billing or implicit renewal quotas included in a year”340.</w:t>
      </w:r>
    </w:p>
    <w:p>
      <w:r>
        <w:t>317. According to AGCOM, the same position that has always been publicly expressed and contested to AGCOM emerges in the defenses of the Operators, which, however, has been “specifically refuted by the outcome of subsequent appeals, regarding the alleged legitimacy of a ‘repricing’ carried out in the aforementioned manner”341. Based on these assumptions, AGCOM notes that the Operators argued that recognition of the right to exercise withdrawal was not necessary, without an annual increase when transitioning from 28-day tariffs to monthly ones while maintaining annual expenditure. AGCOM therefore believes that the percentage increase in repricing (8.6%) cannot be considered an exogenous element, being the transposition of increases already realized and known to the market, also due to AGCOM's action.</w:t>
      </w:r>
    </w:p>
    <w:p>
      <w:r>
        <w:t>318. AGCOM also emphasizes that the coordination, as emerges from the decision, does not concern the contents (SMS, voice traffic, and data), which are elements that affect consumers' mobility decisions just like new offers. In this sense, according to AGCOM, a significant effect on competition would be achievable by associating the maintenance of the 8.6% to the customer base with a coordination on the price of new offers. The absence of a decrease in prices, therefore, should not be the only reference for assessing the competitiveness of the market, for example, in the presence of the need to make investments.</w:t>
      </w:r>
    </w:p>
    <w:p>
      <w:r>
        <w:t>319. In evaluating the agreement, AGCOM considers it necessary to also assess that its regulatory activity has directly resulted in the Operators having various “opportunities for coordination and co-regulation, often necessitated and induced by the regulatory design to ensure effectiveness and efficiency of the services provided to end consumers”342. To provide elements for assessing the conduct of the Parties, AGCOM has developed an analysis of user mobility rates between the first quarter of 2018 and the second quarter of 2018. In fact, in the first quarter of 2018, the announcement of the repricing occurred, while following the precautionary measure of March 2018, the effects of differentiated commercial offers were observed in the second quarter of 2018. AGCOM emphasizes that the lines donated in the first quarter of 2018 are similar to those of the previous quarter and higher than those of the second quarter of 2018. AGCOM therefore notes that “the analysis conducted highlights how during the period in which the Operators announced the reconfiguration of tariffs with an increase of 8.6% due to the reintroduction of monthly billing, the markets for fixed and mobile network services do not appear to have been significantly affected by the behavior of the Operators. The announced tariff reconfiguration of 8.6% (although limited in time) did not, therefore, result in a change in users' propensity to change operators with number portability [...], moreover, even after the adoption of AGCM's precautionary measure, when the Operators adopted different pricing and content strategies among themselves, no particular changes in the trends of number portability were recorded”343.</w:t>
      </w:r>
    </w:p>
    <w:p>
      <w:r>
        <w:rPr>
          <w:b/>
        </w:rPr>
        <w:t>[Pages 106–108]</w:t>
      </w:r>
    </w:p>
    <w:p>
      <w:r>
        <w:t>108 BULLETIN NO. 5 OF FEBRUARY 3, 2020</w:t>
        <w:br/>
        <w:t>320. In conclusion, in expressing its opinion, AGCOM observes that there has been a negligible effect on number portability, a circumstance that should be worthy of appreciation in the Authority's assessments.</w:t>
      </w:r>
    </w:p>
    <w:p>
      <w:r>
        <w:t>XII.2 Considerations</w:t>
        <w:br/>
        <w:t>321. Regarding the qualification of repricing as an exogenous element, it is deemed appropriate to clarify that the Authority does not consider the value of 8.6% as a novel element in the sector. In fact, both in the Communication of Investigation Results and in this provision344, there is a thorough examination of the entire factual, legal, and economic context starting from the year 2015. The assessment of repricing, in fact, concerns two main aspects. The first relates to repricing as an element that allows for simple and rapid coordination among Operators, in a context where they have a plurality of different offers, with differentiated characteristics and prices: communicating a commercial strategy – with direct contacts between Operators that go beyond technical and regulatory activities – with reference to a simple and well-known focal element allows for easy resolution of a coordination that would otherwise be complex. The second aspect concerns the purpose of the coordination which, as noted by AGCOM, is to communicate to customers the absence of an increase in annual expenditure and, on the other hand, to reduce customer mobility. In this sense, the purpose of the agreement is in continuity with lobbying activities aimed at not enforcing the right of withdrawal (which are prior and not the subject of the contested agreement). As indicated several times above, it clearly emerges that the agreement in question has an extremely relevant link with the objective and thus with the intention of limiting customer churn.</w:t>
      </w:r>
    </w:p>
    <w:p>
      <w:r>
        <w:t>322. The fact that the parameter of 8.6% is already known in the market is an element that affects the ease of achieving anti-competitive coordination. In fact, the Operators have discussed so much about the desire to "Maintain the increases already made, avoiding triggering the procedures under Art. 70 CCE"345 that succinct communications have been sufficient to effectively coordinate on commercial modalities. These elements are taken into account in the provision under examination. Indeed, it emerges that, although 8.6% is known in the market, the Operators have studied various alternative commercial options. The characteristic of notoriety of an element does not necessarily imply that it is a forced choice: the focus on 8.6% allows Operators to easily refer to the terms of coordination, the existence of which – it is worth reiterating – is demonstrated by the evidence examined previously, relating to meetings, emails, and phone calls between the Operators.</w:t>
      </w:r>
    </w:p>
    <w:p>
      <w:r>
        <w:t>323. As for the relationship between offers for existing customers and new offers (or comparable offers as defined by AGCOM), it is emphasized that, as extensively argued in the Communication of Investigation Results and in this provision, the prices for the customer base indirectly influence the prices for new customers of competitors. As widely reported in the preceding paragraphs346, the commercial offers reserved for new customers are usually lower than those applied to the existing customer base. However, maintaining a price level higher than the competitive one for the existing customer base results in a lower incentive to offer lower prices even to new customers. In other words, if competitors' customers pay a higher price, less competitive effort will be needed to acquire them347, as has been extensively argued above.</w:t>
      </w:r>
    </w:p>
    <w:p>
      <w:r>
        <w:t>324. This is evidenced by the fact that, following the cessation of the agreement due to the Authority's precautionary measure, both prices and innovative content for users have improved. Therefore, the analysis is not restricted solely to prices, but considers that competition has positive effects on both prices and the quality and content offered. A return to price reduction dynamics, following the cessation of the agreement, has not compromised the provision of more content or an improvement in the offer for users. This is evident, for example, from AGCOM data relating to December 2018348, which shows a 61% increase in data traffic on mobile SIMs (from 2,671 to 1,655 petabytes), although there is a 4.7% reduction in the index of prices for mobile telephony services and a 3.2% reduction in the index of prices for Internet connections and other services349. The reduction in prices has not compromised the expansion of the services provided.</w:t>
      </w:r>
    </w:p>
    <w:p>
      <w:r>
        <w:t>325. It follows that the agreement in question has concerned the price which, as reiterated several times by the Council of State, "... has particular importance as a tool of competition (it is the main weapon of competition among firms)"350 and this "leads to the conclusion that any form of collusive conduct through which firms alter its formation mechanism is prohibited"351.</w:t>
      </w:r>
    </w:p>
    <w:p>
      <w:r>
        <w:t>326. With reference to the analysis conducted by AGCOM regarding portability, it is observed that the reported data confirm the Authority's assessments. In the first place, in fact, AGCOM notes that, following the announcement of tariff adjustments, there was no significant increase in portability rates (in the first quarter of 2018). This confirms that, in the presence of uniform behavior among Operators, consumers perceived a substantial uselessness of migration352.</w:t>
      </w:r>
    </w:p>
    <w:p>
      <w:r>
        <w:t>327. As for the effects of the precautionary measure on number portability in the second quarter of 2018, it should be noted that – although, as AGCOM states, portability is substantially similar – the precautionary measures resulted in a differentiated reduction in expenditure. This means that the Operators, precisely to avoid increasing portability rates, decided to revise prices downward. This aspect shows the repeatedly mentioned essence of the agreement, aimed at frustrating competitive comparison with the objective of maintaining the 8.6% increase without losing customers.</w:t>
      </w:r>
    </w:p>
    <w:p>
      <w:r>
        <w:t>328. These elements also emerge by examining in more detail the data provided by AGCOM for individual operators and considering the modalities that each of them has implemented in compliance with the precautionary measures. It is sufficient to think that TIM, due to regulatory constraints, could not immediately apply the modification of commercial offers for fixed lines353. Indeed, as can be seen in Figure 12 below, while for other operators the portability rates remain more or less similar between the first and second quarters of 2018, for TIM this portability rate increases significantly. AGCOM also notes that in the second quarter of 2018 there is a reduction in outgoing lines, especially for Vodafone. In this regard, it is noted that Vodafone was the only operator that completely suspended the 8.6% tariff increase in compliance with the Authority's precautionary measures.</w:t>
      </w:r>
    </w:p>
    <w:p>
      <w:r>
        <w:t>Figure 12 – Lines donated on fixed network per quarter354</w:t>
      </w:r>
    </w:p>
    <w:p>
      <w:r>
        <w:t>329. Therefore, although according to AGCOM "the transition to differentiated repricing [in compliance with the precautionary measure] does not seem to have significantly affected competitive dynamics" due to the fact that there would not have been "a significant change in the degree of consumer mobility and thus in the degree of competition among operators"355, it should be noted that</w:t>
      </w:r>
    </w:p>
    <w:p>
      <w:r>
        <w:t>353 See doc. 93. In fact, due to the need for ex ante control of prices on fixed telephony, the changes were published on the website on April 9, 2018.</w:t>
        <w:br/>
        <w:t>354 See doc. 412, Figure 2.</w:t>
        <w:br/>
        <w:t>355 See doc. 412, par. 84.</w:t>
      </w:r>
    </w:p>
    <w:p>
      <w:r>
        <w:rPr>
          <w:b/>
        </w:rPr>
        <w:t>[Pages 109–111]</w:t>
      </w:r>
    </w:p>
    <w:p>
      <w:r>
        <w:t>BULLETIN NO. 5 OF FEBRUARY 3, 2020 111</w:t>
        <w:br/>
        <w:t>it should be noted that the contested agreement concerns the prices of the offers (maintenance of repricing). In fact, only with uniform behavior was it possible to sustain a repricing and, subsequent to the precautionary measure, the Operators had to reduce prices for the customer base in order to maintain stable exit rates.</w:t>
      </w:r>
    </w:p>
    <w:p>
      <w:r>
        <w:t>330. This demonstrates that the established agreement would have had – in the absence of precautionary measures – a negative effect on competition to the detriment of the consumer customers of the Operators, who would have paid higher prices and would not have found migration convenient anyway. Following the adoption of the precautionary measures, however, there was a reduction in prices for consumers and, therefore, consumers paid less than they would have been charged by the Operators in the absence of precautionary measures. It is therefore necessary to recognize that the main point remains the price paid by the consumer customers of the Operators and not just customer mobility.</w:t>
      </w:r>
    </w:p>
    <w:p>
      <w:r>
        <w:t>331. Thus, although there has not been a significant change in customer exit rates (portability rates), this is due to a generalized reduction in prices for the customer bases of the Operators resulting from the precautionary measures. The agreement in question, in fact, has always aimed to preserve the 8.6% repricing through uniform behavior that undermines the mobility of each operator's customer base. In the absence of coordination, competitive equilibrium was achieved by lowering prices. Therefore, AGCOM data further confirms that the agreement in question has an anti-competitive object and would have produced (in the absence of precautionary measures) a direct effect on the expenditure of the final consumer customers of the Operators.</w:t>
      </w:r>
    </w:p>
    <w:p>
      <w:r>
        <w:t>332. Finally, regarding the aspects of facilitating coordination among Operators that would have derived from AGCOM's activity, it is noted that according to established jurisprudential guidelines, even “if a national law merely encourages or facilitates the adoption of autonomous anti-competitive behaviors by companies, they remain subject to Articles 81 EC and 82 EC”356. The possible presence of facilitating elements of the agreement, therefore, does not eliminate the responsibility of the Operators involved in the proceeding, who should have maintained autonomous commercial behaviors.</w:t>
      </w:r>
    </w:p>
    <w:p>
      <w:r>
        <w:t>XIII. CRITERIA FOR THE QUANTIFICATION OF SANCTIONS</w:t>
      </w:r>
    </w:p>
    <w:p>
      <w:r>
        <w:t>333. Article 15, paragraph 1, of Law No. 287/90 provides that the Authority, in cases of serious violations,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proceeding.</w:t>
      </w:r>
    </w:p>
    <w:p>
      <w:r>
        <w:t>334. Regarding the turnover relevant for the sanction, the Guidelines on the application of the criteria for quantifying administrative pecuniary sanctions imposed357 by the Authority in application of Article 15, paragraph 1, of Law No. 287/90 (“Guidelines”) provide that sanctions “must be calculated based on the value of the sales of goods or services that are directly or indirectly the subject of the infringement, achieved by the company in the relevant market(s) in the last full year of participation in the same infringement (hereinafter, sales value) […] If the data relating to turnover, referring to the last full year of participation in the infringement, is not made available by the company or is not reliable or sufficiently representative or, in any case, otherwise not determinable, the Authority will take into account any other information it deems relevant or appropriate.”</w:t>
      </w:r>
    </w:p>
    <w:p>
      <w:r>
        <w:t>335. According to the Guidelines, the base amount of the sanction is obtained by multiplying a percentage of the sales value, determined based on the level of severity of the infringement, by the duration of each company's participation in the infringement.</w:t>
      </w:r>
    </w:p>
    <w:p>
      <w:r>
        <w:t>336. Regarding the sales value, it is noted that the behaviors in question concern a restrictive agreement aimed at maintaining the existing price level and hindering the mobility of their respective customer bases during the period subject to investigation, thus preventing the proper functioning of competitive dynamics among operators in the markets for fixed-line and mobile telephony services, as provided for in Article 19 quinquiesdecies of Decree-Law No. 148/2017. Therefore, consistent with the Parties' arguments358, it is believed that the sales value should refer to revenues that are directly or indirectly attributable to the contested infringement and, therefore, only to the customer base subject to 28-day offers.</w:t>
      </w:r>
    </w:p>
    <w:p>
      <w:r>
        <w:t>337. It is also believed that the sales value should refer to the year 2017, as the established behaviors took place between November 2017 and April 2018 and, therefore, the last full year of participation is the year 2017. This value is shown in the following table.</w:t>
      </w:r>
    </w:p>
    <w:p>
      <w:r>
        <w:t>Table 12 – Sales Value (Euro)359</w:t>
        <w:br/>
        <w:t>Fixed-line Telephony Mobile Telephony Total</w:t>
        <w:br/>
        <w:t>Fastweb [500-1,000] million [50-100] million [500-1,000] million</w:t>
        <w:br/>
        <w:t>TIM [4-5] billion [1-2] billion [6-7] billion</w:t>
        <w:br/>
        <w:t>Vodafone Italia [500-1,000] million [2-3] billion [3-4] billion</w:t>
        <w:br/>
        <w:t>Wind Tre [500-1,000] million [1-2] billion [2-3] billion</w:t>
      </w:r>
    </w:p>
    <w:p>
      <w:r>
        <w:t>338. For the purpose of determining the base amount of the sanction, a specific percentage determined based on the severity of the violation may be applied to the sales value as determined above. According to the Guidelines, in particular, the proportion considered must359 be set at a level that can reach 30% of the sales value, “based on the degree of severity of the violation” (point 11).</w:t>
      </w:r>
    </w:p>
    <w:p>
      <w:r>
        <w:t>339. In relation to the case at hand, it should be noted that, for secret horizontal agreements on market allocation and coordinated price fixing, pursuant to point 12 of the Guidelines, the percentage of the sales value considered for the calculation of the base amount “will generally not be less than 15%.” In light of the very serious nature of the infringement360, it is therefore deemed appropriate to assign the telephone Operators involved in the proceeding a coefficient equal to 15% of the sales value.</w:t>
      </w:r>
    </w:p>
    <w:p>
      <w:r>
        <w:t>340. The duration of the infringement has an impact on the harmful consequences of the infringement and, therefore, deserves to be valued in determining the appropriate amount of the sanction. According to the Guidelines, “for fractions of a year, the duration will be calculated based on the actual months and days of participation in the infringement.” Based on the investigative findings, it has been established that the telephone Operators involved in the proceeding have engaged in a unique, complex, and ongoing secret agreement, at least from November 14, 2017 (the date on which the terms of coordination were definitively concretized, according to what emerges from Fastweb's email361) to April 13, 2018 (the date of notification of the precautionary measure). Therefore, the duration will be equal to 4 months and 30 days.</w:t>
      </w:r>
    </w:p>
    <w:p>
      <w:r>
        <w:t>341. Based on the identified sales value, the duration (4 months and 30 days), and the percentage of 15%, the base amounts of the sanctions for the telephone Operators involved in the proceeding are shown in the following table.</w:t>
      </w:r>
    </w:p>
    <w:p>
      <w:r>
        <w:t>Table 13 – Base Amount of the Sanction</w:t>
        <w:br/>
        <w:t>Base Amount</w:t>
        <w:br/>
        <w:t>Fastweb € 49,187,500.00</w:t>
        <w:br/>
        <w:t>TIM € 401,397,631.59</w:t>
        <w:br/>
        <w:t>Vodafone Italia € 222,112,412.02</w:t>
        <w:br/>
        <w:t>Wind Tre € 136,750,000.01</w:t>
      </w:r>
    </w:p>
    <w:p>
      <w:r>
        <w:t>342. Pursuant to points 19 and 23 of the Guidelines, the base amount of the sanction, determined as described in the preceding paragraphs, may be reduced to take into account specific circumstances that mitigate the liability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in Article 11 of Law No. 689 of November 24, 1981.</w:t>
      </w:r>
    </w:p>
    <w:p>
      <w:r>
        <w:t>360 On this point, for example, Council of State, Section VI, July 15, 2019, No. 4990, I760 - Roche-Novartis/Avastin and Lucentis Drugs, according to which “Horizontal agreements on price or market allocation are ‘very serious’ infringements solely based on their nature, regardless of the calculation of the actual economic consequences.”.</w:t>
      </w:r>
    </w:p>
    <w:p>
      <w:r>
        <w:t>361 See doc. ISP.526.</w:t>
      </w:r>
    </w:p>
    <w:p>
      <w:r>
        <w:rPr>
          <w:b/>
        </w:rPr>
        <w:t>[Pages 112–114]</w:t>
      </w:r>
    </w:p>
    <w:p>
      <w:r>
        <w:t>114 BULLETIN NO. 5 OF FEBRUARY 3, 2020</w:t>
        <w:br/>
        <w:t>343. Among the mitigating circumstances, the Guidelines include “the adoption and compliance with a specific compliance program, adequate and in line with European and national best practices. The mere existence of a compliance program will not be considered a mitigating circumstance in itself, in the absence of evidence of a genuine and concrete commitment to comply with what is provided in the program (for example, through full involvement of management, identification of personnel responsible for the program, identification and assessment of risks based on the business sector and operational context, organization of training activities appropriate to the economic size of the company, provision of incentives for compliance with the program as well as disincentives for non-compliance, implementation of monitoring and auditing systems).”</w:t>
      </w:r>
    </w:p>
    <w:p>
      <w:r>
        <w:t>344. As previously highlighted362, TIM, Vodafone, and Wind Tre have illustrated their existing compliance programs and the revisions adopted following the initiation of the proceeding363. Fastweb did not present any compliance program.</w:t>
      </w:r>
    </w:p>
    <w:p>
      <w:r>
        <w:t>345. In this regard, it is appropriate to note that the pre-existing programs did not effectively serve a preventive function against antitrust violations. Furthermore, the elements described previously show how the top management of the telephone operators involved in the proceeding, including executives and heads of the highest-level offices of the companies, as well as employees of the regulatory and antitrust offices of the operators involved in the proceeding, were implicated in the violation. These elements demonstrate that the compliance programs adopted by TIM, Vodafone, and Wind Tre prior to the initiation of the proceeding were not effective in making the value of competition an integral part of the corporate culture and policy. However, in light of the changes made to the compliance programs of TIM, Vodafone, and Wind Tre, it is deemed appropriate to apply a reduction of the fine by 5%.</w:t>
      </w:r>
    </w:p>
    <w:p>
      <w:r>
        <w:t>346. Furthermore, it is considered appropriate to apply an additional mitigating factor of 5% to Vodafone Italia due to the specific manner of compliance with the precautionary measures of the Authority. In particular, Vodafone fully suspended the tariff repricing of 8.6%, implementing different and subsequent maneuvers, with the recognition of additional periods for the exercise of the right of withdrawal for consumer customers364. These methods were deemed, in terms of compliance, “suitable to provide consumers with better information and transparency regarding the changes applied”365 compared to the methods implemented by the other operators.</w:t>
      </w:r>
    </w:p>
    <w:p>
      <w:r>
        <w:t>362 Cf. Section VII. Compliance Programs, infra.</w:t>
        <w:br/>
        <w:t>363 Cf. docs. 264 (TIM), 233 (Vodafone), 184, 228, and 252 (Wind Tre).</w:t>
        <w:br/>
        <w:t>364 Cf. doc. 95.</w:t>
        <w:br/>
        <w:t>365 Cf. doc. 155.</w:t>
      </w:r>
    </w:p>
    <w:p>
      <w:r>
        <w:t>BULLETIN NO. 5 OF FEBRUARY 3, 2020 115</w:t>
        <w:br/>
        <w:t>Table 14 – Application of Mitigating Factors</w:t>
        <w:br/>
        <w:t>Mitigating Factor for</w:t>
        <w:br/>
        <w:t>Mitigating Factor for</w:t>
        <w:br/>
        <w:t>Compliance Program</w:t>
        <w:br/>
        <w:t>Compliance with</w:t>
        <w:br/>
        <w:t>Precautionary Measures</w:t>
        <w:br/>
        <w:t>Fastweb No No € 49,187,500.00</w:t>
        <w:br/>
        <w:t>TIM 5% No € 381,327,750.01</w:t>
        <w:br/>
        <w:t>Vodafone Italia 5% 5% € 199,901,170.82</w:t>
        <w:br/>
        <w:t>Wind Tre 5% No € 129,912,500.01</w:t>
      </w:r>
    </w:p>
    <w:p>
      <w:r>
        <w:t>347. Finally, based on point 34 of the Guidelines, the Authority may assess the appropriateness of deviating from what is provided therein in light of the specific circumstances of the case. In this case, it is noted that the Authority applied precautionary measures for the first time in a proceeding concerning a restrictive agreement that, due to the specific methods and timing of tariff adoption, prevented the effects of the agreement from materializing, imposing a re-evaluation of the commercial choices of the operators involved in the proceeding. These precautionary measures resulted in a differentiated reduction of prices for the customers of the operators subject to the proceeding before the repricing was completed. Moreover, the specificities of the conduct examined adopted by the operators in the legal and economic context of the fixed and mobile telecommunications markets at the historical moment in question were evaluated, as extensively described above. In light of these elements, it is deemed appropriate to apply a reduction of 70% of the fines.</w:t>
      </w:r>
    </w:p>
    <w:p>
      <w:r>
        <w:t>348. Therefore, the fines imposed on the telephone operators involved in the proceeding are shown in the following table. All fines are below the statutory limit of 10% of the revenue resulting from the last approved financial statement366, pursuant to Article 15, paragraph 1, of Law No. 287/90.</w:t>
      </w:r>
    </w:p>
    <w:p>
      <w:r>
        <w:t>366 The revenues resulting from the last financial statement are as follows: Fastweb €2,103,914,000 (financial statement as of December 31, 2018, doc. 283, annex 1); TIM €19,281,000,000 (financial statement as of December 31, 2018, doc. 374, annex 5); Vodafone €6,444,000,000 (financial statement as of March 31, 2019, doc. 393); Wind Tre €5,567,000,000 (financial statement as of December 31, 2018, doc. 289, annex 1). It should also be noted that, according to the most recent available data: Fastweb achieved a net result of €107 million in the last fiscal year 2018; TIM recorded a provisional net profit of €798 million in the first half of 2019; Vodafone Italia, in the fiscal year ending March 31, 2019, achieved a net operating result of €427 million and an operating result of €921 million; Wind Tre, in the first half of 2019, recorded a provisional net result of €325 million (cf. docs. 283, annex 1, 374, annex 4 and 8, 393 and 389, annex 1).</w:t>
      </w:r>
    </w:p>
    <w:p>
      <w:r>
        <w:t>116 BULLETIN NO. 5 OF FEBRUARY 3, 2020</w:t>
        <w:br/>
        <w:t>Table 15 – Final Fine</w:t>
        <w:br/>
        <w:t>Fine</w:t>
        <w:br/>
        <w:t>Fastweb €14,756,250.00</w:t>
        <w:br/>
        <w:t>TIM €114,398,325.00</w:t>
        <w:br/>
        <w:t>Vodafone Italia €59,970,351.25</w:t>
        <w:br/>
        <w:t>Wind Tre €38,973,750.00</w:t>
      </w:r>
    </w:p>
    <w:p>
      <w:r>
        <w:t>all of the above having been stated and considered;</w:t>
        <w:br/>
        <w:t>THEREFORE, IT IS CONSIDERED that, based on the preceding considerations, the companies Fastweb S.p.A., Telecom Italia S.p.A., Vodafone Italia S.p.A., and Wind Tre S.p.A. have engaged in a secret, unique, complex, and ongoing agreement that restricts competition, contrary to Article 101 of the Treaty on the Functioning of the European Union;</w:t>
      </w:r>
    </w:p>
    <w:p>
      <w:r>
        <w:t>DECIDES</w:t>
        <w:br/>
        <w:t>a) that the companies Fastweb S.p.A., Telecom Italia S.p.A., Vodafone Italia S.p.A., and Wind Tre S.p.A. have engaged in a secret, unique, complex, and ongoing agreement that restricts competition, in violation of Article 101 of the Treaty on the Functioning of the European Union, aimed at maintaining the existing price level and hindering the mobility of their respective customer bases, preventing the proper functioning of competitive dynamics among operators in the markets for fixed-line and mobile telephony services, as provided for in Article 19 quinquiesdecies of Decree-Law No. 148/2017;</w:t>
      </w:r>
    </w:p>
    <w:p>
      <w:r>
        <w:t>b) that the aforementioned companies refrain in the future from engaging in behaviors similar to those subject to the infringement established in the preceding point;</w:t>
      </w:r>
    </w:p>
    <w:p>
      <w:r>
        <w:t>c) that, due to the severity and duration of the infringement referred to in point a), the following administrative monetary sanctions be imposed, amounting to €14,756,250.00 for Fastweb S.p.A., €114,398,325.00 for Telecom Italia S.p.A., €59,970,351.25 for Vodafone Italia S.p.A., and €38,973,750.00 for Wind Tre S.p.A.</w:t>
      </w:r>
    </w:p>
    <w:p>
      <w:r>
        <w:t>The administrative sanctions referred to in the preceding letter c) must be paid within ninety days from the notification of this provision, using the tax codes indicated in the attached F24 model with identifying elements, pursuant to Legislative Decree No. 241 of July 9, 1997.</w:t>
      </w:r>
    </w:p>
    <w:p>
      <w:r>
        <w:t>Payment must be made electronically with a debit from one's bank or postal account, through the home banking and CBI services provided by banks or Poste Italiane S.p.A., or by using the electronic services of the Revenue Agency, available on the website www.agenziaentrate.gov.it.</w:t>
      </w:r>
    </w:p>
    <w:p>
      <w:r>
        <w:rPr>
          <w:b/>
        </w:rPr>
        <w:t>[Pages 115–117]</w:t>
      </w:r>
    </w:p>
    <w:p>
      <w:r>
        <w:t>BULLETIN NO. 5 OF FEBRUARY 3, 2020 117</w:t>
        <w:br/>
        <w:t>After the aforementioned deadline, for a delay period of less than six months, late payment interest must be paid at the legal rate starting from the day following the payment deadline until the date of payment. In case of further delay in fulfillment, pursuant to Article 27, paragraph 6, of Law No. 689/81, the amount due for the imposed penalty is increased by one-tenth for each semester starting from the day following the payment deadline until the date on which the role is transmitted to the collection agent; in this case, the increase absorbs the late payment interest accrued during the same period.</w:t>
        <w:br/>
        <w:t>Notification of the payments made must be communicated immediately to the Authority, by sending a copy of the form certifying the payment made.</w:t>
        <w:br/>
        <w:t>Pursuant to Article 26 of the same law, companies in economically disadvantaged conditions may request the installment payment of the penalty.</w:t>
        <w:br/>
        <w:t>This provision will be notified to the interested parties and published in the Bulletin of the Authority for Competition and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r>
    </w:p>
    <w:p>
      <w:r>
        <w:t>118 BULLETIN NO. 5 OF FEBRUARY 3, 2020</w:t>
        <w:br/>
        <w:t>CONCENTRATION OPERATIONS</w:t>
        <w:br/>
        <w:t>C12273 - MOL CROSSROADS/CHEVRON KHAZAR</w:t>
        <w:br/>
        <w:t>Provision No. 28083</w:t>
        <w:br/>
        <w:t>THE AUTHORITY FOR COMPETITION AND MARKET</w:t>
        <w:br/>
        <w:t>IN ITS MEETING of January 14, 2020;</w:t>
        <w:br/>
        <w:t>HEARD the Rapporteur Dr. Gabriella Muscolo;</w:t>
        <w:br/>
        <w:t>HAVING REGARD TO Law No. 287 of October 10, 1990;</w:t>
        <w:br/>
        <w:t>HAVING REGARD TO the D.P.R. No. 217 of April 30, 1998;</w:t>
        <w:br/>
        <w:t>HAVING REGARD TO the communication from MOL Crossroads B.V. received on December 18, 2019;</w:t>
        <w:br/>
        <w:t>HAVING REGARD TO the documentation on file;</w:t>
        <w:br/>
        <w:t>CONSIDERING the following:</w:t>
        <w:br/>
        <w:t>I. THE PARTIES</w:t>
        <w:br/>
        <w:t>1. MOL Crossroads B.V. (hereinafter "MOL") is a newly established company, 100% controlled by MOL Hungarian Oil and Gas Plc., the parent company of the "MOL Group," an integrated international oil company based in Budapest. The shares of MOL Hungarian Oil and Gas Plc. are listed on the Budapest Stock Exchange and the Warsaw Stock Exchange.</w:t>
        <w:br/>
        <w:t>The MOL Group operates internationally across the entire crude oil and natural gas supply chain. The main activities of the MOL Group are: (i) exploration, production, and refining of crude oil; (ii) distribution of refined petroleum products both wholesale and retail; (iii) production and sale of petrochemical products; (iv) exploration and production of natural gas; (v) transportation of natural gas in Hungary.</w:t>
        <w:br/>
        <w:t>In Italy, the MOL Group is active, through a series of controlled companies1, in the following activities: refining and marketing of petroleum products; trading of petroleum products; provision of energy services; sale of polymers. The group exports refined petroleum products to Italy (through its subsidiaries MOL Petrochemicals Co. and Slovnaft) and has minority stakes, consortia, and joint ventures in the energy sector; this group does not generate revenue in Italy from the sale of crude oil.</w:t>
        <w:br/>
        <w:t>The consolidated revenue of the MOL group in 2018 worldwide was over 16 billion euros2 of which approximately [0-4]* billion euros were generated in Italy.</w:t>
        <w:br/>
        <w:t>1 Specifically, these are the companies IES S.p.A., Nelsa S.r.l., Panta Distribuzione S.r.l., MOL Group Italy L&amp;G S.r.l., and TVK Italia S.r.l.</w:t>
        <w:br/>
        <w:t>2 Corresponding to over 5 million Hungarian forints (see https://molgroup.info/storage/documents/publications/annual_reports/2018/mol_plc_consolidated_annual_report_2018.pdf) converted to euros based on the annual bilateral exchange rates of the ECB.</w:t>
        <w:br/>
        <w:t>* In this version, some data are omitted, as it was deemed that there were elements of confidentiality or secrecy of the information.</w:t>
      </w:r>
    </w:p>
    <w:p>
      <w:r>
        <w:t>BULLETIN NO. 5 OF FEBRUARY 3, 2020 119</w:t>
        <w:br/>
        <w:t>2. Chevron Khazar Ltd (hereinafter "CKL"), the acquired company, is 100% controlled by Chevron Global Ventures Ltd, which belongs to the Chevron group. The parent company of the Chevron Group, Chevron Corporation (an American multinational energy company based in the United States), is listed on the New York Stock Exchange. CKL operates in the oil sector, primarily in the exploration and production of crude oil in Azerbaijan, where it produces and develops offshore crude oil reserves through a non-operational minority stake3 it holds in the Azeri-Chirag-Gunashli (ACG) project in the Caspian Sea. CKL has no local presence in Italy and generates revenue from the sale of crude oil produced from the ACG field transported via (i) the Baku-Tbilisi-Ceyhan pipeline, which runs from Azerbaijan, through Georgia, to Turkey and provides a direct transport route from the Caspian Sea to Western markets via the Mediterranean Sea, or (ii) the Western Route Export pipeline, which connects the Sangachal terminal on the Caspian Sea to the Supsa terminal on the Black Sea. The revenue generated by CKL worldwide in 2018 was approximately [100-498] million euros, of which in Italy approximately [30-100] million euros.</w:t>
        <w:br/>
        <w:t>II. DESCRIPTION OF THE OPERATION</w:t>
        <w:br/>
        <w:t>3. MOL and CKL entered into a share purchase agreement in November 2019, defining a transaction that consists of two distinct acquisitions: the first relates to the acquisition of non-operational minority stakes in the joint development and shared production agreement related to the ACG oil field4; the second consists of MOL acquiring exclusive control of CKL by purchasing 100% of the related shares, which is the subject of this assessment. The closing of the transaction is conditionally suspended pending authorization from the Turkish Authority (not yet granted at the time of notification) and has also been notified to the competition authorities of Serbia5, Albania, and Montenegro.</w:t>
        <w:br/>
        <w:t>III. QUALIFICATION OF THE OPERATION</w:t>
        <w:br/>
        <w:t>4. The notified operation, as it involves the acquisition of exclusive control of CKL by MOL,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was over 498 million euros and the total revenue generated, in the last financial year at the national level, by at least two of the companies involved was over 30 million euros.</w:t>
        <w:br/>
        <w:t>3 According to what was represented by the parties, CKL does not have control and is not able to materially influence the strategic commercial behavior of the joint venture not established in corporate form.</w:t>
        <w:br/>
        <w:t>4 In addition to this minority stake, CKL also holds a non-controlling minority stake in the Azerbaijan International Operating Company and Georgian Pipeline Company (both incorporated in the Cayman Islands). These companies carry out operational activities related to the ACG field and the associated infrastructure in Azerbaijan and Georgia. These stakes also do not allow CKL to materially influence the strategic commercial behavior of the two companies. These stakes, following the acquisition of CKL, will pass to MOL.</w:t>
        <w:br/>
        <w:t>5 The Operation at the time of notification to the Italian Authority had already been authorized by the Serbian competition authority.</w:t>
      </w:r>
    </w:p>
    <w:p>
      <w:r>
        <w:rPr>
          <w:b/>
        </w:rPr>
        <w:t>[Pages 118–120]</w:t>
      </w:r>
    </w:p>
    <w:p>
      <w:r>
        <w:t>120 BULLETIN NO. 5 OF FEBRUARY 3, 2020</w:t>
        <w:br/>
        <w:t>The share purchase agreement contains a commitment from MOL not to transfer the executives or employees of the entire Chevron Group for one year after the closing of the transaction. This clause does not constitute an ancillary restriction to the transaction in question as, as a general rule, restrictions placed for the benefit of the seller are not directly related to the realization of the concentration and necessary for it6.</w:t>
      </w:r>
    </w:p>
    <w:p>
      <w:r>
        <w:t>IV. ASSESSMENT OF THE CONCENTRATION</w:t>
        <w:br/>
        <w:t>The relevant sector</w:t>
        <w:br/>
        <w:t>5. The sector affected by the transaction is that of the production and wholesale sale of crude oil.</w:t>
      </w:r>
    </w:p>
    <w:p>
      <w:r>
        <w:t>The relevant market, the presence of the Parties, and the effects of the transaction</w:t>
        <w:br/>
        <w:t>6. CKL operates in the oil sector, primarily in the exploration and production of crude oil in Azerbaijan. The company has no local presence in Italy and generates revenue from the sale of crude oil produced from the ACG field and transported through the Baku-Tbilisi-Ceyhan pipeline; MOL operates along the entire crude oil and natural gas supply chain: in Italy, it is involved in the refining and marketing of petroleum products, in the trading of petroleum products, in the provision of energy-related services, and in the sale of polymers, but does not generate revenue from crude oil sales. Therefore, the business activities of the Parties overlap globally, to some extent, only in the production and wholesale sale of crude oil, but not with respect to the Italian market, where only CKL operates in this activity with a negligible presence.</w:t>
      </w:r>
    </w:p>
    <w:p>
      <w:r>
        <w:t>7. Crude oil, commonly known as oil, is a natural liquid, yellow-black in color, found in geological formations beneath the earth's surface. Crude oil is typically refined into a large number of products. Most crude oil is used for the production of fuels; however, many other products, such as naphtha, ethylene, solvents, oils, or bitumen, are also produced from crude oil. In the past, the Commission has considered the production and wholesale sale of crude oil as a distinct product market, generally of worldwide geographical dimensions and, only in particular cases, of lesser scope7.</w:t>
      </w:r>
    </w:p>
    <w:p>
      <w:r>
        <w:t>8. In this case, the exact definition of the geographical market can be left open, as the transaction would not raise any competitive concerns, regardless of the definition of the geographical market adopted. Globally, in fact, based on the estimates provided by the Parties, both Parties' positions in the production and wholesale sale of crude oil are well below 1%: the transaction will therefore result in a negligible change in the market share held by the buyer in this market, which will continue to be below 1%. In the same market, there are also operators of significant size and importance such as Saudi Aramco, Rosneft, NIOC (National Iranian Oil Co.), CNPC, KPC (Kuwait Petroleum Corp.) or ADNOC (Abu Dhabi National Oil Co.). If one were to limit the assessment of the effects of the transaction to the production and sale of crude oil extracted from the ACG field and transported through the Baku-Tbilisi-Ceyhan pipeline, the transaction would similarly not raise competitive concerns as it would merely involve the replacement of one operator with another. Finally, since, as already seen, MOL does not generate revenue in Italy from the sale of crude oil, there will be no effect on the level of supply in the Italian market as a result of the transaction in question.</w:t>
      </w:r>
    </w:p>
    <w:p>
      <w:r>
        <w:t>9. Regarding any vertical effects of the transaction, related to the possibility of marketing by the MOL Group of products derived from the crude oil of the acquired company, the notifying Party emphasized that there would be no competitive concerns as the presence of the Parties upstream in the production and wholesale sale of crude oil globally is very marginal, and MOL's share in all downstream product and geographical markets for petroleum derivatives is always well below 10%.</w:t>
      </w:r>
    </w:p>
    <w:p>
      <w:r>
        <w:t>CONSIDERING, therefore, that the transaction in question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Competition and Market Authority.</w:t>
      </w:r>
    </w:p>
    <w:p>
      <w:r>
        <w:t>THE SECRETARY GENERAL THE PRESIDENT</w:t>
        <w:br/>
        <w:t>Filippo Arena Roberto Rustichelli</w:t>
      </w:r>
    </w:p>
    <w:p>
      <w:r>
        <w:t>122 BULLETIN NO. 5 OF FEBRUARY 3, 2020</w:t>
        <w:br/>
        <w:t>C12275 - BARILLA G. E R. FRATELLI/ITALIAN FOOD</w:t>
        <w:br/>
        <w:t>Decision No. 28084</w:t>
        <w:br/>
        <w:t>THE COMPETITION AND MARKET AUTHORITY</w:t>
        <w:br/>
        <w:t>IN ITS MEETING of January 14, 2020;</w:t>
        <w:br/>
        <w:t>HEARD the Rapporteur Professor Michele Ainis;</w:t>
        <w:br/>
        <w:t>VIEWED Law No. 287 of October 10, 1990;</w:t>
        <w:br/>
        <w:t>VIEWED the communication from Barilla G. e R. F.lli S.p.A., received on December 19, 2019;</w:t>
      </w:r>
    </w:p>
    <w:p>
      <w:r>
        <w:t>CONSIDERED the following:</w:t>
        <w:br/>
        <w:t>I. THE PARTIES</w:t>
        <w:br/>
        <w:t>1. Barilla G. e R. F.lli S.p.A. (hereinafter also Barilla) is an Italian law company subject to the control of Barilla Iniziative S.p.A., which is in turn controlled, through the company CO.FI.BA. S.r.l., by Guido M. Barilla and F.lli S.r.l. &amp;C. S.a.p.A.. Barilla is one of the leading agri-food companies in Italy and is particularly active in the production and distribution of dry pasta, ready sauces, baked goods, flour, and bread, and, through various subsidiaries, in the sector of confectionery products, snacks, and bread substitutes. It operates with numerous well-known brands, including: Barilla, Voiello, Mulino Bianco, Pavesi, Wasa. The total consolidated revenue of the Barilla group was approximately [3-4]* billion euros worldwide in 2018, of which approximately [1-2] billion euros were generated in Italy.</w:t>
      </w:r>
    </w:p>
    <w:p>
      <w:r>
        <w:t>2. Italian Food S.p.A. (hereinafter also IF) is an Italian law company currently directly controlled by a natural person (hereinafter also AP), who holds a direct stake of 76%; the remaining 24% is held by Antonio Petti fu Pasquale S.p.A. (hereinafter APFP). IF operates in the food sector and, in particular, in the production and marketing in Italy and abroad of tomato preserves and similar and derived products (for example, peeled tomatoes, pulp, passata, and tomato concentrate). The company produces a premium product line distributed under the brand “Petti - 1925” and a product line distributed by large retail operators under its own brand (so-called private label). Recently, it has also launched its own line of sauces distributed exclusively by the Esselunga supermarket chain. The revenue generated by IF in Italy was approximately [30-100] million euros in 2018.</w:t>
      </w:r>
    </w:p>
    <w:p>
      <w:r>
        <w:t>II. DESCRIPTION OF THE TRANSACTION</w:t>
        <w:br/>
        <w:t>3. The notified transaction consists of Barilla's acquisition of exclusive control over IF. It will be carried out through three successive phases, collectively aimed at determining the acquisition of exclusive control of IF by Barilla, which, as a result of the Transaction, will hold a * In this version, some data are omitted, as there were deemed to be elements of confidentiality or secrecy of the information.</w:t>
      </w:r>
    </w:p>
    <w:p>
      <w:r>
        <w:rPr>
          <w:b/>
        </w:rPr>
        <w:t>[Pages 121–123]</w:t>
      </w:r>
    </w:p>
    <w:p>
      <w:r>
        <w:t>BULLETIN NO. 5 OF FEBRUARY 3, 2020 123</w:t>
        <w:br/>
        <w:t>participation equal to 75% of the share capital of IF. The three phases will be carried out in close succession to one another, and only the final phase will result in a lasting change in control over the target company.</w:t>
      </w:r>
    </w:p>
    <w:p>
      <w:r>
        <w:t>4. The Parties have signed a private agreement which includes a non-compete clause for the selling parties AP and APFP, who commit for a period of three years not to engage in activities in the sectors of production and/or marketing of tomato sauces and sauces in the territory where IF operated prior to the transaction.</w:t>
      </w:r>
    </w:p>
    <w:p>
      <w:r>
        <w:t>5. The private agreement also provides for a purchase obligation on the part of APFP for a fixed quantity of semi-finished products produced by the target company for a period of five years from the execution date.</w:t>
      </w:r>
    </w:p>
    <w:p>
      <w:r>
        <w:t>III. QUALIFICATION OF THE TRANSACTION</w:t>
      </w:r>
    </w:p>
    <w:p>
      <w:r>
        <w:t>6. The notified transaction, as it involves the acquisition of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498 million euros and the total turnover achieved in the last financial year at the national level, individually by at least two of the companies involved, exceeded 30 million euros.</w:t>
      </w:r>
    </w:p>
    <w:p>
      <w:r>
        <w:t>7. The non-compete agreement described above can be qualified, with reference to the Italian territory, as ancillary to the notified concentration to the extent that it contains restrictions directly related to the execution of the transaction and necessary for it. In particular, in this case, the commitments made by the sellers benefit the buyers and respond to the need to ensure the transfer of the actual value of the acquisition to them. However, in order not to exceed the limits of what is reasonably required for this purpose, it is necessary that the duration be limited to two years, as the buyer is already present in the market1.</w:t>
      </w:r>
    </w:p>
    <w:p>
      <w:r>
        <w:t>8. The above-described purchase obligation imposed on APFP also constitutes a restriction directly related to the execution of the Transaction and necessary for it, as: i) it aims to allow the gradual replacement of the dependency relationships between the companies in question; ii) it is imposed on the seller; iii) it concerns a fixed quantity of products from the target company; iv) it has a duration limited to five years from the closing2. In particular, pursuant to the Communication on Ancillary Restrictions, in order to reasonably facilitate the separation of the divested company from the seller's economic unit, it is often necessary to maintain the pre-existing constraints between the seller and the buyer for a transitional period with a maximum duration of five years.</w:t>
      </w:r>
    </w:p>
    <w:p>
      <w:r>
        <w:t>1 See, in this regard, the Commission Communication on restrictions directly related and necessary to concentrations (O.J. C 2005/C-56/03 of March 5, 2005).</w:t>
        <w:br/>
        <w:t>2 See §§ 32, 33, and 34 of the Communication on Ancillary Restrictions.</w:t>
      </w:r>
    </w:p>
    <w:p>
      <w:r>
        <w:t>124 BULLETIN NO. 5 OF FEBRUARY 3, 2020</w:t>
      </w:r>
    </w:p>
    <w:p>
      <w:r>
        <w:t>IV. EVALUATION OF THE TRANSACTION</w:t>
      </w:r>
    </w:p>
    <w:p>
      <w:r>
        <w:t>The relevant markets</w:t>
      </w:r>
    </w:p>
    <w:p>
      <w:r>
        <w:t>9. The sector affected by this transaction is that related to the processing, production, and marketing of tomato preserves, which includes the segments of peeled tomatoes, pulp, passata, enriched (i.e., ready-made sauces based on tomato pulp), and concentrate.</w:t>
      </w:r>
    </w:p>
    <w:p>
      <w:r>
        <w:t>10. According to established practice of the Authority3, the above-described sector represents a single product market, considering consumer usage habits and, in particular, the fact that all products belonging to the different segments are used as a basic element for the preparation of condiments, more or less elaborate, for pasta and other food dishes, and in such use do not have direct industrial substitutes. In any case, even if one were to consider each segment as a distinct relevant market, the assessment of this transaction would not change.</w:t>
      </w:r>
    </w:p>
    <w:p>
      <w:r>
        <w:t>11. From a geographical perspective, the relevant market has a national dimension, considering the specificity of national consumption patterns and the fact that Italian consumption is almost exclusively satisfied by domestic production.</w:t>
      </w:r>
    </w:p>
    <w:p>
      <w:r>
        <w:t>The effects of the transaction</w:t>
      </w:r>
    </w:p>
    <w:p>
      <w:r>
        <w:t>12. Within the relevant market of tomato preserves, Barilla and IF hold market shares of [5-10]% and [1-5]%, respectively. Including the production of IF distributed by the GDO under its own brand (so-called private label), the market share of the target company does not change significantly, remaining around [1-5]%. As a result of the transaction, therefore, the market share held by Barilla will see a limited increase, reaching [10-15]%, which will not result in a substantial change in the competitive structure. In the relevant market, in fact, other qualified competitors operate, including Mutti, with a share of approximately [15-20]% and Conserve Italia, with a share of approximately [1-5]%. Furthermore, 30% of the tomato preserves market is represented by the totality of private labels, within which the supplies from the target company account for approximately [1-5]%.</w:t>
      </w:r>
    </w:p>
    <w:p>
      <w:r>
        <w:t>13. Even if each of the segments that make up the tomato preserves sector were considered a distinct relevant market, the horizontal overlap of the companies involved would be entirely marginal as Barilla is active exclusively in the enriched segment, with a share of approximately [20-25]%, while IF holds a share of less than 1% in that segment, operating almost exclusively in the segments of peeled tomatoes, pulp, passata, and concentrate, where the concentration would merely result in the replacement of one operator with another.</w:t>
      </w:r>
    </w:p>
    <w:p>
      <w:r>
        <w:t>THEREFORE, it is deemed that the transaction in question does not result, pursuant to Article 6, paragraph 1, of Law No. 287/90, in the establishment or strengthening of a dominant position in the relevant markets such as to eliminate or substantially and durably reduce competition;</w:t>
      </w:r>
    </w:p>
    <w:p>
      <w:r>
        <w:t>3 See, inter alia, C11269 - VALSOIA/J&amp;T, Decision No. 22886 of October 12, 2011; C8533 - Consorzio Casalasco del pomodoro/Branch of business of Boschi Luigi &amp; Figli, Decision No. 16928 of June 7, 2007; C6744 – Consorzio Cooperativo Conserve Italia/Branch of business of Cirio Del Monte Italia – Sopragol, Decision No. 13739 of November 4, 2004.</w:t>
      </w:r>
    </w:p>
    <w:p>
      <w:r>
        <w:t>BULLETIN NO. 5 OF FEBRUARY 3, 2020 125</w:t>
      </w:r>
    </w:p>
    <w:p>
      <w:r>
        <w:t>IT IS ALSO DEEMED that the non-compete clause and the purchase obligation described above are ancillary to this transaction within the limits specified above and that the Authority reserves the right to evaluate, where the conditions exist, the non-compete clause to the extent that it is realized beyond the indicated duration;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decision will be published in the Bulletin of the Antitrust Authority.</w:t>
      </w:r>
    </w:p>
    <w:p>
      <w:r>
        <w:t>THE SECRETARY GENERAL THE PRESIDENT</w:t>
        <w:br/>
        <w:t>Filippo Arena Roberto Rustichelli</w:t>
      </w:r>
    </w:p>
    <w:p>
      <w:r>
        <w:rPr>
          <w:b/>
        </w:rPr>
        <w:t>[Pages 124–126]</w:t>
      </w:r>
    </w:p>
    <w:p>
      <w:r>
        <w:t xml:space="preserve">126 BULLETIN NO. 5 OF FEBRUARY 3, 2020  </w:t>
        <w:br/>
        <w:t xml:space="preserve">REPORTING AND CONSULTATIVE ACTIVITIES  </w:t>
        <w:br/>
        <w:t xml:space="preserve">AS1643 – MUNICIPALITIES OF PISA, LUCCA, AND CARRARA – LIMITS ON THE PROFESSIONAL ACTIVITIES OF TOURIST GUIDES  </w:t>
        <w:br/>
        <w:t xml:space="preserve">Rome, January 22, 2020  </w:t>
        <w:br/>
        <w:t xml:space="preserve">Municipality of Pisa  </w:t>
        <w:br/>
        <w:t xml:space="preserve">Municipality of Lucca  </w:t>
        <w:br/>
        <w:t xml:space="preserve">Municipality of Carrara  </w:t>
        <w:br/>
        <w:t xml:space="preserve">Ministry for Cultural Heritage and Activities  </w:t>
        <w:br/>
        <w:t xml:space="preserve">The Competition and Market Authority, following the receipt of a report regarding restrictions on the operations of tourist guides based on the territorial area in which they have obtained their qualification, in its meeting on January 14, 2020, deemed it appropriate to make some observations in the exercise of its powers under Article 21 of Law No. 287 of October 10, 1990.  </w:t>
        <w:br/>
        <w:t xml:space="preserve">In particular, the provisions regulating access, via tourist buses, to the cities of Pisa, Lucca, and the quarries of the Colonnata, Torano, and Fantascritti basins (Municipality of Carrara) provide for the application of discounted rates only for buses booked through the service of a qualified tourist guide within the relevant territorial area.  </w:t>
        <w:br/>
        <w:t xml:space="preserve">More specifically, the Municipality of Pisa, with Council Resolution No. 21 of March 26, 2009 (subsequently amended by Resolutions 76/2010, 19/2011, 58/2011, 12/2013, 16/2017, and 4/2019), approved the Regulation on fees for paid parking of vehicles. Article 3 “Rights for access, transit, and parking of tourist buses” provides in paragraph 4 that “reductions may be provided for […] c) buses transporting groups that have reservations for tourist guides who have specified on their qualification card ‘territorial area of Pisa and Province’, or who possess the qualification card of a tourist guide along with the professional qualification certificate of a tourist guide proving specific training in the territory of Pisa and Province, subject to the signing, by the Guides or their associations, of a specific agreement with the Municipality of Pisa aimed at promoting the tourist development of the territory.”  </w:t>
        <w:br/>
        <w:t xml:space="preserve">By Resolution of the Giunta on November 21, 2017, No. 198, the Municipality set this reduction at 40%.  </w:t>
        <w:br/>
        <w:t xml:space="preserve">The Municipality of Lucca, with Resolution of the Giunta on March 5, 2019, No. 61, concerning “Tariff plan for tourist buses – unification in a ‘single text’ of the various provisions with clarifications and integrations,” approved new tariffs for tourist buses providing, in Annex A, that “the non-cumulative reduction of 20% on the full fare is applicable to the following categories: […] groups with a reservation for the tourist guide service based in the province of Lucca, which is registered with the company Metro s.r.l. and is qualified regarding the peculiarities of the municipal territory.”  </w:t>
        <w:br/>
        <w:t xml:space="preserve">The Municipality of Carrara, with Resolution of the Giunta on January 30, 2014, No. 48, decided to approve the following tariffs for tourist buses visiting the quarries/city center: “maximum fare for buses € 45. Reduction of 40% of the fare for […] groups with a reservation for the service of a qualified tourist guide in the provincial area of Massa-Carrara (an indicative annual percentage of 30% of buses is expected to have the right to the fare reduction).” The tariffs were updated for the three-year period 2017-2019 with Resolution of the municipal council No. 68/2016.  </w:t>
        <w:br/>
        <w:t xml:space="preserve">The discounts applied to reservations of tourist buses made through local tourist guides, as highlighted above, are discriminatory against tourist guides qualified in other territorial areas, as, due to the discount, tour operators or groups of tourists may be incentivized to use local guides in order to benefit from a lower price.  </w:t>
        <w:br/>
        <w:t xml:space="preserve">The Authority has, in fact, already reported1 that such preferential treatment is not justified by particular needs to protect community interests and results in an unjustified segmentation of the national market that contrasts with the liberalization principle introduced by the state legislator with Article 3 of Law No. 97 of August 6, 2013, “Provisions for the fulfillment of obligations arising from Italy's membership in the European Union - European Law 2013,” which states: “The qualification to the profession of tourist guide is valid throughout the national territory.”  </w:t>
        <w:br/>
        <w:t xml:space="preserve">Regarding the Regulation of the Egyptian Museum of Turin2, it precludes tourist guides not qualified in the province of Turin from carrying out their activities within the museum.  </w:t>
        <w:br/>
        <w:t xml:space="preserve">In particular, the aforementioned Regulation states that “guided tours are exclusively managed by the Concessionaire of the Egyptian Museum Rear Soc. Coop; subject to registration, tours may also be conducted by authorized persons, holding one of the following accreditation titles: tourist guide from the province of Turin or a teacher holding the class as a guide, FMAE guides. It is strictly forbidden to conduct guided tours unless authorized, regardless of the number of members in the group.”  </w:t>
        <w:br/>
        <w:t xml:space="preserve">The provision of the Regulation of the Egyptian Museum mentioned above unjustifiably discriminates against professionals holding similar qualification titles, but obtained in other Italian Regions or in another European geographical area, and results in an unjustified barrier to entry for the profession of tourist guide, determining, as in the cases of the municipal resolutions mentioned above, a territorial segmentation for the profession of tourist guide contrary to antitrust principles.  </w:t>
        <w:br/>
        <w:t xml:space="preserve">Therefore, this provision also appears to be in conflict with Article 3 of Law No. 97 of August 6, 2013.  </w:t>
        <w:br/>
        <w:t xml:space="preserve">1 See, lastly, the report AS1607, MUNICIPALITY OF BOLOGNA – DISCOUNTED RATES FOR TOURIST BUSES WITH LOCAL GUIDES, of August 2, 2019, in bulletin 33/2019. More generally, see the reports AS1549 PROVISIONS THAT DETERMINE DISPARITIES IN TREATMENT OF TOURIST GUIDES BASED ON THE REGIONAL AREA IN WHICH THEY OBTAINED THEIR QUALIFICATION, of December 13, 2018, in bulletin 48/2018; AS1584, LAZIO REGION – LAW 7/2018 – PROVISIONS RELATING TO TOURIST GUIDES, of December 6, 2018, in bulletin 48/2018 and AS1339 OBSTACLES TO THE EXERCISE OF THE PROFESSION OF TOURIST GUIDES IN ITALY, of December 23, 2016, in bulletin 48/2016.  </w:t>
        <w:br/>
        <w:t>2 It should be noted that the Egyptian Museum of Turin is managed, following a 30-year concession by the Ministry for Cultural Heritage and Activities (MIBACT), by the Foundation Museum of Egyptian Antiquities of Turin, whose founding members are MIBACT, the Piedmont Region, the former Province of Turin, the San Paolo Company, and the CRT Foundation. The statute of the Foundation provides that MIBACT exercises oversight over it and, in particular, the powers referred to in Articles 13 and 14 of Ministerial Decree No. 491 of November 27, 2001.</w:t>
      </w:r>
    </w:p>
    <w:p>
      <w:r>
        <w:t xml:space="preserve">128 BULLETIN NO. 5 OF FEBRUARY 3, 2020  </w:t>
        <w:br/>
        <w:t xml:space="preserve">In conclusion, based on the above, the Authority hopes that the addressed Administrations will amend the aforementioned provisions by eliminating the highlighted discriminations for guides operating in non-local territorial areas, as specified above.  </w:t>
        <w:br/>
        <w:t xml:space="preserve">It is finally noted that the persistence of discriminations may be evaluated in the exercise of the powers under Article 21-bis of Law No. 287/90.  </w:t>
        <w:br/>
        <w:t xml:space="preserve">The Authority invites the addressed administrations to communicate, within thirty days from the receipt of this report, the determinations taken regarding the competitive issues highlighted above.  </w:t>
        <w:br/>
        <w:t xml:space="preserve">This report will be published in the Bulletin referred to in Article 26 of Law No. 287/90.  </w:t>
        <w:br/>
        <w:t xml:space="preserve">THE PRESIDENT  </w:t>
        <w:br/>
        <w:t>Roberto Rustichelli</w:t>
      </w:r>
    </w:p>
    <w:p>
      <w:r>
        <w:rPr>
          <w:b/>
        </w:rPr>
        <w:t>[Pages 127–129]</w:t>
      </w:r>
    </w:p>
    <w:p>
      <w:r>
        <w:t>BULLETIN NO. 5 OF FEBRUARY 3, 2020 129</w:t>
        <w:br/>
        <w:t>UNFAIR COMMERCIAL PRACTICES</w:t>
        <w:br/>
        <w:t>PS11542 - NETWORK ENTERPRISE-BANK DATA</w:t>
        <w:br/>
        <w:t>Provision No. 28089</w:t>
        <w:br/>
        <w:t>THE ANTITRUST AUTHORITY</w:t>
        <w:br/>
        <w:t>IN ITS MEETING on January 14, 2020;</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acts of the proceeding;</w:t>
        <w:br/>
        <w:t>I. THE PARTY</w:t>
        <w:br/>
        <w:t>1. RETEIMPRESA S.r.l. in liquidation (hereinafter also “RETEIMPRESA”) in its capacity as a professional, pursuant to Article 18, paragraph 1, letter b), of the Consumer Code. This company manages a multimedia portal accessible via the website https://www.vetrinaimpresa.com, which includes, among other things, a database containing some data related to businesses active in Italy, organized on a provincial geographical basis. From the financial statements closed on December 31, 2018, it appears that the company generated revenues of 423,018 euros in 2018.</w:t>
        <w:br/>
        <w:t>II. THE COMMERCIAL PRACTICE</w:t>
        <w:br/>
        <w:t>2. The commercial practice carried out by RETEIMPRESA consists of sending a communication including a pre-filled postal bulletin, aimed at promoting the unaware subscription of a paid service by the recipient businesses, consisting of the inclusion of their business data in a database, organized on a provincial geographical basis, available online at the website https://www.vetrinaimpresa.com.</w:t>
        <w:br/>
        <w:t>3. The methods employed by RETEIMPRESA to promote the commercial proposal in question are also suitable to hinder the exercise of the right of withdrawal by the recipient businesses and micro-enterprises.</w:t>
      </w:r>
    </w:p>
    <w:p>
      <w:r>
        <w:t>130 BULLETIN NO. 5 OF FEBRUARY 3, 2020</w:t>
        <w:br/>
        <w:t>III. THE FINDINGS OF THE PROCEEDING</w:t>
        <w:br/>
        <w:t>1) The procedure process</w:t>
        <w:br/>
        <w:t>4. In relation to the conduct described above, on October 14, 2019, the Party was notified of the initiation of the investigative procedure for presumed violations of Articles 21, 24, 25, paragraph 1, letter d), and 26, paragraph 1, letter f), of the Consumer Code1.</w:t>
        <w:br/>
        <w:t>5. Along with the notification of the initiation of the procedure to RETEIMPRESA, a request for information was also sent pursuant to Article 12, paragraph 1, of the Regulation regarding: i) the characteristics of the proposed service with specification of the proposed VAT deductibility regime; ii) the criteria by which the highlighted terms in the commercial proposal were identified within which Italian businesses were to make the payment of the amount indicated in the pre-printed postal bulletin; iii) the criteria by which the Italian micro-enterprises to which the professional's offer was sent were selected; iv) the information sources used by RETEIMPRESA to obtain the commercial data concerning the contacted micro-enterprises; v) the number, list, and economic activity of the Italian businesses that subscribed to the commercial proposal; vi) the businesses to which RETEIMPRESA granted withdrawal following their request in this regard, outlining the methods by which micro-enterprises could exercise this right.</w:t>
        <w:br/>
        <w:t>6. On November 19, 2019, the Party was notified of the conclusion date of the investigative phase pursuant to Article 16, paragraph 1, of the Regulation2. In this communication, the allegations against RETEIMPRESA were confirmed, particularly hypothesizing, in relation to the commercial practice described above, the possible violation of Articles 21, 24, 25, paragraph 1, letter d), and 26, paragraph 1, letter f), of the Consumer Code.</w:t>
        <w:br/>
        <w:t>2) The evidence acquired</w:t>
        <w:br/>
        <w:t>7. Starting from March 20183, the Chamber of Commerce of Florence4, the Chamber of Commerce of Biella and Vercelli5, as well as some micro-enterprises located in various Italian Provinces reported the practice described in point II.</w:t>
        <w:br/>
        <w:t>8. In particular, based on the investigative findings, it emerged that RETEIMPRESA disseminated, at least from March 20186 until August 20197, the contested commercial communication to Italian businesses and micro-enterprises whose data it had previously collected. Specifically, the dissemination concerned the following documents, all sent simultaneously by ordinary mail: i) a payment postal bulletin; ii) a printed document; iii) an information note.</w:t>
        <w:br/>
        <w:t>9. The aforementioned postal bulletin indicates the amount requested for payment, equal to 292.80 euros, a “deadline” date by which to make the payment, a “reason” a registration number starting with the letters “PP” and, subsequently, the wording “VAT NUMBER,” followed by the VAT number assigned to the recipient business of the commercial communication. This bulletin also includes the wording “executed by,” followed by all the main data of the recipient business of the commercial proposal, namely the company name and the address of its registered office. The bulletin in question appears similar in its graphic layout to the bulletin sent by the Chambers of Commerce; in this sense, one of the reporting Chambers of Commerce explicitly stated that this bulletin is “similar, in graphic layout and in the use of terminology typical of chamber certifications” to that sent for the collection of the annual fee8.</w:t>
        <w:br/>
        <w:t>10. The printed document, on its left side and at the top, in capital letters and uppercase, bears the following wording vertically: “REGISTRATION 12 MONTHS AT: VETRINAIMPRESA.IT PROPOSAL TO COMPANIES REGISTERED WITH THE CHAMBER OF COMMERCE, INDUSTRY, AGRICULTURE AND CRAFTS (C.C.I.A.A.). Sender: RETEIMPRESA srl VAT NUMBER 08752761216 A4FR/RT/Advertising Proposal (TOTAL 3 PAGES).” In the central part of this printed document, it is stated in uppercase and bold: “REGISTRATION 12 MONTHS”; further down, the amount requested for this registration is indicated, equal to 240 euros, plus an amount of 52.80 euros for VAT, for a total of 292.80 euros; even further down, it states: “COMPANY NAME” followed, from time to time, by the company name and address of the recipient business of the commercial communication. On the right side of the printed document, in lowercase letters, it is indicated, among other things, the following: “The proposed registration to companies registered with the Chamber of Commerce, Industry, Agriculture and Crafts allows for the use of the offered services and is fully deductible for VAT purposes.” The objective of www.vetrinaimpresa.it is to spare interested parties laborious and costly marketing campaigns by creating a showcase page with which, through an internal search engine on the portal, immediate and ready commercial visibility and access to numerous potential customers is offered. Vetrinaimpresa.it was created to connect you with people who are looking for your services and products. If you subscribe to our proposal, with the registration number (traceable in the reason indicated below e.g. PP18000000), you will be able to access the reserved area to customize the web space as you wish. Furthermore, thanks to photos you send and a text that explains in detail what your business does (with keywords that will facilitate web searches), you will be able to find potential customers everywhere. For further details, you can consult the website www.vetrinaimpresa.it or write to us at the email address info@vetrinaimpresa.it. The registration methods, reconsideration, and any other issues related to the acceptance of our commercial proposal will be governed by the general contract conditions reported on page 2. The indicated deadline refers to the validity of this proposal and the contractual conditions as they may undergo changes. No registration will occur without the knowledge of the clients in any database. Subscription is optional and has exclusively commercial and advertising purposes and does not replace the obligations imposed by the Italian State, the business register, Chamber of Commerce, Industry, Agriculture and Crafts (C.C.I.A.A.).” It is also indicated below: “We are sending the attached pre-filled bank bulletin. The registration is valid for 12 months.”</w:t>
        <w:br/>
        <w:t>8 Cf. doc. 9, report from the Chamber of Commerce of Florence dated 27/6/2019, prot. 45289.</w:t>
      </w:r>
    </w:p>
    <w:p>
      <w:r>
        <w:rPr>
          <w:b/>
        </w:rPr>
        <w:t>[Pages 130–132]</w:t>
      </w:r>
    </w:p>
    <w:p>
      <w:r>
        <w:t>132 BULLETIN NO. 5 OF FEBRUARY 3, 2020</w:t>
        <w:br/>
        <w:t>11. The "INFORMATION NOTE" bears, at the top left, a heading written in large characters, where the term "vetrinaimpresa" is indicated. In the center, the following indication is reported: "REGISTRATION 12 MONTHS AT: VETRINAIMPRESA.IT PROPOSAL TO COMPANIES REGISTERED WITH THE CHAMBER OF COMMERCE, INDUSTRY, AGRICULTURE AND CRAFTS (C.C.I.A.A.). SENDER RETEIMPRESA S.r.l. VAT NUMBER 08752761216 ADVERTISING SERVICES A4 SHEET PRINTED ONLY FRONT (TOTAL 3 PAGES)."</w:t>
      </w:r>
    </w:p>
    <w:p>
      <w:r>
        <w:t>Also in the center, lower down, is the wording "INFORMATION NOTE" and, even lower, on the right, it states: "Vetrinaimpresa.it - the portal for Italian companies." In the text, in lowercase characters, it is stated among other things: "DEAR COMPANY, We are pleased to welcome you to the complex and competitive Italian economy and to offer you the opportunity to be part of the site www.vetrinaimpresa.it, a portal reserved for members of the Chamber of Commerce, Industry, Agriculture aimed at giving greater visibility to new companies. The goal of www.vetrinaimpresa.it is to spare interested parties laborious and costly marketing campaigns by creating a showcase page with which, through an internal search engine on the portal, immediate and prompt commercial visibility is offered and access to numerous potential customers. VetrinaImpresa.it is designed to connect you with people who are looking for your services and products, so not only will you have an interesting web page, but you will also have a large number of potential customers on the same portal. If you join our proposal, with the registration number (which can be found in the reason for the bulletin, e.g., PP18123456), you will be able to access your reserved area to customize your web space as you wish. Furthermore, thanks to photos you send and a text that explains in detail what your business does, along with keywords that will facilitate web searches, you will be able to find potential customers everywhere. Don't wait, do it now! The methods of joining and any other issues related to the acceptance of our proposal will be governed by the general contract conditions set out on page 2. Membership is optional and has exclusively commercial purposes and does not replace the obligations imposed by the Italian State and the Business Register (C.C.I.A.A.). We are sending you a pre-filled bank bulletin attached to be used for registration, which is valid for 12 months."</w:t>
      </w:r>
    </w:p>
    <w:p>
      <w:r>
        <w:t>12. On the back of the printed document, the general contract conditions are reported, with significantly smaller graphic emphasis, in which the service offered is described in terms similar to those present in the "information note."</w:t>
      </w:r>
    </w:p>
    <w:p>
      <w:r>
        <w:t>13. From the documents acquired during the investigation procedure, it emerged that RETEIMPRESA carries out an activity of collecting and publishing data concerning Italian companies operating in various economic sectors and located in different Italian Provinces9. This activity of collecting business data is provided by RETEIMPRESA without the companies being previously informed.</w:t>
      </w:r>
    </w:p>
    <w:p>
      <w:r>
        <w:t>14. It should be highlighted that, from a temporal point of view, the sending of the postal bulletin requesting payment is immediately subsequent to the registration or annotation of the companies, recipients of the RETEIMPRESA communication, in the Business Register10.</w:t>
      </w:r>
    </w:p>
    <w:p>
      <w:r>
        <w:t xml:space="preserve">9 See doc. 15, web pages related to the site "www.vetrinaimprese.it" managed by RETEIMPRESA, acquired in the investigation file.  </w:t>
        <w:br/>
        <w:t>10 See, by way of example, docs. 1, 12, 13.</w:t>
      </w:r>
    </w:p>
    <w:p>
      <w:r>
        <w:t>BULLETIN NO. 5 OF FEBRUARY 3, 2020 133</w:t>
        <w:br/>
        <w:t>15. Registration on the aforementioned web portal managed by RETEIMPRESA has an annual duration constraint that begins "from the activation of the service, which occurs automatically upon our knowledge of the actual payment," according to what is provided in Article 6 of the general contract conditions. These conditions, which also include a description of the service offered in terms similar to those present in the "information note," are reported exclusively on the back of the printed document with significantly smaller graphic emphasis.</w:t>
      </w:r>
    </w:p>
    <w:p>
      <w:r>
        <w:t>16. According to Article 9 of the general conditions, it is also provided that with the payment of the annual registration, the contacted company automatically accepts the same conditions.</w:t>
      </w:r>
    </w:p>
    <w:p>
      <w:r>
        <w:t>17. Furthermore, pursuant to Article 5 of the general conditions, companies are also granted the right to withdraw within ten days from the date of payment of the requested amount, by sending a registered letter with return receipt.</w:t>
      </w:r>
    </w:p>
    <w:p>
      <w:r>
        <w:t>3) The defensive arguments of the Parties</w:t>
        <w:br/>
        <w:t>18. The professional did not submit any defensive brief during the proceedings.</w:t>
      </w:r>
    </w:p>
    <w:p>
      <w:r>
        <w:t>IV. CONCLUDING EVALUATIONS</w:t>
        <w:br/>
        <w:t>19. As a preliminary matter, it is noted that from the examination of the documentation on file, it appears that the conduct in question also involved those companies that meet the characteristics referred to in Article 18, paragraph 1, letter d-bis) of the Consumer Code, prejudicing their economic behavior.</w:t>
      </w:r>
    </w:p>
    <w:p>
      <w:r>
        <w:t>20. The commercial practice carried out by RETEIMPRESA consists of sending to companies and micro-enterprises, close to their registration in the Business Register, a commercial communication containing a pre-filled postal bulletin, aimed at obtaining their unaware adherence to a paid service consisting of the insertion of certain business data into an online database present on the website www.vetrinaimpresa.it and managed by RETEIMPRESA itself.</w:t>
      </w:r>
    </w:p>
    <w:p>
      <w:r>
        <w:t>21. In detail, the unaware adherence depends on the fact that the communication in question is characterized by elements of ambiguity that unduly influence the decision-making process of the recipient companies, artfully leading them to subscribe to an annual subscription to a service that was not requested and that they would not have otherwise purchased. This is evidenced, first of all, by the overall graphic layout of the communication, which is misleading in relation to its origin also due to the form and terminology used by the professional, which mirrors that of chamber certifications, as observed by the Chambers of Commerce, Industry, Crafts, and Agriculture (hereinafter also CCIAA).11 In particular, the pre-filling of the postal bulletin with data concerning the recipient company, including the tax code or VAT number, as well as the indication of the amount to be paid equal to 292.80 euros and the "deadline" by which to make said payment, evidently constitutes an undue conditioning of the recipient company since the cited data are elements capable of misleading the recipient companies regarding the actual sender of the communication, generating the erroneous belief that it is a payment due, as it comes from a public body. Thus, in the "INFORMATION NOTE," in the center and in prominent characters, the following indication is reported: "REGISTRATION 12 MONTHS AT: VETRINAIMPRESA.IT PROPOSAL TO COMPANIES REGISTERED WITH THE CHAMBER OF COMMERCE, INDUSTRY, AGRICULTURE AND CRAFTS (C.C.I.A.A.)."</w:t>
      </w:r>
    </w:p>
    <w:p>
      <w:r>
        <w:t>22. The misleading effect thus determined is reinforced by the timing observed by the professional in sending the communication in question, which exploits the awareness of companies that they must fulfill obligations, including financial ones, in favor of the competent Chamber of Commerce, due to their recent registration in the Business Register. In this way, the communication, sent close to the registration in the Register, with the attached pre-filled bulletin (in the "INFORMATION NOTE" it is indicated: "We are sending you a pre-filled bank bulletin attached to be used for registration, which is valid for 12 months"), implies to the recipients that they are facing a payment to be made mandatorily as a consequence of their recent registration in the Business Register.</w:t>
      </w:r>
    </w:p>
    <w:p>
      <w:r>
        <w:t>23. The nature and real characteristics of the initiative, on the other hand, are concealed by the ambiguous methods used for its description. In fact, in the context of the communication in question, the information about the commercial purpose of the communication is presented in unclear ways through a constant and misleading association with the activities of the Chambers of Commerce, which is superfluous and irrelevant to the private initiative that is intended to be promoted, such as to confuse the recipients about the actual commercial scope of the proposal. Consider, in this sense, the notice contained on the left side of the printed document, where it is highlighted in capital letters and of considerable size: "REGISTRATION 12 MONTHS AT: VETRINAIMPRESA.IT PROPOSAL TO COMPANIES REGISTERED WITH THE CHAMBER OF COMMERCE, INDUSTRY, AGRICULTURE AND CRAFTS (C.C.I.A.A.)." A similar wording is also found in the "INFORMATION NOTE," where it is stated, among other things, that it would be "a portal reserved for members of the Chambers of Commerce, Industry, and Agriculture aimed at giving greater visibility to new companies," which creates an undue mixing of the professional's commercial proposal and the public activities of the Chamber of Commerce, the related name being invoked by the professional also with reference to the service rendered, without being authorized, solely for the instrumental purpose of enhancing the reliability of the communication.</w:t>
      </w:r>
    </w:p>
    <w:p>
      <w:r>
        <w:t>24. In this specific case, the information provided by the professional prior to the adherence to the proposed service is therefore not clear or adequate and, consequently, unsuitable to allow a free choice by the contacted companies to purchase such a service. In this sense, the circumstance that some micro-enterprises have decided to make the payment of the bulletin in the absence of the intention to adhere to a costly annual contract12, taking into account the evidence on file and what was reported by the companies themselves in the complaints received and by the Chambers of Commerce, testifies that, in practice, the payment made is the result of a deception. Ultimately, the pre-filled data and the timing of sending the communication are capable of unduly conditioning the decision-making process of the recipient companies, compressing their choice to the point of leading them to make a commercial decision that they would not have otherwise made.</w:t>
      </w:r>
    </w:p>
    <w:p>
      <w:r>
        <w:t>12 See docs. 6 and 7.</w:t>
      </w:r>
    </w:p>
    <w:p>
      <w:r>
        <w:rPr>
          <w:b/>
        </w:rPr>
        <w:t>[Pages 133–135]</w:t>
      </w:r>
    </w:p>
    <w:p>
      <w:r>
        <w:t>BULLETIN NO. 5 OF FEBRUARY 3, 2020 135</w:t>
        <w:br/>
        <w:t>25. The sending of the above-described unsolicited commercial communication is therefore likely to induce an undue conditioning of the decision-making process of the recipient companies of the commercial proposal, pursuant to Articles 24 and 25 of the Consumer Code.</w:t>
        <w:br/>
        <w:t>26. The methods of sending the communication to newly established companies, with a request for payment of a predetermined amount by a deadline that is, moreover, close to the date of registration with the relevant Chamber of Commerce13, result in an immediate request for payment for an unsolicited product, which constitutes an aggressive practice per se pursuant to Article 26, paragraph 1, letter f), of the Consumer Code.</w:t>
        <w:br/>
        <w:t>27. The aggressive nature of the practice is also demonstrated by the fact that the professional adopts conduct potentially capable of hindering the exercise of the right of withdrawal contractually granted to companies. In this regard, it is noted that the professional has limited the provision of such a right exclusively to the general contract conditions, which are reported only on the back of the printed document, with significantly reduced graphic prominence compared to the text contained on the front page.</w:t>
        <w:br/>
        <w:t>28. The exercise of the right of withdrawal, as expressly provided for by Article 5 of the general contract conditions, can be exercised within ten days from the date indicated in the letter as the "deadline" for making the payment. The potential awareness of micro-enterprises that they have adhered to a commercial proposal only after the deadline for exercising the right of withdrawal has expired may generally imply, in itself, a neutralization of the right itself. The concrete methods for exercising this right are therefore generally not feasible due to the mechanism just described.</w:t>
        <w:br/>
        <w:t>29. The described mechanism for concluding the contract and the lack of transparency with which the right of withdrawal is mentioned are elements that demonstrate that the professional has engaged in conduct capable of hindering the exercise of the right of withdrawal by the generality of the contacted companies. The conduct in question therefore contributes to characterizing the aggressiveness of the practice under examination, configuring itself as an imposition of obstacles to the exercise of the same right pursuant to Article 25, paragraph 1, letter d) of the Consumer Code.</w:t>
        <w:br/>
        <w:t>30. In conclusion, in light of the above, the conduct of RETEIMPRESA constitutes an aggressive commercial practice pursuant to Articles 24, 25, paragraph 1, letter d), and 26, paragraph 1, letter f), of the Consumer Code. The conduct of the professional involves the use of a scheme aimed at unduly conditioning the decision-making process of the recipient companies, inducing them to rapidly make a commercial decision that they would not otherwise have made regarding the payment for an unsolicited service.</w:t>
        <w:br/>
        <w:t>13 Cf. doc. 13, report from the Chamber of Commerce of Biella and Vercelli.</w:t>
      </w:r>
    </w:p>
    <w:p>
      <w:r>
        <w:t>136 BULLETIN NO. 5 OF FEBRUARY 3, 2020</w:t>
        <w:br/>
        <w:t>V. QUANTIFICATION OF THE SANCTION</w:t>
        <w:br/>
        <w:t>31. Pursuant to Article 27, paragraph 9, of the Consumer Code, with the provision that prohibits an unfair commercial practice, the Authority imposes an administrative pecuniary sanction ranging from €5,000 to €5,000,000, taking into account the severity and duration of the violation.</w:t>
        <w:br/>
        <w:t>32.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33. Concerning the severity of the violation, account is taken in the case at hand of the nationwide spread of the commercial practice, as in the course of its activity the professional has offered the service for a fee to numerous companies and micro-enterprises based in various Provinces and Regions of Italy. The severity of the practice is also configured by considering the type of means used to transmit the commercial communication to the companies, consisting of a postal communication likely to reach the recipients directly and personally, the insidious methods to obtain adherence to an unsolicited paid service, as well as the significant economic harm that arises from the realization of such a commercial practice, taking into account the limited economic-financial size of the companies and micro-enterprises and the fact that they have just started their business activity by registering with the competent Chamber of Commerce, immediately prior to receiving the communication from RETEIMPRESA.</w:t>
        <w:br/>
        <w:t>34. Regarding the duration of the violation, it is noted that from the elements acquired in the records it appears that the commercial practice carried out by RETEIMPRESA has been in effect since March 201814 until August 201915.</w:t>
        <w:br/>
        <w:t xml:space="preserve">35. Regarding the economic conditions of the professional, it is noted that the management of the multimedia portal in question, accessible via the website https://www.vetrinaimpresa.com, constitutes the only activity carried out by RETEIMPRESA. It is highlighted that from the financial statements closed on December 31, 2018, it emerges that the company generated revenues of €423,01816; therefore, given the predominantly deterrent effect attributed to the administrative pecuniary sanction, it is deemed appropriate to set its amount at €50,000. </w:t>
        <w:br/>
        <w:t>CONSIDERING, therefore, based on the aforementioned considerations, that the commercial practice in question is unfair under Articles 24, 25, paragraph 1, letter d), and 26, paragraph 1, letter f), of the Consumer Code, as it is misleading and capable of unduly conditioning the economic behavior of the recipient companies, through the unsolicited sending of a commercial communication containing a pre-filled postal bulletin for making a payment of €292.80 in favor of the professional, and prohibits its dissemination or continuation;</w:t>
        <w:br/>
        <w:t>14 Cf. doc. 1.</w:t>
        <w:br/>
        <w:t>15 Cf. doc. 13.</w:t>
        <w:br/>
        <w:t>16 Cf. doc. 15bis financial statement of RETEIMPRESA S.r.l. closed on 31/12/2018 extracted with registration at the Chamber of Commerce of Industry, Crafts, and Agriculture of Naples.</w:t>
      </w:r>
    </w:p>
    <w:p>
      <w:r>
        <w:t>BULLETIN NO. 5 OF FEBRUARY 3, 2020 137</w:t>
        <w:br/>
        <w:t>RESOLUTION</w:t>
        <w:br/>
        <w:t>a) that the commercial practice described in point II of this provision, carried out by the company RETEIMPRESA S.r.l. in liquidation, constitutes, for the reasons and limits set out in the motivation, an unfair commercial practice pursuant to Articles 24, 25, paragraph 1, letter d), and 26, paragraph 1, letter f), of the Consumer Code and prohibits its dissemination or continuation;</w:t>
        <w:br/>
        <w:t xml:space="preserve">b) to impose on the company RETEIMPRESA S.r.l. in liquidation an administrative pecuniary sanction of €50,000 (fifty thousand euros). </w:t>
        <w:br/>
        <w:t xml:space="preserve">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after the payment deadline until the date of payment. </w:t>
        <w:br/>
        <w:t xml:space="preserve">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 </w:t>
        <w:br/>
        <w:t xml:space="preserve">Immediate communication of the payment must be given to the Authority by sending the documentation certifying the payment made. </w:t>
        <w:br/>
        <w:t xml:space="preserve">This provision will be notified to the interested parties and published in the Bulletin of the Antitrust Authority. </w:t>
        <w:br/>
        <w:t xml:space="preserve">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 </w:t>
        <w:b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w:t>
      </w:r>
    </w:p>
    <w:p>
      <w:r>
        <w:rPr>
          <w:b/>
        </w:rPr>
        <w:t>[Pages 136–138]</w:t>
      </w:r>
    </w:p>
    <w:p>
      <w:r>
        <w:t>138 BULLETIN NO. 5 OF FEBRUARY 3, 2020</w:t>
        <w:br/>
        <w:t>8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5 OF FEBRUARY 3, 2020 139</w:t>
        <w:br/>
        <w:t>ACCESSIBILITY OF PAYMENT - CONSUMER PROTECTION</w:t>
        <w:br/>
        <w:t>PV7 - TELEPASS - CHARGES ON FOREIGN IBAN</w:t>
        <w:br/>
        <w:t>Provision No. 28091</w:t>
        <w:br/>
        <w:t>THE ANTITRUST AUTHORITY</w:t>
        <w:br/>
        <w:t>IN ITS MEETING of January 14, 2020;</w:t>
        <w:br/>
        <w:t>HEARD the Rapporteur President Roberto Rustichelli;</w:t>
        <w:br/>
        <w:t>HAVING REGARD to Article 9 of Regulation (EU) No. 260/2012 and Article 5 of Regulation (EU) 2018/302;</w:t>
        <w:br/>
        <w:t>HAVING REGARD to Article 3, paragraph 3, of Legislative Decree 2015, No. 135, and Article 144-bis, paragraph 9-bis, of the Consumer Code;</w:t>
        <w:br/>
        <w:t>HAVING REGARD to Part II, Title III, Chapter III of Legislative Decree September 6,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provision of September 18, 2019, which ordered the inspection, pursuant to Article 27, paragraphs 2 and 3, of the Consumer Code, at Telepass S.p.A;</w:t>
        <w:br/>
        <w:t>HAVING REGARD to the acts of the proceeding;</w:t>
        <w:br/>
        <w:t>I. THE PARTY</w:t>
        <w:br/>
        <w:t>1. Telepass S.p.A. (hereinafter Telepass), a company active in the sector of paid highway toll services and other services related to mobility and parking of motor vehicles. The company's balance sheet for the fiscal year ending December 31, 2018 shows a turnover of 199,578,443 euros and profits of 68,220,316 euros1.</w:t>
        <w:br/>
        <w:t>II. THE CONDUCT SUBJECT TO THE PROCEEDING</w:t>
        <w:br/>
        <w:t>2. The proceeding concerns the behavior carried out by Telepass in the marketing of highway toll payment services and other services offered by the company, through bank domiciliation on current accounts opened at banks located in European Union countries other than Italy and, therefore, with IBANs not characterized by the national initials "IT...".</w:t>
        <w:br/>
        <w:t>1 Balance sheet 2018 filed by the company on October 23, 2019.</w:t>
      </w:r>
    </w:p>
    <w:p>
      <w:r>
        <w:t>140 BULLETIN NO. 5 OF FEBRUARY 3, 2020</w:t>
        <w:br/>
        <w:t>III. THE FINDINGS OF THE PROCEEDING</w:t>
        <w:br/>
        <w:t>1) The course of the proceeding</w:t>
        <w:br/>
        <w:t>Pre-investigative phase</w:t>
        <w:br/>
        <w:t>3. Following the receipt of some reports, on October 9 and November 26, 2018, a request for information and a request for additional information were sent to the company Telepass, respectively. The company Telepass provided the relevant feedback, respectively, on December 14, 2018, and on February 12, 2019.</w:t>
        <w:br/>
        <w:t>Investigative phase</w:t>
        <w:br/>
        <w:t>4. In relation to the conduct described above, on September 18, 2019, the Party was notified of the initiation of investigative proceeding No. PV7 for the alleged violation of Article 9 of Regulation (EU) No. 260/2012, pursuant to which: "The beneficiary who accepts a transfer or receives funds by direct debit from a payer holding a payment account within the Union does not specify the Member State in which such payment account is located, provided that the payment account is reachable in accordance with Article 3" and Article 5 of Regulation (EU) No. 2018/302 which provides that an operator "may not, in the context of payment methods accepted by it, apply different conditions to a payment transaction for reasons related (...) to the location of the payment account, the place of establishment of the payment service provider or the place of issuance of the payment instrument within the Union if: a) the payment transaction is carried out through an electronic transaction by means of a transfer, direct debit or a payment instrument based on a card having the same payment brand and belonging to the same category (...)”.</w:t>
        <w:br/>
        <w:t>5. In this context, the violation of the aforementioned provisions was specifically hypothesized for the failure of the professional to accept transfers and direct debits for the payment of its services from accounts opened at banking institutions located in the territory of the Union, but not situated in the national territory, thereby creating a geographical discrimination in the use of the aforementioned payment instruments (so-called IBAN discrimination).</w:t>
        <w:br/>
        <w:t>6. On September 23, 2019, an inspection was carried out at the company Telepass, as resolved by the Authority on September 18, 2019.</w:t>
        <w:br/>
        <w:t>7. On October 23, 2019, Telepass submitted its defense brief also providing the requested information in the initiation communication.</w:t>
        <w:br/>
        <w:t>8. On October 31, 2019, pursuant to Article 27, paragraph 7, of the Consumer Code, the company presented a first version of commitments aimed at removing the unlawful aspects of the contested conduct, subsequently supplemented on November 20, 2019, with the timing of the implementation of the proposed measures, following a hearing with the representatives of the company Telepass held on November 5, 2019.</w:t>
        <w:br/>
        <w:t>9. On December 3, 2019, the Party was notified of the conclusion date of the investigative phase pursuant to Article 16, paragraph 1, of the Regulation.</w:t>
        <w:br/>
        <w:t>10. On December 13, 2019, Telepass submitted its final brief also providing information regarding the timing of the implementation of the commitments. In particular, the company stated that it would allow the activation of the Telepass device with domiciliation on a foreign account at the "blue points" starting from December 16, 2019.</w:t>
      </w:r>
    </w:p>
    <w:p>
      <w:r>
        <w:rPr>
          <w:b/>
        </w:rPr>
        <w:t>[Pages 139–141]</w:t>
      </w:r>
    </w:p>
    <w:p>
      <w:r>
        <w:t>BULLETIN NO. 5 OF FEBRUARY 3, 2020 141</w:t>
        <w:br/>
        <w:t>11. On January 9, 2020, the professional provided information on the number of contracts concluded at the Punti Blu (26) during the period from December 16 to 27, 2019, and submitted, as an example, a copy of a contract bearing a foreign IBAN, demonstrating the activation of this functionality as of December 16, 2019.</w:t>
        <w:br/>
        <w:t>2) The evidence acquired</w:t>
        <w:br/>
        <w:t>12. The investigative findings confirmed that Telepass customers were unable to make highway toll payments via the Telepass device with automatic debit to an account unless the latter was opened at a bank located in Italy (thus in the absence of an Italian IBAN). In fact, the documentation acquired shows that a potential Telepass customer wishing to activate the eponymous payment device must choose an Italian bank or use payment via credit card.</w:t>
        <w:br/>
        <w:t>3) The commitments presented by the Party</w:t>
        <w:br/>
        <w:t>13. On October 31, 2019, Telepass submitted a proposal for commitments, pursuant to Article 27, paragraph 7, of the Consumer Code and Article 9 of the Regulation, subsequently supplemented on November 20, 2019. In particular, these commitments – which in their final version are attached to this decision and constitute an integral part thereof – provide for:</w:t>
        <w:br/>
        <w:t>“- implementing the development of the functionalities necessary to accommodate requests for direct debits on current accounts of banks located in SEPA countries;</w:t>
        <w:br/>
        <w:t>- this measure will allow the information systems to manage direct debits on banks belonging to one of the SEPA States already at the time of signing the Telepass contract;</w:t>
        <w:br/>
        <w:t>- these functionalities, necessary to allow the identification of the customer and the verification of the ownership of the IBAN and, therefore, to allow the acceptance of requests for direct debits on foreign IBANs already at the time of signing the contract, have been implemented:</w:t>
        <w:br/>
        <w:t>- from December 16, 2019 at the Punti Blu;</w:t>
        <w:br/>
        <w:t>- in digital channels will be implemented by March 16, 2020;</w:t>
        <w:br/>
        <w:t>- during the period from December 16, 2019 to March 16, 2020, a functionality will be developed for digital channels that informs interested parties of the possibility to immediately subscribe to the offer with a foreign IBAN by going to a Punto Blu.”</w:t>
        <w:br/>
        <w:t>14. The company, finally, during the implementation of the above functionalities, will inform customers with foreign IBANs who access the onboarding of the Telepass contract through digital channels of the possibility to subscribe to the Telepass contract also through debit on a credit card.</w:t>
        <w:br/>
        <w:t>15. The company will also carry out an information campaign to inform customers of the implementation of the above-described measures through specific notices to be sent via email to customers and published on the website.</w:t>
        <w:br/>
        <w:t>IV. EVALUATIONS</w:t>
        <w:br/>
        <w:t>16. As a preliminary matter, it is appropriate to emphasize that the elimination of geographical discrimination in the use of transfers and direct debits in euros, as an obstacle to the full implementation of the SEPA system and, more generally, to the realization of the single payment market, represents a priority objective at the European level2.</w:t>
        <w:br/>
        <w:t>17. In this regard, Article 9 of Regulation (EU) No. 260/2012 establishes that “The beneficiary who accepts a transfer or receives funds by direct debit from a payer holding a payment account within the Union does not specify the Member State in which such payment account is located, provided that the payment account is reachable in accordance with Article 3”3 while Article 5 of Regulation (EU) No. 2018/302 provides that an operator “may not, in the context of payment methods accepted by it, apply different conditions to a payment transaction for reasons related (…) to the location of the payment account, the place of establishment of the payment service provider or the place of issuance of the payment instrument within the Union if: a) the payment transaction is made through an electronic transaction by means of a transfer, direct debit or a payment instrument based on a card bearing the same payment brand and belonging to the same category (…)”.</w:t>
        <w:br/>
        <w:t>18. That said, it is noted that the commitments presented by Telepass appear suitable to remove the contested profiles by fully conforming the company's conduct to the provisions of the aforementioned community regulations, as they provide for a global and “systemic” modification of the automated procedures for the activation of the Telepass payment system.</w:t>
        <w:br/>
        <w:t>19. This modification will therefore allow all consumers with current accounts at foreign banks within the EU to request and obtain direct debits on such foreign accounts independently. The commitment to modify its systems proposed by Telepass will indeed allow for the comprehensive management of all requests in an automated and undifferentiated manner, without having to resort to specific processing for consumers with IBANs at foreign banks within the EU.</w:t>
        <w:br/>
        <w:t>20. The commitments also provide for a wide-ranging information campaign to inform consumers of the possibility of direct debiting payments on foreign accounts at the Punti Blu. It will be articulated across various dissemination channels. The information campaign will cover not only the web channel but also direct channels with individual consumers/users, as a specific email is expected to be sent to those requesting such activation during the implementation of direct debiting in digital form.</w:t>
        <w:br/>
        <w:t>21. This informational measure serves an important supplementary function and assumes particular relevance precisely during the implementation phase of the measures as it informs the consumer that, shortly, they will also be able to benefit from bank direct debits on foreign accounts through digital channels.</w:t>
        <w:br/>
        <w:t>CONSIDERING, therefore, that the commitments presented by Telepass S.p.A., in the terms outlined above, are suitable to eliminate the possible profiles of unlawfulness of the conduct under investigation;</w:t>
        <w:br/>
        <w:t>CONSIDERING to impose the obligation of the aforementioned commitments on Telepass S.p.A.;</w:t>
        <w:br/>
        <w:t>CONSIDERING, therefore, to be able to close the proceeding without establishing the infringement;</w:t>
        <w:br/>
        <w:t>2 In the context of the “Report of the Commission to the European Parliament and the Council on the application of Regulation (EU) No. 260/2012” of November 27, 2017 (COM(2017) 683 final), the elimination of IBAN discrimination is defined as the "main priority of the European Commission regarding the application of the SEPA regulation".</w:t>
        <w:br/>
        <w:t>3 The principle was subsequently confirmed by Regulation (EU) 2018/302 which came into force on December 3, 2018.</w:t>
      </w:r>
    </w:p>
    <w:p>
      <w:r>
        <w:t>BULLETIN NO. 5 OF FEBRUARY 3, 2020 143</w:t>
        <w:br/>
        <w:t>RESOLUTION</w:t>
        <w:br/>
        <w:t>a) to make mandatory, with respect to Telepass S.p.A., pursuant to Article 27, paragraph 7, of the Consumer Code and Article 9, paragraph 2, letter a), of the Regulation, the commitments proposed by the company in definitive form on November 20, 2019, as described in the declaration attached to this decision;</w:t>
        <w:br/>
        <w:t>b) to close the proceeding without establishing the infringement, pursuant to Article 27, paragraph 7, of the Consumer Code and Article 9, paragraph 2, letter a), of the Regulation;</w:t>
        <w:br/>
        <w:t>c) that Telepass S.p.A.,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decision will be notified to the interested parties and published in the Bulletin of the Authority for Competition and Market.</w:t>
        <w:br/>
        <w:t>THE SECRETARY GENERAL THE PRESIDENT</w:t>
        <w:br/>
        <w:t>Filippo Arena Roberto Rustichelli</w:t>
      </w:r>
    </w:p>
    <w:p>
      <w:r>
        <w:rPr>
          <w:b/>
        </w:rPr>
        <w:t>[Pages 142–143]</w:t>
      </w:r>
    </w:p>
    <w:p>
      <w:r>
        <w:t>144 BULLETIN NO. 5 OF FEBRUARY 3, 2020</w:t>
        <w:br/>
        <w:t>PV7 - TELEPASS - CHARGES ON FOREIGN IBAN</w:t>
        <w:br/>
        <w:t>Annex to provision No. 28091</w:t>
        <w:br/>
        <w:t>STATEMENT OF COMMITMENTS</w:t>
        <w:br/>
        <w:t>In the context of proceeding No. PV7 initiated by the Italian Competition Authority on September 18, 2019, concerning the conduct of Telepass S.p.A. regarding the failure to grant bank domiciliation on current accounts opened with banks located in European Union countries other than Italy, Telepass S.p.A., pursuant to and for the effects of Article 27, paragraph 7, of the "Consumer Code" (Legislative Decree September 6, 2005, No. 206 and subsequent amendments), commits, starting from the date of communication of the Authority's provision, to implement the following measures in the manner and within the timeframes indicated below:</w:t>
        <w:br/>
        <w:t>“I. Implement the development of functionalities necessary to accommodate requests for domiciliation on current accounts of banks located in EU countries.</w:t>
        <w:br/>
        <w:t>This measure will allow the information systems to manage domiciliation with banks belonging to one of the 28 EU States.</w:t>
        <w:br/>
        <w:t>The functionalities necessary to accommodate requests for domiciliation from current accounts opened with banks located in EU countries will be implemented by December 16, 2019, in the “Punti Blu” and by March 16, 2020, in digital channels.</w:t>
        <w:br/>
        <w:t>II. Manage the transitional period (pending the implementation of the new system) through proposals for domiciliation on affiliated credit cards or by informing the consumer that they can carry out bank domiciliation with a foreign IBAN by visiting the “Punto Blu”.</w:t>
        <w:br/>
        <w:t>III. Conduct a communication campaign to customers aimed at informing them about the new possibility of domiciling payment services via the Telepass device also with banks belonging to one of the member states of the European Community.”</w:t>
      </w:r>
    </w:p>
    <w:p>
      <w:r>
        <w:t>Italian Competition Authority Weekly Bulletin</w:t>
        <w:br/>
        <w:t>of Competition and Market Year XXX - No. 5 - 2020</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