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http://www.agcm.it/dotcmsDOC/bollettini/50-15.pdf</w:t>
      </w:r>
    </w:p>
    <w:p>
      <w:r>
        <w:t>Pages translated : 280</w:t>
      </w:r>
    </w:p>
    <w:p/>
    <w:p>
      <w:r>
        <w:rPr>
          <w:b/>
        </w:rPr>
        <w:t>[Pages 1–3]</w:t>
      </w:r>
    </w:p>
    <w:p>
      <w:r>
        <w:t>Bulletin</w:t>
        <w:br/>
        <w:t>Weekly</w:t>
        <w:br/>
        <w:t>Year XXV - No. 50</w:t>
        <w:br/>
        <w:t>Published on the website www.agcm.it</w:t>
        <w:br/>
        <w:t>January 25, 2016</w:t>
      </w:r>
    </w:p>
    <w:p>
      <w:r>
        <w:t>SUMMARY</w:t>
        <w:br/>
        <w:t>AGREEMENTS AND ABUSE OF DOMINANT POSITION 5</w:t>
        <w:br/>
        <w:t>I785 - CONSIP TENDER FOR CLEANING SERVICES IN SCHOOLS</w:t>
        <w:br/>
        <w:t>Decision No. 25802 5</w:t>
        <w:br/>
        <w:t>CONCENTRATION OPERATIONS 89</w:t>
        <w:br/>
        <w:t>C12023 - ARNOLDO MONDADORI EDITORE/RCS LIBRI</w:t>
        <w:br/>
        <w:t>Decision No. 25807 89</w:t>
        <w:br/>
        <w:t>UNFAIR COMMERCIAL PRACTICES 134</w:t>
        <w:br/>
        <w:t>PS9916 - ACEA ATO 2-BILLING AND COLLECTION ISSUES</w:t>
        <w:br/>
        <w:t>Decision No. 25789 134</w:t>
        <w:br/>
        <w:t>PS9919 - GORI BILLING AND COLLECTION ISSUES</w:t>
        <w:br/>
        <w:t>Decision No. 25790 198</w:t>
        <w:br/>
        <w:t>PS9923 - CONSORZIO IDRICO TERRA DI LAVORO-VARIOUS ISSUES</w:t>
        <w:br/>
        <w:t>Decision No. 25791 240</w:t>
      </w:r>
    </w:p>
    <w:p>
      <w:r>
        <w:t>BULLETIN NO. 50 OF JANUARY 25, 2016 5</w:t>
        <w:br/>
        <w:t>AGREEMENTS AND ABUSE OF DOMINANT POSITION</w:t>
        <w:br/>
        <w:t>I785 - CONSIP TENDER FOR CLEANING SERVICES IN SCHOOLS</w:t>
        <w:br/>
        <w:t>Decision No. 25802</w:t>
        <w:br/>
        <w:t>THE ANTITRUST AUTHORITY</w:t>
        <w:br/>
        <w:t>IN ITS MEETING of December 22, 2015;</w:t>
        <w:br/>
        <w:t>HEARD the Rapporteur Dr. Gabriella Muscolo;</w:t>
        <w:br/>
        <w:t>HAVING REGARD to Law No. 287 of October 10, 1990;</w:t>
        <w:br/>
        <w:t>HAVING REGARD to Article 101 of the Treaty on the Functioning of the European Union (TFEU);</w:t>
        <w:br/>
        <w:t>HAVING REGARD to Council Regulation No. 1/2003 of December 16, 2002;</w:t>
        <w:br/>
        <w:t>HAVING REGARD to Presidential Decree No. 217 of April 30, 1998;</w:t>
        <w:br/>
        <w:t>HAVING REGARD to its resolution adopted on October 8, 2014, which initiated, pursuant to Article 14 of Law No. 287/90, an investigation against CNS – Consorzio Nazionale Servizi cooperative society, Manutencoop Facility Management S.p.A., Kuadra S.p.A., and Exitone S.p.A., aimed at ascertaining any violations of Article 101 of the TFEU and which set December 31, 2015, as the deadline for closing the proceedings;</w:t>
        <w:br/>
        <w:t>HAVING REGARD to the decision adopted on April 1, 2015, by which the proceedings were extended to the company Roma Multiservizi S.p.A.;</w:t>
        <w:br/>
        <w:t>HAVING REGARD to the Communication of Investigative Findings sent to the Parties on October 16, 2015;</w:t>
        <w:br/>
        <w:t>HAVING REGARD to the decision adopted on November 11, 2015, by which, at the request of certain parties, the deadline for closing the proceedings was extended to January 15, 2015;</w:t>
        <w:br/>
        <w:t>HAVING REGARD to the final submissions of CNS – Consorzio Nazionale Servizi cooperative society, Manutencoop Facility Management S.p.A., Roma Multiservizi S.p.A., Kuadra S.p.A., and Exitone S.p.A., received on December 10, 2015;</w:t>
        <w:br/>
        <w:t>HEARD in the final hearing, on December 15, 2015, CNS – Consorzio Nazionale Servizi cooperative society, Manutencoop Facility Management S.p.A., Kuadra S.p.A., and Roma Multiservizi S.p.A.;</w:t>
        <w:br/>
        <w:t>HAVING REGARD to the acts of the proceedings and the documentation acquired during the investigation;</w:t>
        <w:br/>
        <w:t>CONSIDERING the following:</w:t>
        <w:br/>
        <w:t>I. THE PARTIES</w:t>
        <w:br/>
        <w:t>1. CNS - Consorzio Nazionale Servizi cooperative society (hereinafter CNS) is a non-profit cooperative society, with its registered office in Bologna, Via della Cooperazione No. 3, established in 1977 and affiliated with the National League of Cooperatives. The Consortium i) acquires contracts and work assignments, entering into contracts with public and private clients, ii)</w:t>
      </w:r>
    </w:p>
    <w:p>
      <w:r>
        <w:rPr>
          <w:b/>
        </w:rPr>
        <w:t>[Pages 4–6]</w:t>
      </w:r>
    </w:p>
    <w:p>
      <w:r>
        <w:t>6 BULLETIN NO. 50 OF JANUARY 25, 2016</w:t>
        <w:br/>
        <w:t>guarantees the correct execution of contractual services through the structure, equipment, and personnel of the associated companies to which it entrusts the work for execution; (iii) provides support to the associates for improving the quality levels of services and corporate organization. The commodity sectors in which it operates are: facility management, energy, ecology, cleaning, catering, logistics, museum services, and various management (services related to the management of biomedical interventions and assistance services). To date, CNS has 209 associates located throughout the national territory.</w:t>
        <w:br/>
        <w:t>The revenue generated by CNS in 2014 amounted to 744,315,174 euros.</w:t>
        <w:br/>
        <w:t>2. Manutencoop Facility Management S.p.A. (hereinafter Manutencoop or also MFM) is a company, with its registered office in Zola Predosa (Bologna) - Via Ubaldo Poli 4, active in the integrated facility management sector and in particular in the management and provision of integrated services aimed at properties, the territory, and in support of healthcare activities. MFM is a member of the CNS Consortium.</w:t>
        <w:br/>
        <w:t>Manutencoop Facility Management S.p.A. is part of the group led by Manutencoop Società Cooperativa. The latter, in turn, is a company with over 700 worker members and over 700 supporting members. Based on the relevant regulatory provisions regarding worker members as well as the statutory provisions concerning supporting members, none of the members can exercise control over Manutencoop Società Cooperativa. The group is active in the sectors of facility management, environmental services, and real estate sales activities. The revenue generated by MFM in 2014 was 731,142,493 euros.</w:t>
        <w:br/>
        <w:t>3. Roma Multiservizi S.p.A. (hereinafter Roma Multiservizi or also RM) is a company, with its registered office in Rome, Via Tiburtina 1072, which operates in the cleaning services sector and auxiliary services related to school buildings and other civil properties as well as municipal areas. 51% of the capital of Roma Multiservizi is held by AMA S.p.A. while a share of 45.47% is held by Manutencoop. The remaining 3.53% of the capital is held by La Veneta Servizi S.p.A. (hereinafter La Veneta). The shares of Manutencoop and La Veneta are managed, as will be better explained later, under a legal regime that determines Manutencoop's control over the entirety of the private participation in Roma Multiservizi (equal to 49% of the share capital).</w:t>
        <w:br/>
        <w:t>The revenue generated by Roma Multiservizi in 2014 was 79,396,644 euros.</w:t>
        <w:br/>
        <w:t>4. Kuadra S.p.A. (hereinafter Kuadra) is a company, with its registered office in Genoa, Corso Torino 1/10, which operates in the cleaning services sector for civil, industrial, and commercial properties, both public and private. 68.3% of the capital of Kuadra is held by Esperia S.p.A., while the remaining shares are divided among Impresa Isolabella S.r.l. (22.55%), Telekna S.r.l. (2.86%), and an individual (1.17%).</w:t>
        <w:br/>
        <w:t>The revenue generated by Kuadra for 2014 was 57,638,819 euros.</w:t>
        <w:br/>
        <w:t>5. EXITone S.p.A. (hereinafter Exitone) is a company, with its registered office in Rome, Via Bissolati 20, active in the management of real estate assets, healthcare services management, energy systems management, and environmental management. Exitone is part of the STI group, active in the development of Asset Management models aimed at the management and enhancement of the territory, built environment, and the environment, as well as Project Management activities in the healthcare sector and enhancement of hospital assets.</w:t>
        <w:br/>
        <w:t>The STI group consists of the Industrial Holding, STI S.p.A., and the controlled companies operating in the management sector (EXITone S.p.A., Poliedra Sanità S.p.A., Poliedra Ingegneria Clinica S.r.l., Gestione Integrata S.r.l., GEFIntermediazioni S.r.l., IdeaRE S.p.A.) and in the investment sector (ITS S.r.l.).</w:t>
        <w:br/>
        <w:t>The revenue generated by Exitone for 2013 was 15,479,875 euros.</w:t>
        <w:br/>
        <w:t>II. THE INSTRUCTION PROCEDURE</w:t>
        <w:br/>
        <w:t>6. On July 11, 2012, Consip S.p.A. (hereinafter "Consip"), on behalf of the Ministry of Economy and Finance, announced a community tender with an open procedure for the assignment of cleaning services and other services aimed at maintaining the decorum and functionality of properties, for educational institutions of all levels and for training centers of the Public Administration (hereinafter also "Consip tender").</w:t>
        <w:br/>
        <w:t>7. In July 2014, Consip transmitted to the Authority, at its request, documentation describing the outcome of the aforementioned tender, from which some anomalies emerged that suggested a violation of the regulations protecting competition.</w:t>
        <w:br/>
        <w:t>8. Therefore, with resolution no. 21125 of October 8, 2014, the Authority ordered the initiation of the present procedure against CNS, Manutencoop, Kuadra, and Exitone. On the same date, inspections were authorized at the premises of the original parties to the procedure as well as at the premises of Roma Multiservizi S.p.A. and three other companies participating in the Consip tender; the inspections took place on October 14 and 15, 2014.</w:t>
        <w:br/>
        <w:t>9. On November 26 and 27, 2014, the National Association of Cleaning Companies ANIP (hereinafter ANIP) and the National Association of Cooperative Services – Legacoop Servizi submitted respective requests to participate in the instruction procedure pursuant to Article 7, paragraph 1, of Presidential Decree no. 217/98. These requests were accepted with communications dated December 19, 2014.</w:t>
        <w:br/>
        <w:t>10. By decision of April 1, 2015, the procedure was extended to Roma Multiservizi S.p.A., due to further elements that emerged during the investigation.</w:t>
        <w:br/>
        <w:t>11. The parties to the procedure were heard in a hearing; the parties and ANIP repeatedly exercised the right to access the documents of the procedure and submitted written statements. Furthermore, the Parties and ANIP were recipients of requests for information. Requests for information were also made to the contracting authority Consip S.p.A.</w:t>
        <w:br/>
        <w:t>12. On October 16, 2015, the Communication of Instruction Results (hereinafter "CRI") was sent to the parties.</w:t>
        <w:br/>
        <w:t>13. By provision of November 11, 2015, the Authority extended the deadline for concluding the procedure to January 15, 2016, originally set for December 31, 2015, following requests from certain parties, due to the need expressed by them to obtain clarifications regarding the citation methods of the documents referred to in the CRI. Such clarifications were provided by the Authority with communication dated November 13, 2015, sent to all parties and interveners.</w:t>
      </w:r>
    </w:p>
    <w:p>
      <w:r>
        <w:t>8 BULLETIN NO. 50 OF JANUARY 25, 2016</w:t>
        <w:br/>
        <w:t>14. On December 15, 2015, following the submission of the parties' final statements and memoranda, the representatives of the offices as well as the representatives of the companies CNS, Manutencoop, Kuadra, and Roma Multiservizi were heard in a hearing before the Authority's College.</w:t>
        <w:br/>
        <w:t>III. THE INSTRUCTION RESULTS</w:t>
        <w:br/>
        <w:t>III.1 The dynamics of the sector</w:t>
        <w:br/>
        <w:t>15. From the investigative activity carried out, it emerged that in the sector in question there is a strong tendency among cleaning service operators to ensure the maintenance of their client portfolio, primarily in terms of renewing contracts related to existing orders (so-called historical contracts) and, secondarily, where there are obstacles to maintaining territorial positioning, in terms of safeguarding the levels of revenue held. The logic of maintaining the portfolio common to CNS and the other parties to the procedure fits, moreover, into a context where the relationships between operators in the sector appear characterized by a collaborative spirit and sharing of common interests.</w:t>
        <w:br/>
        <w:t>16. In this regard, an internal email to CNS dated February 7, 2014, highlights the opportunity to grant subcontracts in some schools in Turin due to the fact that another Consortium (Confcooperative) "has requested spaces for its associates who currently provide the service," also specifying "it works well for us for the relationships with CONF that would remain fluid and collaborative for the upcoming 'waste' events" (see doc. I.37.4.2).</w:t>
        <w:br/>
        <w:t>17. More generally, companies in the sector, even outside the consortia, meet to "share objectives and methods of initiatives to be undertaken" and "discuss issues related to the standard tender for cleaning services," as occurred during the meeting organized by CNS on November 20, 2013 "among the five largest market players (MFM, Manital, Coopservice, Dussmann, and CNS)" which, "given the importance but also the delicacy" of the topics to be addressed, was decided to be held at a hotel rather than at the Consortium's headquarters as initially proposed (see doc. I.37.4.60).</w:t>
        <w:br/>
        <w:t>18. It also appears that the Consortium sometimes participates in tenders to act as a "useful shield" for member companies that participate independently (including Manutencoop), with a view to favoring the continuity of existing contracts (see doc. I.37.4.70).</w:t>
        <w:br/>
        <w:t>19. Coming to the facts directly subject to investigation, the documents revealed that the objective of maintaining the portfolio was common to all parties in the procedure active in the sector and was pursued, in the context of the Consip tender, through more or less formalized modes of collaboration.</w:t>
        <w:br/>
        <w:t>20. During the hearing with the offices, representatives of CNS stated that for the Consortium, the defense of territoriality is crucial for the choice of associates with whom to participate in tenders and that the protection of each portfolio constitutes one of the guiding criteria in the choice of lots in which to submit an offer (see doc. IV.231).</w:t>
        <w:br/>
        <w:t>21. This logic is reflected in the procedure for identifying an associated company on behalf of which the Consortium participates in the tender (so-called pre-assignment). In particular, pursuant to Article 1.4 of the CNS Regulation entitled "Regulation of contractual and economic relations of pre-assignment and execution of services and works to associates," the pre-assignment "occurs at the initiative of the Councilor with commercial delegation, upon explicit formal request.</w:t>
      </w:r>
    </w:p>
    <w:p>
      <w:r>
        <w:rPr>
          <w:b/>
        </w:rPr>
        <w:t>[Pages 7–9]</w:t>
      </w:r>
    </w:p>
    <w:p>
      <w:r>
        <w:t>BULLETIN NO. 50 OF JANUARY 25, 2016 9</w:t>
        <w:br/>
        <w:t>of the interested party as well as on the indication of the territorial manager” (see doc. I.13). With respect to this provision, the representatives of the CNS clarified that it is always the member companies that request the CNS to participate in the public procurement procedure on their behalf and that the territorial manager primarily plays a role in local tenders.</w:t>
        <w:br/>
        <w:t>22. Although the regulation governs a specific procedure in this regard, according to what was reported by the representatives of the CNS, there is not always documentary evidence of the pre-assignment requests, which are often made orally. The request for participation is therefore evaluated by the CNS in order to ascertain a) the existence of qualification requirements; b) the capacity of the cooperatives requesting pre-assignment (in terms of general requirements, technical-financial capacity, know-how, etc.); c) the competitiveness that the CNS's offer would have if it accepted to indicate that member company among the participants1.</w:t>
        <w:br/>
        <w:t>The representatives of the CNS also clarified that when such checks yield positive results, the Consortium sends a formal pre-assignment letter to the member company, while the rejection of the application can take written or oral form depending on the case.</w:t>
        <w:br/>
        <w:t>23. However, if, with reference to a specific tender, a member company is the “outgoing” holder of the contract (so-called “portfolio” contract), it is the practice of the CNS to participate in the tender indicating that member company for the same contract in the relevant geographical area. For this reason, “portfolio” member companies automatically obtain the status of pre-assignees (without prejudice to any renunciation to participate with the Consortium and provided that the participation requirements for the tender are met, as well as the technical and financial capacities of the member company itself, if required by the tender).</w:t>
        <w:br/>
        <w:t>It is also evident that member companies assert claims for the maintenance of their own portfolio with the Consortium (see, doc. I.37.4.44, where Coop2001, during the assignments of the schools for which it is responsible to follow up on the allocations of the Consip tender, complains about the lack of alignment with the revenue generated previously).</w:t>
        <w:br/>
        <w:t>24. The steps of the procedure as described by the CNS have been only partially confirmed by its member company Manutencoop, which, during the hearing (see doc. IV.230), stated that the formal request to the CNS for participation in a tender must necessarily take a formal form and that the initiative always comes from the member companies (“This formal request is essential”), without mentioning the hypothesis of default pre-assignment recognized by the CNS to “portfolio” member companies (and, therefore, to Manutencoop itself, as in the case of the tender in question).</w:t>
        <w:br/>
        <w:t>25. Manutencoop also stated, in relation to its own activity, that the territorial area in which it historically operates is one of the main criteria to refer to when choosing which tenders (and/or lots) to participate in. This is because it is common practice in the sector to attempt to confirm one's presence in the territories where one is already active and, therefore, already has personnel assigned to cleaning services and, in general, a more structured and widespread organization in relation to the services put out to tender.</w:t>
        <w:br/>
        <w:t>26. Regarding Roma Multiservizi, during the hearing with the offices, the representatives of the company reported that it operates exclusively in the territory of the city of Rome and that, in the case of the tender in question, Roma Multiservizi had “a strong interest in continuing to provide services to the schools already served, in order to maintain its client portfolio” (see doc. IV.226). In the same direction, negotiations aimed at concluding the agreement between CNS and Roma Multiservizi (see infra) indicate that, in establishing the amount that would be due from the contracts subject to subcontracting, reference is made to the necessity that such amount reflects the portfolio already held by Roma Multiservizi (docs. II.139, II.151.4, and II.151.10).</w:t>
        <w:br/>
        <w:t>27. The representatives of Kuadra stated that, with reference to the tender in question – which required that the successful bidders of the various lots absorb the personnel previously employed by the “outgoing” service providers – it was of little relevance for the company to participate in one lot rather than another (see doc. IV.234).</w:t>
        <w:br/>
        <w:t>III.2 The Tender</w:t>
        <w:br/>
        <w:t>The design of the tender</w:t>
        <w:br/>
        <w:t>28. The Consip tender for the assignment of cleaning services in schools is divided into 13 lots, defined by a geographical criterion. The total amount of the base auction is approximately 1.63 billion euros, for a period of two years, renewable for another year. The approximate value of each lot is on average around 100,000 euros, but reaches, for lots 4, 6, and 11, an amount of nearly 200 million euros, as represented in the following Table.</w:t>
        <w:br/>
        <w:t>Table 1</w:t>
        <w:br/>
        <w:t>Lot Value Reference Area</w:t>
        <w:br/>
        <w:t>1 110.6 million Valle d’Aosta, Piedmont, and Liguria</w:t>
        <w:br/>
        <w:t>2 95.2 million Emilia Romagna</w:t>
        <w:br/>
        <w:t>3 83.8 million Tuscany</w:t>
        <w:br/>
        <w:t>4 192.2 million Sardinia and Lazio</w:t>
        <w:br/>
        <w:t>5 95.1 million Lazio</w:t>
        <w:br/>
        <w:t>6 196.8 million Campania</w:t>
        <w:br/>
        <w:t>7 91.2 million Campania</w:t>
        <w:br/>
        <w:t>8 105 million Lombardy and Trentino</w:t>
        <w:br/>
        <w:t>9 93.8 million Friuli Venezia Giulia and Veneto</w:t>
        <w:br/>
        <w:t>10 112.5 million Umbria, Marche, Abruzzo, and Molise</w:t>
        <w:br/>
        <w:t>11 194.3 million Apulia</w:t>
        <w:br/>
        <w:t>12 89.8 million Calabria and Basilicata</w:t>
        <w:br/>
        <w:t>13 172.3 million Sicily</w:t>
        <w:br/>
        <w:t>29. The successful bidder of each lot enters into a Convention for the assignment of cleaning services and, if requested, auxiliary services, restoration of the functionality of the buildings, gardening, and pest control at the schools and the administrations benefiting from such services. In particular, the successful bidder commits to carry out the services covered by the Convention for the administrations that, adhering to the Convention itself, request such services through appropriate supply orders, until the amounts indicated in Table 1 are reached. According to the tender notice, the conventions would have a duration of two years, extendable by one.</w:t>
        <w:br/>
        <w:t>30. Furthermore, in the event that before the expiration of the term of the Convention (possibly extended) the maximum limit established for the relevant lot is reached, the supplier is obliged to continue providing the services covered by the Convention under the same conditions established therein, until the value of the additional ceiling provided for that lot is reached. The amount of such additional amounts provided for each lot varies from 16.8 to 39.4 million euros.</w:t>
        <w:br/>
        <w:t>31. The award criterion adopted is that of the economically most advantageous offer. In particular, the offers are divided into technical offer and economic offer. The maximum score associated with the technical offer is 60 points, while the maximum score achievable through the economic offer amounts to 40 points. The score of the economic offer depends on the extent of the discounts offered by the participants on the base auction amount.</w:t>
        <w:br/>
        <w:t>32. For each price item, these discounts are converted into an economic score through a mathematical formula. The aforementioned formula is such that the economic score generated also depends on the average discount and the maximum discount offered for the price item considered2.</w:t>
        <w:br/>
        <w:t>33. The values set as the base auction were generally obtained from the cost of the internal personnel of the schools who previously performed the same service but were subsequently not reconfirmed by the structures (which therefore had to assign the service to third parties).</w:t>
        <w:br/>
        <w:t>34. Each competitor who ranks first in the provisional ranking for multiple lots may be awarded a maximum of three lots, to be selected based on an economic relevance criterion3.</w:t>
        <w:br/>
        <w:t>35. The tender specifications provide for the possibility of participation for consortia, specifying that they are required to indicate the member companies for which they are competing. The latter are prohibited from participating in the tender in any other form, whether individually or associated.</w:t>
        <w:br/>
        <w:t>36. The same specifications recognize the possibility of participation in the form of temporary groupings of companies. In this regard, it has been specified that, although the composition of the grouping must remain the same for all lots for which the grouping decides to participate, it is possible to vary the execution percentage for the grouped companies in the different lots. Groupings are also allowed to designate, for each of the lots to which they apply, the companies that will execute the services.</w:t>
        <w:br/>
        <w:t>2 In particular, the formula used for calculating the economic score is as follows:</w:t>
        <w:br/>
        <w:t>0.85∗ (cid:3019)(cid:3284) , (cid:1844) (cid:3409)(cid:1844)</w:t>
        <w:br/>
        <w:t>(cid:1842)(cid:1831) (cid:3404) (cid:1842)(cid:1831) ∗(cid:4688)</w:t>
        <w:br/>
        <w:t>(cid:3019)(cid:3284)_(cid:3288)(cid:3280)(cid:3279) (cid:3036) (cid:3036)_(cid:3040)(cid:3032)(cid:3031)</w:t>
        <w:br/>
        <w:t>(cid:3036) (cid:3036)_(cid:3040)(cid:3028)(cid:3051) (cid:4674)0.85(cid:3397)(cid:4666)0.15(cid:4667)∗ (cid:3019)(cid:3284)(cid:2879)(cid:2902)(cid:3284)_(cid:3288)(cid:3280)(cid:3279) (cid:4675), (cid:1844) (cid:3408)(cid:1844)</w:t>
        <w:br/>
        <w:t>(cid:3019)(cid:3284)_(cid:3288)(cid:3276)(cid:3299)(cid:2879)(cid:3019)(cid:3284)_(cid:3288)(cid:3280)(cid:3279) (cid:3036) (cid:3036)_(cid:3040)(cid:3032)(cid:3031)</w:t>
        <w:br/>
        <w:t>where:</w:t>
        <w:br/>
        <w:t>(cid:1842)(cid:1831) and (cid:1842)(cid:1831) represent respectively the economic score attributed and the maximum economic score</w:t>
        <w:br/>
        <w:t>(cid:3036) (cid:3036)_(cid:3040)(cid:3028)(cid:3051)</w:t>
        <w:br/>
        <w:t>assignable for the i-th price item;</w:t>
        <w:br/>
        <w:t>(cid:1844), (cid:1844) and (cid:1844) represent respectively the discount offered by the competitor considered, the average of the total discounts and the maximum discount among those offered by competitors, in relation to the i-th price item.</w:t>
        <w:br/>
        <w:t>3 This limit of three lots may be waived in certain cases: for example, in the case where the competitor who has already been awarded three lots (identified by the economic relevance criterion), in relation to additional lots, is the only one to submit an offer or is otherwise present in the provisional ranking, or is the only one to submit a valid offer.</w:t>
      </w:r>
    </w:p>
    <w:p>
      <w:r>
        <w:rPr>
          <w:b/>
        </w:rPr>
        <w:t>[Pages 10–12]</w:t>
      </w:r>
    </w:p>
    <w:p>
      <w:r>
        <w:t>12 BULLETIN NO. 50 OF JANUARY 25, 2016</w:t>
        <w:br/>
        <w:t>these intend to participate, a different leading company within those belonging to the same grouping.</w:t>
        <w:br/>
        <w:t>The results of the tender</w:t>
        <w:br/>
        <w:t>37. The deadline for submitting bids for the Consip tender was set for October 15, 2012. However, the awards for the first lots only occurred starting from September 2013 (the month in which nine of the thirteen lots put out to tender were awarded), and were then completed in the following months for the remaining lots.</w:t>
        <w:br/>
        <w:t>38. As mentioned, eight of the thirteen lots in which the Consip tender was divided were won by ATI 1 (which includes CNS) and by Manutencoop, entities that, in particular, emerged as winners of four lots each. These eight lots correspond, in geographical terms, to the entirety of central-northern Italy. Of the eight lots overall won by these two entities, three were awarded to ATI 1 and three to Manutencoop, due to the maximum limit of lots that could be awarded as provided by the tender specifications.</w:t>
        <w:br/>
        <w:t>39. Neither ATI 1 nor Manutencoop participated in the procedures for the awarding of the remaining five lots, which pertained to the regions of southern Italy. These latter lots were awarded to other entities (Manital, CICLAT, Team Service, and Dussmann).</w:t>
        <w:br/>
        <w:t>40. With reference to the eight lots in central-northern Italy, both ATI 1 and Manutencoop achieved a rather high technical score in each of the lots for which they competed, equal to or slightly below the maximum technical score (60 points) provided by the tender specifications and always higher than that of the other participants.</w:t>
        <w:br/>
        <w:t>41. Regarding these 8 lots, CNS submitted a bid as the leading company of ATI 1, in which Kuadra and Exitone were listed as partners for six of the thirteen lots of the tender; in particular, the bid was made for lots 1 (Valle d’Aosta, Piedmont, and Liguria), 3 (Tuscany), 4 (Sardinia and Lazio), 5 (Lazio), 9 (Friuli Venezia Giulia and Veneto), and 10 (Umbria, Marche, Abruzzo, and Molise). In the participation application, the Consortium indicated 19 member companies for the execution of the contract, 6 of which had their legal headquarters in Lazio, 4 in Piedmont, 3 in Emilia Romagna, and the remaining 6 had their legal headquarters respectively in Sardinia, Puglia, Umbria, Friuli Venezia Giulia, and Tuscany. Of the designated cooperatives, the largest was Coopservice Soc. coop. p.a. of Reggio Emilia.</w:t>
        <w:br/>
        <w:t>42. ATI 1 was awarded lots 1, 4, and 10. Lot 5, for which ATI 1 was also declared the winner, was awarded to the second-placed bidder due to reaching the maximum number of lots that could be awarded to ATI itself. For the lots in which ATI 1 was declared the winner, MFM did not submit a bid. For the two lots 3 and 9, the only ones where there was an overlap between the two competitors, ATI 1 submitted a significantly less aggressive discount compared to that formulated on the other lots.</w:t>
        <w:br/>
        <w:t>43. MFM, although a member of CNS, participated independently in the tender, submitting a bid for the following four lots: 2 (Emilia Romagna), 3 (Tuscany), 8 (Lombardy and Trentino), and 9 (Friuli Venezia Giulia and Veneto). MFM, like the ATI led by CNS, was awarded the maximum number of lots assignable to a single competitor under the lex specialis of the tender, namely three lots; specifically, these were lots 2, 8, and 9. Lot 3, for which MFM was also declared the winner, was awarded to the second-placed bidder due to reaching the maximum number of lots that could be acquired by the company. For each lot on which it submitted a bid, MFM formulated economic discounts of equal amount.</w:t>
        <w:br/>
        <w:t>44. As for RM, it did not participate in the Consip tender despite being interested at least in the Lazio lots (lots 4 and 5) and, in particular, in lot no. 4, which included the schools for which RM was the "outgoing" manager of cleaning services. As we will see, the investigative findings allowed for the reconstruction of the negotiation and stipulation, during the period between the Consip tender announcement and the deadline for submitting bids, of an agreement between RM and CNS concerning, on one side, RM's commitment not to participate in the Consip tender and, on the other, CNS's corresponding obligation to request, once it was awarded lot 4, the authorization for subcontracting in favor of RM for the portion of the lot including the previous portfolio held by RM.</w:t>
        <w:br/>
        <w:t>45. A summary of the tender results, with particular regard to the economic offers submitted for each lot, is provided in Table 2. In particular, for each lot, the number of subjects participating in the awarding procedures for the same, the subject that emerged as the winner of the lot, the average discount offered by the participants, and the average weighted discount offered by ATI 1 and Manutencoop are reported.</w:t>
      </w:r>
    </w:p>
    <w:p>
      <w:r>
        <w:t>14 BULLETIN NO. 50 OF JANUARY 25, 2016</w:t>
        <w:br/>
        <w:t>Table 2</w:t>
        <w:br/>
        <w:t>Participation</w:t>
        <w:br/>
        <w:t>Participation Average</w:t>
        <w:br/>
        <w:t>ATI 1 and Number</w:t>
        <w:br/>
        <w:t>Lot Regions and value Manutencoop and discounts Winner</w:t>
        <w:br/>
        <w:t>discount participants</w:t>
        <w:br/>
        <w:t>discount offered offered</w:t>
        <w:br/>
        <w:t>Valle d’Aosta,</w:t>
        <w:br/>
        <w:t>1 Piedmont and 38.11%</w:t>
        <w:br/>
        <w:t>42.88% _ 3 ATI 1</w:t>
        <w:br/>
        <w:t>Liguria</w:t>
        <w:br/>
        <w:t>110.6 million</w:t>
        <w:br/>
        <w:t>Emilia Romagna 52.8%</w:t>
        <w:br/>
        <w:t>2 _ 48.81% 5 Manutencoop</w:t>
        <w:br/>
        <w:t>95.2 million</w:t>
        <w:br/>
        <w:t>Tuscany</w:t>
        <w:br/>
        <w:t>3 39.71% 48.81% 11 Manutencoop*</w:t>
        <w:br/>
        <w:t>83.8 million</w:t>
        <w:br/>
        <w:t>Sardinia and Lazio 47.51%</w:t>
        <w:br/>
        <w:t>4 46.06% _ 2 ATI 1</w:t>
        <w:br/>
        <w:t>192.2 million</w:t>
        <w:br/>
        <w:t>Lazio 45.09%</w:t>
        <w:br/>
        <w:t>5 46.06% _ 3 ATI 1**</w:t>
        <w:br/>
        <w:t>95.1 million</w:t>
        <w:br/>
        <w:t>Campania (NA-SA)</w:t>
        <w:br/>
        <w:t>6 _ _ 65.65% 1 Manital***</w:t>
        <w:br/>
        <w:t>196.8 million</w:t>
        <w:br/>
        <w:t>Campania (CE-BN-</w:t>
        <w:br/>
        <w:t>7 AV) _ _ 33.95% 2 CICLAT****</w:t>
        <w:br/>
        <w:t>91.2 million</w:t>
        <w:br/>
        <w:t>Lombardy and</w:t>
        <w:br/>
        <w:t>46.01%</w:t>
        <w:br/>
        <w:t>8 Trentino _ 48.81% 8 Manutencoop</w:t>
        <w:br/>
        <w:t>105 million</w:t>
        <w:br/>
        <w:t>Friuli Venezia</w:t>
        <w:br/>
        <w:t>42.46%</w:t>
        <w:br/>
        <w:t>9 Giulia and Veneto 39.71% 48.81% 10 Manutencoop</w:t>
        <w:br/>
        <w:t>93.8 million</w:t>
        <w:br/>
        <w:t>Umbria, Marche,</w:t>
        <w:br/>
        <w:t>10 Abruzzo and Molise 43.52% _ 42.44% 4 ATI 1</w:t>
        <w:br/>
        <w:t>112.5 million</w:t>
        <w:br/>
        <w:t>Puglia</w:t>
        <w:br/>
        <w:t>11 _ _ 55.42% 1 Dussmann</w:t>
        <w:br/>
        <w:t>194.3 million</w:t>
        <w:br/>
        <w:t>Calabria and</w:t>
        <w:br/>
        <w:t>12 Basilicata _ _ 48.73% 2 Team Service</w:t>
        <w:br/>
        <w:t>89.8 million</w:t>
        <w:br/>
        <w:t>Sicily</w:t>
        <w:br/>
        <w:t>13 _ _ 56.89% 3 Manital*****</w:t>
        <w:br/>
        <w:t>172.3 million</w:t>
        <w:br/>
        <w:t>*The participant who achieved the highest overall score was Manutencoop, which however reached the maximum number of lots that could be awarded. The lot was therefore awarded to the next participant in the ranking.</w:t>
        <w:br/>
        <w:t>**The participant who achieved the highest overall score was ATI 1, which however reached the maximum number of lots that could be awarded. The lot was therefore awarded to the next participant in the ranking.</w:t>
        <w:br/>
        <w:t>***This lot, however, is still not definitively awarded by Consip.</w:t>
        <w:br/>
        <w:t>****The lot is however awarded to the other participant, namely the Integrated Services Consortium.</w:t>
        <w:br/>
        <w:t>*****The lot is however awarded to the next participant in the ranking, namely ATI "l'Operosa."</w:t>
      </w:r>
    </w:p>
    <w:p>
      <w:r>
        <w:rPr>
          <w:b/>
        </w:rPr>
        <w:t>[Pages 13–15]</w:t>
      </w:r>
    </w:p>
    <w:p>
      <w:r>
        <w:t xml:space="preserve">BULLETIN NO. 50 OF JANUARY 25, 2016 15  </w:t>
        <w:br/>
        <w:t xml:space="preserve">III.3 The participation methods in the Consip tender of the Parties  </w:t>
        <w:br/>
        <w:t xml:space="preserve">The participation strategy adopted by CNS in the Consip tender  </w:t>
        <w:br/>
        <w:t xml:space="preserve">46. Regarding the tender strategy adopted and, in particular, the selection criteria used by CNS to identify the lots on which to submit an offer and to select the consortium members with whom to participate in the contract, the representatives of the Consortium provided the following factual reconstructions.  </w:t>
        <w:br/>
        <w:t xml:space="preserve">47. First of all, CNS stated that it had carried out, for participation in the tender in question, certain preliminary considerations concerning the number of achievable lots, the direct and indirect costs of participating in each lot (design, surety, analysis, saturation of the lots). This analysis led the Consortium – similarly to what happened in other similar tenders – to decide to submit an offer on a number of lots equal to about double those that could be awarded, namely six lots, for a maximum of three lots that could be awarded. Having identified the maximum number of lots on which to submit an offer, the Consortium selected the lots on which to actually compete following the guiding criterion of protecting the specific portfolio of the consortium members.  </w:t>
        <w:br/>
        <w:t xml:space="preserve">48. Regarding the choice of lots to submit offers for, concerning the lots located in southern Italy, CNS stated that it had decided not to submit an offer there as the value set as the basis for the tender was deemed out of market, also due to the presence of a high number of former LSU and the significant delta between the negotiable value and the historical value (the former covered only half of the latter). In any case, for the consortium members who held a historical portfolio in the Southern Regions, the Consortium worked to ensure the maintenance of the value attributable to that historical portfolio, attempting to guarantee these consortium members, by transferring the portfolio, values as equivalent as possible for contracts in regions located in the lots for which it submitted an offer.  </w:t>
        <w:br/>
        <w:t xml:space="preserve">49. Regarding the participation strategies implemented by CNS, the internal email to the Consortium dated November 6, 2012, is noteworthy, in which an attachment, a few weeks after the first public session of the Consip tender, contains certain observations on maintaining the territoriality of the various competitors in the lots that were actually awarded to each of them. The semantic content of the document is unequivocal regarding the outcome of the tender in relation to the various lots (in particular, the wording "maintains territoriality and significantly increases the portfolio" is used, despite the procedure being ongoing and most lots having multiple participants - doc. I.37.4.53). In relation to CNS, the mentioned document only refers to lots 1, 4, and 10, although the Consortium had submitted offers for three other lots as well. The lots mentioned in the document are those that CNS actually won. The other lots cited are also accurately associated with the company that was subsequently awarded (with the exception of one case). Notably, the only participating company not expressly mentioned is Manutencoop (although the document states: "the remaining lots can well represent the expression of the remaining market players").  </w:t>
        <w:br/>
        <w:t xml:space="preserve">50. Regarding the consortium members identified to participate with the Consortium in the tender in question, it is recorded that, on July 18 - seven days after the publication of the notice - (see doc. I.30.24.72), CNS had already identified 18 of the 19 consortium members subsequently indicated in the offer (see doc. I.20).  </w:t>
        <w:br/>
        <w:t xml:space="preserve">51. In particular, through this internal email to CNS dated July 18, 2012, the vice president of the Consortium sends the general director a copy of the portfolio divided by cooperatives and "the assignment hypothesis for each cooperative." The vice president of CNS states that he wants to verify "if there is a minimum proportion between what we have hypothesized as an assignment and their portfolio; as soon as I finish it, I will let you know." Attached to the email is the breakdown of the cooperatives to be pre-assigned for the contract. In this attachment, the portfolio of the Emilian cooperatives and the associates established in the southern regions of Italy is already transferred and reallocated to the lots to which the same consortium members would actually be assigned.  </w:t>
        <w:br/>
        <w:t xml:space="preserve">52. Despite, as seen, the consortium regulations concerning the pre-assignment methods requiring full formalization of each phase of the related procedure, CNS was able to provide evidence of the request for pre-assignment exclusively for 4 consortium members, two of which were rejected without formalizing or justifying the denial, although they were, for the requested lots, portfolio associates. From the documentation acquired during the inspection, there are also two other formal requests for pre-assignment, made by P&amp;V Global Service (which sent two emails, two months apart, to express its interest in being indicated as a pre-assignee for lot 13 - Sicily) and Servizi Associati Soc. Coop (interested in lot 10 - Umbria, Marche, Abruzzo, and Molise). Although these two companies were also portfolio consortium members, in both cases CNS did not accept their requests (see doc. II.95 and I.37.4.63).  </w:t>
        <w:br/>
        <w:t xml:space="preserve">53. Regarding the reasons underlying the choice of executing consortium members during the Consip procedure, the representatives of CNS reported that the Consortium had, concerning the services put to tender, a portfolio of previous contracts for which it was the "outgoing" contractor along with its consortium members (including Manutencoop) amounting to approximately 78 million euros annually. Therefore, CNS first consulted the "portfolio" consortium members - that is, the "outgoing" contractors of the previous contracts in the relevant geographical area. According to the Consortium, some of these expressed a desire to participate individually, while others (identifiable among the smaller consortium members) decided to wait for the award in order to propose themselves to the contractor as subcontracting companies. Regarding the non-"portfolio" consortium members, for the tender in question, CNS indicated, as pre-assignees, some Turin cooperatives and some cooperatives from the Northeast, holders of historical contracts for about 10 million euros in Piedmont and more than 1 million euros in Friuli, which had requested the Consortium to defend the portfolio acquired independently (not as consortium members). Since the Consortium had decided not to participate for the lots coinciding with the Southern regions, for the consortium members who held a historical portfolio in the southern regions, the Consortium worked to ensure the maintenance of the value attributable to that historical portfolio. In particular, it was decided to transfer these portfolios to regions located in the lots for which CNS submitted an offer.  </w:t>
        <w:br/>
        <w:t xml:space="preserve">54. Regarding the decision not to submit an offer for the Emilia Romagna lot, CNS provided the following reasons during the inspection and in the hearing. The Consortium stated that this choice was the subject of discussion. It was decided not to submit an offer for this lot as the 3 cooperatives holding historical contracts in the region that had expressed a willingness to participate in the tender within the Consortium, Coopservice, Copura, and Coopma (which also had their legal headquarters in the same region), had expressed interest in participating in lots different from the one including Emilia Romagna; this was because these cooperatives were already contractors in that region for the cleaning contract in schools announced by Intercent.er (a regional purchasing center). These are consortium members of considerable size who held a portfolio in that geographical area (amounting to about 8/9 million euros). The peculiarity of CNS's choice not to submit an offer for the Emilia Romagna lot is highlighted in the email acquired during the inspection titled "CNS schools historical contracts," exchanged between MFM employees and concerning a meeting called by CNS which was also attended by MFM. The described email indicated that among the topics discussed during the meeting was also the following: "CNS did not participate in the Emilia Romagna lot."  </w:t>
        <w:br/>
        <w:t xml:space="preserve">55. Regarding this Intercent.er contract, from the documentation acquired in the records, it appears that the execution of this agreement - with an initial amount of 90 million euros and subsequently expanded to a value of 126 million - was supposed to conclude in June 2013, thus within a timeframe in which the Consip contract could hardly have already begun (in fact, the awards for the first lots are situated precisely in this chronological frame) (see doc. IV.238, letter E). Only in June 2013 (and thus almost a year after the deadline for submitting offers for the tender in question), the contracting authority extended the execution of the Intercent.er contract until June 2014. Furthermore, among the consortium members indicated by CNS for the execution of the Intercent.er contract was also Manutencoop, which, as seen, considered it advantageous to participate, even without the intermediation of the Consortium, in the Consip tender regarding the Emilia Romagna lot, despite its prior presence in the region due to the award of the Intercent.er tender.  </w:t>
        <w:br/>
        <w:t>56. The consortium member Manutencoop, according to what was reported by the representatives of CNS, was contacted by the Consortium for the tender in question, being a "portfolio" consortium member. In particular, Manutencoop was the outgoing contractor, with the intermediation of CNS, for previous contracts on some lots for a value of about 18 million euros, of which a part, amounting to about 4.7 million euros, was in Emilia Romagna (also related to the Intercent.er tender). However, Manutencoop, according to CNS, expressed to the Consortium its intention to participate individually, similarly to what it had done in other Consip tenders (for example, those on facility management). On this point, the representatives of Manutencoop stated instead that CNS would not have contacted it to verify its intention to participate in the tender within the Consortium, due to the fact that the consortium procedure requires that it is the consortium members who request CNS to be represented by the Consortium in participating in public tenders and not vice versa.</w:t>
      </w:r>
    </w:p>
    <w:p>
      <w:r>
        <w:rPr>
          <w:b/>
        </w:rPr>
        <w:t>[Pages 16–18]</w:t>
      </w:r>
    </w:p>
    <w:p>
      <w:r>
        <w:t>18 BULLETIN NO. 50 OF JANUARY 25, 2016</w:t>
        <w:br/>
        <w:t>57. Regarding the lack of participation in lot 8 (Lombardy and Trentino), the CNS represented during the hearing that this lot had been excluded from the outset because, on the one hand, there are no active consortia in the cleaning sector in Trentino, and, on the other hand, there were no Lombard cooperatives with portfolios to defend in Lombardy.</w:t>
        <w:br/>
        <w:t>58. The participation of the Consortium in lot 10 (Umbria, Marche, Abruzzo, and Molise) was, according to the CNS, preordained to protect a "portfolio" cooperative (Cosp) present in the area and to allow the transfer of portfolios to defend attributable to consortia established in other regions, given that in central Italy it is easier for cooperatives from other regions to operate.</w:t>
        <w:br/>
        <w:t>59. From the analysis of the acquired data, it emerges, in relation to the year 2012, that Emilia Romagna is the leading region for turnover of the portfolios intermediated by the associates and, concerning the "historical" contracts, the second region for turnover after Campania (see doc. IV.238, letters A, attachments 3 and 6, and B). These data also demonstrate how Lombardy was an important operational hub for the Consortium, since, also in 2012, the Lombard regional portfolio held by the associates for cleaning services in the public sector was the fifth in value among those where the Consortium was operational. The reported data also reflect the presence of portfolios for cleaning services in the public sector held by consortia located in Trentino Alto-Adige. In Lombardy, there were also historical contracts awarded to associates for a smaller amount.</w:t>
        <w:br/>
        <w:t>The same data also show that in Tuscany, the CNS did not have, through the consortia, any historical contracts, while there were substantial portfolios located in Sicily attributable to CNS consortia (see doc. IV.238, letter B).</w:t>
        <w:br/>
        <w:t>60. Various portfolio consortia in the regions of Emilia Romagna and Lombardy that were not reallocated to other lots by the CNS as pre-awardees within the Consortium were subsequently awarded contracts for significant amounts due to subcontracts granted by Manutencoop in the Emilia Romagna lot (in particular, these are the Emilian consortia with the largest portfolios, not indicated by the CNS during the tender: CILS Coop Soc., Zerocento Soc. Coop. Sociale, and Coop Sociale Il Cerchio) and by Kuadra, the principal of ATI 1, in the lot of Piedmont and Liguria (for the Lombard consortium Il Faro and the consortium Multiservice, which held historical contracts both in Emilia Romagna and Lombardy).</w:t>
        <w:br/>
        <w:t>The participatory strategy of Manutencoop</w:t>
        <w:br/>
        <w:t>61. During the inspection and in the course of the hearing, MFM illustrated the reasons that led it to participate individually in the Consip tender and the criteria followed to select the lots on which to submit an offer.</w:t>
        <w:br/>
        <w:t>62. Regarding the choice to participate individually, MFM stated that it generally participates individually in Consip tenders, also because the company is able to autonomously organize the offer for such public procurement procedures. MFM specifically declared that it submits offers within the CNS only in cases where it finds itself, individually, lacking the necessary requirements or in cases where it deems it appropriate to have a strategic alliance to have greater presence and positioning in the territory, for example for contracts located in geographical areas where MFM is not present or is only marginally present and where, instead, the CNS can benefit from better positioning. Another reason that led MFM to participate independently was to avoid having to recognize the consortium percentage that the CNS required from the associates on whose behalf it submitted offers.</w:t>
        <w:br/>
        <w:t>63. According to what was reported by Manutencoop, the choice of lots on which to submit offers followed the following criteria: the lesser presence of LSU and the territorial context where MFM was historically present and equipped with a more structured and widespread organization concerning the services put out to tender. This was because it was not feasible to participate in all the lots into which the contract was divided. Regarding the first criterion, the party stated that the so-called "ex-LSU" contracts, some of which were present in MFM's portfolio, were characterized by a performance based on "heads," on the number of people to be contracted to carry out the assignment. The Consip contract, on the other hand, was based on the services to be provided; in this sense, the Consip contract was more competitive and required greater performance efficiency. Therefore, MFM stated that executing the contract in regions characterized by LSU would have posed many organizational problems regarding relations with trade unions and local institutions. In support of this statement, MFM highlights how in lot 2 there were no LSU while in the other three lots where MFM submitted offers, the LSU were quantifiable at the following values: 26 (for Lot 3), 22 (for Lot 8), and 13 (for Lot 9), figures significantly lower compared to the presence of such workers in the other lots.</w:t>
        <w:br/>
        <w:t>64. The evidence found in the documentation acquired during the investigation reveals, regarding MFM's previous territorial positioning in the chosen lots, that, excluding the territory of Emilia Romagna, MFM did not have any type of historical contract in the regions included in the other lots on which it submitted offers. Conversely, MFM held substantial "historical" portfolios in educational institutions located in the central and southern regions (Abruzzo, Naples, Marche, Molise, Puglia, and Sardinia). In lot 4 (Lazio and Sardinia) – for which the company did not intend to submit an offer – MFM could have relied on the substantial historical portfolio belonging to RM.</w:t>
        <w:br/>
        <w:t>65. Due to the corporate relationships between Manutencoop and Roma Multiservizi (see below), in a minutes related to the kick-off meeting held on August 1, 2012, between MFM and a consulting company regarding the Consip tender, it is noted, among the points to be explored, the verification of the "additional services proposed by Roma Multiservizi."</w:t>
        <w:br/>
        <w:t xml:space="preserve">66. In fact, in the strategic-industrial development plan of Roma Multiservizi prepared by MFM at the time of its entry into RM in 1999, it was specified that the operation should aim to allow MFM an operational expansion and greater commercial aggressiveness in the Lazio Region in general and in the territory of the Municipality of Rome in particular. </w:t>
        <w:br/>
        <w:t>67. As mentioned, although MFM participated in the tender individually and outside the CNS, considered "a full-fledged competitor" for the Consip procedure, the company, once awarded the Emilia Romagna lot, on which the CNS waived to compete, subcontracted to some CNS consortia that held historical contracts in the Emilia territory. This specifically refers to the aforementioned subcontracts in favor of C.I.L.S. Coop. Sociale, Zerocento Soc. Coop. Sociale, and Coop Sociale Il Cerchio, for a total value of approximately 7.5 million euros.</w:t>
        <w:br/>
        <w:t>The agreement between CNS and Roma Multiservizi</w:t>
        <w:br/>
        <w:t>68. During the inspection, multiple pieces of evidence were collected concerning the negotiation, signing, and implementation of an agreement between CNS and RM regarding participation and execution of the Consip contract concerning lot 4 – Sardinia and Lazio. In particular, under the referred agreement, RM committed to refrain from participating in the Consip tender in order to obtain, as a counterparty, the commitment of CNS to request – once the tender was awarded – authorization for subcontracting in its favor to the maximum extent permitted by law to protect the market share originally held by the company itself, which was the "outgoing" holder of a historical portfolio in the territory of the Municipality of Rome that would flow into the Consip agreement as a result of the tender in question.</w:t>
        <w:br/>
        <w:t>69. Evidence of the referred agreement was found during the inspection, primarily concerning the negotiation discussions between the various parties, consisting of email exchanges and various drafts of the text aimed at refining and perfecting its content. The final version of the document, signed by the parties, was also acquired. Finally, the inspection results also confirm the full execution of this agreement, consisting of RM's non-participation in the tender, despite its initial intention to participate concerning the Lazio lots (4 and 5) and the awarding of the subcontract related to lot no. 4 by CNS to Roma Multiservizi in accordance with what was agreed in the referred agreement.</w:t>
        <w:br/>
        <w:t>70. To frame the agreement in the correct temporal context, it should be noted that already on August 2, 2012, just a few weeks after the publication of the tender notice (issued on July 11, 2012), the board of Roma Multiservizi had resolved to participate in the tender, as evidenced by the relevant minutes acquired during the inspection. In this meeting, the company's board of directors, after stating that "this national interest tender includes the share of the portfolio of Roma Multiservizi (historical contracts and ex-LSU Lazio Region)" and that "the company's potential for participation, given the turnover limits required, is limited to two lots in the case of individual participation," resolved "the participation of Roma Multiservizi S.p.A. in the open community tender called by Consip S.p.A.," granting the CEO the broadest powers to represent the company in the tender in question, also for the purpose of forming any temporary groupings of companies in which Roma Multiservizi may assume, if necessary, the role of leading company.</w:t>
      </w:r>
    </w:p>
    <w:p>
      <w:r>
        <w:rPr>
          <w:b/>
        </w:rPr>
        <w:t>[Pages 19–21]</w:t>
      </w:r>
    </w:p>
    <w:p>
      <w:r>
        <w:t>BULLETIN NO. 50 OF JANUARY 25, 2016 21</w:t>
        <w:br/>
        <w:t>71. This decision is communicated, once deliberated, also to MFM – which, as will be seen, represents the private partner and industrial partner of RM. In this regard, in an email dated August 3, 2012, the head of the tender office of RM informs the tender office of MFM that RM is interested in participating in a series of public procurement procedures indicated in an attached table, which also includes the Consip tender14. On August 8, the tender office of MFM replies by adding certain notes to the attached document. In particular, in correspondence with the tender in question, the following comment is made: “I have no news if MFM participates in ATI with you.” Finally, in response to this last email, the tender office of RM comments as follows: “We will also participate in Consip, as Lazio is a portfolio contract. We await feedback from our CEO who is also negotiating with … [the legal representative of Manutencoop, ed.].”15</w:t>
        <w:br/>
        <w:t>72. Meanwhile, however, the inspection results show, since August 8, 2012, the initiation of a dialogue between CNS and Roma Multiservizi aimed at negotiating the agreement in question. In particular, the acquired documentation reveals how the representatives of RM have evaluated alternative hypotheses. In particular, to some emails dated August 29 and September 3, 2012, an Excel file is attached containing estimates of the value of lot no. 4 and some simulations on the bidding discounts to be offered16. In this Excel file, in particular, there is a sheet devoid of mathematical calculations containing text strings of the following tenor: “Possible reference for agreements/arrangements. All requests for activating the agreement in the city of Rome must be handled by Roma Multiservizi, which will proceed to the signing of contracts up to the agreed competence value (approximately 20 million excluding VAT). Until the amount reaches this value, RM will not recognize any Fee to the Consortium. If the Consortium were to instruct RM to proceed with finalizing additional contracts that would yield additional revenues beyond the 20 million/year taxable amount, a fee will be determined in favor of the Consortium for such exceeding amounts.”</w:t>
        <w:br/>
        <w:t>In an internal email dated August 29, 2012, it is stated “we will be subcontractors” [referring to participation in the tender in question], “I hope that this decision, which seems the most convenient, will at least lead us to obtain the same share of revenues”17.</w:t>
        <w:br/>
        <w:t>73. The first draft of the agreement is attached to the email of August 8, 2012, internal to CNS (exchanged between the head of the legal department and the vice president)18. The attached draft agreement has, in the heading, the wording “private writing” between CNS and RM.</w:t>
        <w:br/>
        <w:t>74. In the preambles of the aforementioned draft agreement, it can be read, as far as it is of interest here:</w:t>
        <w:br/>
        <w:t>“[…] e) that Roma Multiservizi S.p.A. currently performs part of the cleaning services at some schools located in the Lazio Region that are therefore interested in the procedure referred to in the preambles;</w:t>
        <w:br/>
        <w:t>f) that Roma Multiservizi S.p.A. will not participate in the procedure announced by Consip, but it is in its interest to continue providing cleaning services at the schools where it currently provides the service;</w:t>
        <w:br/>
        <w:t>14 See doc. II.115.</w:t>
        <w:br/>
        <w:t>15 See doc. II.88.</w:t>
        <w:br/>
        <w:t>16 Docs. II.151.4 and II.151.10.</w:t>
        <w:br/>
        <w:t>17 See Doc. II.113.</w:t>
        <w:br/>
        <w:t>18 See doc. I.30.24.79.</w:t>
      </w:r>
    </w:p>
    <w:p>
      <w:r>
        <w:t>22 BULLETIN NO. 50 OF JANUARY 25, 2016</w:t>
        <w:br/>
        <w:t>g) that the parties have come to the willingness to initiate a commercial collaboration, within the limits described below and subject to any mandatory legal provisions, in light of the award of lot 4 to the National Services Consortium regardless of the methods chosen by the latter for participation in the tender;</w:t>
        <w:br/>
        <w:t>e) that with this writing the parties intend to finalize the agreements reached in this regard; […]”.</w:t>
        <w:br/>
        <w:t>75. In the articulated draft of the agreement, it is provided, as far as it is relevant here:</w:t>
        <w:br/>
        <w:t>“1. Waiver</w:t>
        <w:br/>
        <w:t>1.1 ROMA MULTISERVIZI S.p.A. undertakes not to participate in the procedure announced by Consip, also committing not to undertake any further initiative aimed at contesting the tender procedure referred to in the preamble.</w:t>
        <w:br/>
        <w:t>2. Participation in the tender</w:t>
        <w:br/>
        <w:t>2.1. CNS will participate in the tender according to modalities yet to be defined and will also submit an offer for lot 4 and, in case of award, will request authorization for subcontracting, to the maximum extent permitted by law, of the services requested by the schools currently managed by Roma Multiservizi and that activate the Consip agreement.</w:t>
        <w:br/>
        <w:t>[…]</w:t>
        <w:br/>
        <w:t>The subcontracts will have the same duration as the main Orders signed with the interested schools, including extensions or renewals”19.</w:t>
        <w:br/>
        <w:t>76. Subsequently, RM proposes certain modifications to the subcontracts that should be entrusted to it as a compensatory item20 21, which were no longer limited to lot 4 but potentially concerned all tender lots up to the amount of 20 million euros. The rationale underlying the identification of this limit was explicitly stated in the proposed reformulation of the preambles h) and i), according to which “h) Roma Multiservizi currently provides cleaning services at schools located in the Lazio Region, for a turnover of approximately 20,000,000 annually, which are therefore interested in the procedure referred to in the preambles; i) in order to maintain the current turnover in the specific market and in compliance with the provisions relating to subcontracting […] it is in the interest of Roma Multiservizi S.p.A. not to submit an offer.”</w:t>
        <w:br/>
        <w:t>RM's intent to protect the value of its historical portfolio by also receiving subcontracts for other lots is explicitly stated in the email dated September 26, 201222, in which the head of the legal office of RM transmits the aforementioned “expansive” modification proposal of the agreement to CNS, where it can be read as follows: “the extension to the other participated lots has been shared with your commercial department and covers the difference between the current turnover of schools in Lazio (20 million) and the turnover entrusted to subcontracting within the legal limits (an amount that could also be guaranteed through other contracts)”23.</w:t>
        <w:br/>
        <w:t>77. In subsequent versions, further changes were proposed. Thus, by way of example, the clause “Roma Multiservizi S.p.A. undertakes not to participate in the procedure announced by Consip, also committing not to undertake any further initiative aimed at contesting the tender procedure,” contained in Article 1 of the agreement, is, in the final draft, crossed out and reformulated in the following terms: “Roma Multiservizi does not consider it appropriate to participate, as an offeror, in the open procedure announced by Consip […] divided into 13 geographical lots”; in any case, the title of the article remains unchanged, which, even in the signed draft, reads: “1. Waiver”.</w:t>
        <w:br/>
        <w:t>The proposal suggested by RM to expand the scope of subcontracting to other lots is not accepted by CNS24; however, during the negotiations, a compromise is reached on the point, limiting the subcontracting to lot no. 4 but also extending it to additional schools not included in the operational basin of the capital company.</w:t>
        <w:br/>
        <w:t>78. The inspection evidence also provides the definitive text of the described agreement between CNS and RM, complete with the signatures of the parties and dated October 1, 2012, two weeks before the deadline for submitting an offer.</w:t>
        <w:br/>
        <w:t>The final text of the agreement incorporates the latest mediation proposals made by CNS on the opposing suggestions of Roma Multiservizi, maintaining intact the transactional and compensatory structure identified even in its original drafting (doc. I.30.67).</w:t>
        <w:br/>
        <w:t>In particular, even in this definitive version, signed by both parties, the agreement focuses on the compensatory mechanism between Roma Multiservizi's waiver to participate in the Consip tender (explicitly stated in Article 1 of the agreement, entitled “Waiver,” according to which “Roma Multiservizi does not consider it appropriate to participate as an offeror in the open procedure announced by Consip S.p.A.”) and CNS's commitment to “provide, in case of award […] to designate Roma Multiservizi as subcontractor and to request authorization for subcontracting in its favor, entrusting, to the maximum extent permitted by law, to Roma Multiservizi the activities subject to the Agreement requested by the schools located in the Lazio Region” (Article 2 of the definitive agreement, entitled “Participation in the tender”).</w:t>
        <w:br/>
        <w:t>79. Since the aforementioned agreement was signed by CNS on its own behalf, paragraph 5.5. is inserted into the internal regulations of ATI 1 with the following wording: “The mandating companies are aware of CNS's commitment, within its share, to subcontract to Roma Multiservizi the activities concerning the execution of the activities of the schools of lot</w:t>
        <w:br/>
        <w:t>23 This assertion is reiterated in the draft attached to an email dated September 27, 2012 (doc. n. I.30.24.36), where in the body of the text – and specifically in the provision relating to the commitment to subcontract the contracts to Roma Multiservizi – a comment in parentheses is inserted with the following tenor “covers the possible shortfall of the 20 million discussed with the CNS commercial department.” In the drafts of the agreement containing the proposal formulated by RM in this sense, all references to lot 4 previously present are deleted.</w:t>
        <w:br/>
        <w:t>RM's intent to extend the subcontracting to other lots is also noted by the CNS representative with whom RM interfaces for negotiating the agreement, who, in an internal email, transmitting the new version of the document proposed by the counterparty, highlights how “this is the new document prepared by Roma Multiservizi that they ask us to share. They refer to commercial agreements concerning annual revenues of 20,000,000 euros (which would have been guaranteed). Furthermore, they remove the reference to only the lot of the Lazio Region.”</w:t>
        <w:br/>
        <w:t>24 As can be seen from the following documents on file: docs. nn. I.9, I.11, I.12, and I.30.24.36.</w:t>
      </w:r>
    </w:p>
    <w:p>
      <w:r>
        <w:rPr>
          <w:b/>
        </w:rPr>
        <w:t>[Pages 22–24]</w:t>
      </w:r>
    </w:p>
    <w:p>
      <w:r>
        <w:t>24 BULLETIN NO. 50 OF JANUARY 25, 2016</w:t>
        <w:br/>
        <w:t>4 that will require the activation of the agreement, using for the calculation of the legal share of the subcontract also other lots in addition to lot 4, if legally possible”25.</w:t>
        <w:br/>
        <w:t>80. The documents acquired during the inspection demonstrate how MFM was kept informed of the negotiation both at the start and before the signing of the agreement resulting from the negotiations between RM and CNS. In this regard, see the email dated August 30, 2012, in which the CEO of RM (who managed the negotiation of the agreement and who is appointed, according to the corporate governance rules of the Roman company, precisely by the industrial partner MFM) transmits to MFM the draft of the agreement received from CNS26. Similarly, on October 1, 2012, the CEO of RM also sends via email to an employee of MFM the final version of the agreement with CNS before signing it, asking her “please can you print this agreement and show it to [CEO of Manutencoop]? I will call him later, thanks”27.</w:t>
        <w:br/>
        <w:t>It is also MFM itself that provides assistance and consultancy to RM in the context of the negotiation that the latter was conducting with CNS. In particular, on September 6, 2012, an employee of MFM sends to the CEO of RM a “draft subcontracting agreement,” which is forwarded to the head of the legal office of RM with the clarification “this is the draft used by Manutencoop” (doc. II.151.2).</w:t>
        <w:br/>
        <w:t>81. It is highlighted that precisely during the period preceding the submission of offers in the Consip tender, in which RM negotiates the aforementioned agreement with CNS on lot 4 interfacing, as described, with MFM and keeping it informed of the evolution of the ongoing negotiations, RM received from CNS, among other things, the regulations of ATI 1, containing the full explanation of the participatory strategy of the grouping in the Consip tender (in which MFM participated individually). In particular, on September 30, 2012, several representatives of CNS and RM shared an email titled “agreement with Roma Multiservizi,” to which were attached a draft of the described agreement between CNS and Roma Multiservizi as well as the internal regulations of ATI 1, with the precise indication, among other things, of all the lots for which ATI 1 intended to submit an offer28.</w:t>
        <w:br/>
        <w:t>82. Furthermore, from the documentation acquired during the inspection, it appears that ATI 1, the successful bidder of lot no. 4, actually signed, on February 13, 2014, the subcontract with Roma Multiservizi under the terms outlined in the agreement between the latter and CNS. The amount of the compensation to be paid to the subcontractor is equal to 14,045,574.3 euros plus VAT, “to be understood as an estimated and purely indicative amount corresponding to the positions actually set aside”29.</w:t>
        <w:br/>
        <w:t>83. On the same day the subcontract was signed, another agreement, called “subcontract addendum”30 was executed in which CNS committed to Roma Multiservizi to renew the subcontract from year to year until the expiration date indicated in the Consip agreement, including any extensions or renewals. This is because, according to CNS, “the duration must remain annual (at least in the subcontract that must be sent to Consip for authorization). In fact, in the comment, I explained to you that if we include the duration of the agreement, we exceed the maximum limit allowed by law. Therefore, every year we will redo the subcontract request procedure”31.</w:t>
        <w:br/>
        <w:t>84. From the documentation acquired following the hearings, it emerged that the aforementioned agreement drawn up between CNS and RM for the extension and/or renewal of the subcontract from year to year has also been executed, resulting in the signing so far between ATI 1 and RM, in addition to the original subcontract, of 7 additional contracts for integration or extension of the assignment made in February 2014. In particular, the following contracts have been signed between the parties:</w:t>
        <w:br/>
        <w:t>(i) an integrative act to the subcontract for extraordinary activities dated October 1, 2014, for a value of 714,025.50 euros;</w:t>
        <w:br/>
        <w:t>(ii) a new subcontract signed on January 5, 2015, expiring on June 30, 2015, for a value of 536,767.21 euros;</w:t>
        <w:br/>
        <w:t>(iii) an additional subcontract signed on January 20, 2015, valued at 7,050,656.22 euros, expiring on September 30, 2015;</w:t>
        <w:br/>
        <w:t>(iv) a new subcontract signed on April 16, 2015, valued at 172,374.00 euros, expiring on April 30, 2016;</w:t>
        <w:br/>
        <w:t>(v) an addendum, signed on June 12, 2015, to the subcontract of January 5, 2015, aimed at extending the latter contractual act until September 30, 2015;</w:t>
        <w:br/>
        <w:t>(vi) two addenda, signed on September 1, 2015, to the subcontracts of January 5 and 20, 2015, aimed at extending these latter contractual acts until December 31, 201532.</w:t>
        <w:br/>
        <w:t>It is highlighted that all the compensations indicated in these contracts are identified “by way of example and not limited,” and may “undergo variations during the contract.”</w:t>
        <w:br/>
        <w:t>85. During the inspection at RM's headquarters, the head of the legal office of the company (who played a significant role in the negotiation of the agreement with CNS, as emerges from the correspondence and email exchanges between the parties and in the investigation records) stated that the decision not to participate in the tender, despite the Board of Directors originally deciding to submit an offer, was motivated by the fact that “Roma Multiservizi could participate in only a few lots while Manutencoop, a company that holds 45% of Roma Multiservizi, has a higher capacity for participation. According to Article 38 of the procurement code, two companies that have the same decision-making center cannot participate in the same tender. Manutencoop exerts a decisive influence on Roma Multiservizi, and if both had participated, there would have been a risk of exclusion for both,” concluding: “These companies therefore decided that Manutencoop would present itself because it could participate in more lots.”</w:t>
        <w:br/>
        <w:t>86. During the hearings, the parties provided further and somewhat different explanations regarding the commercial reasons and purposes of the described agreement between CNS and RM.</w:t>
        <w:br/>
        <w:t>87. In particular, representatives of RM highlighted how the company operates in a very limited territorial area, coinciding with the Municipality of Rome. In this sense, RM had a strong interest in carrying out the service subject to the contract with reference to the Roman territory, as the company had already previously provided such services and was therefore in the position of an outgoing supplier. However, due to the rules of the tender, RM would not have been able to participate individually, as it did not meet all the required turnover requirements, not even for lot 4 alone, which, including Sardinia, was characterized by a larger dimension compared to the operations and organizational capacities of the company. RM could have participated in ATI with another company. However, the special tender rules required the obligation to maintain the same composition of the grouping for all lots for which it intended to submit an offer. This constraint prevented RM from identifying a company with which to participate exclusively for lot 4, as RM would not have been able to provide the required services in other lots.</w:t>
        <w:br/>
        <w:t>88. Furthermore, RM specified how, upon starting the search to identify a company with which to participate in the Consip tender, it “learned that MFM, a partner and potential partner for participation in ATI, intended to participate in the tender for multiple lots. This precluded RM's participation in ATI with MFM […] and was at the same time an obstacle (also considering the procurement regulations and the tender regulations) to RM's participation in the tender in ATI with other and different companies”33.</w:t>
        <w:br/>
        <w:t>89. Therefore, since “there was a strong interest in continuing to provide the service to the schools already served, in order to maintain the customer portfolio,” “the only feasible way was therefore that of subcontracting.” “It should also be considered,” the representatives of RM continued during the hearing, “that a participation in the tender without success would have made it no longer possible to subcontract according to the provisions of current regulations. The choice of subcontracting therefore precluded participation in the tender. Moreover, the instrument of subcontracting would have allowed the service to be carried out at the same locations already served by RM”34. Also during the hearing, it was reiterated how the negotiated solution pursued was suitable to “create the conditions for maintaining turnover, given that RM could not participate in the tender either individually or in ATI with the two partners MFM and CNS.” Regarding the decision to interface with CNS, RM representatives stated that CNS is a “historical partner, who could be consulted in advance.”</w:t>
        <w:br/>
        <w:t>90. Also during the hearing, RM representatives stated that the negotiation in question with CNS developed and concluded before the deadline for submitting offers in the Consip tender because “on that occasion RM acted in advance in order to ensure the certainty, crucial for it, of being able to continue providing the service; if the desired solution with CNS had not been reached, the choice, in their opinion, could also have been to find a smaller partner and participate in the tender.” Furthermore, regarding this, “by securing the subcontract from CNS, RM had good chances of continuing to provide the service, as the Consortium is one of the strongest players in the market. The choice to compete in ATI with other small companies, willing to participate only for lot 4, would have been a riskier choice.”</w:t>
      </w:r>
    </w:p>
    <w:p>
      <w:r>
        <w:rPr>
          <w:b/>
        </w:rPr>
        <w:t>[Pages 25–27]</w:t>
      </w:r>
    </w:p>
    <w:p>
      <w:r>
        <w:t>BULLETIN NO. 50 OF JANUARY 25, 2016 27</w:t>
        <w:br/>
        <w:t>91. The representatives of CNS, during the hearing, also explained the reasons underlying the agreement with RM, stating that “RM was an attractive economic operator for participation in the Consip tender. It is indeed a well-established entity in the territory, with extensive experience in the sector and known by the local administration. RM managed a very significant part of the mandatory quota, about half of that present in the tender. Furthermore, RM had a contract of about 20 million for the assignable quota. It should also be considered that the assignable amount in lot 4 was of very high value, and therefore the portion that remained for the consortium members allowed for the maintenance of their portfolio. In Lazio, in fact, there was a share of the 78 million in historical contracts amounting to about 4 million euros that belonged to CNS consortium members. Therefore, net of the amount attributable to RM, there remained about another 10 million that could be used to transfer the portfolios from the lots in the South”35.</w:t>
        <w:br/>
        <w:t>Moreover, the representatives of CNS added that the agreement with RM allowed the Consortium to resolve many start-up problems, both those arising from the application of the social clause (hiring of RM personnel) as well as those related to social tensions that could have arisen if RM had lost the services it previously held. This is because RM is a highly unionized company and the transfer of the contract to a completely private entity would certainly have been opposed.</w:t>
        <w:br/>
        <w:t>92. Regarding RM's commitment to refrain from participating in the tender in exchange for the subcontracting of lot 4, the representatives of CNS stated that it was a “style clause” lacking “substantial relevance,” to be understood as a “safeguard clause, aimed at establishing mutual guarantees for the parties. If RM had participated in the tender and subsequently entered into the subcontract with CNS, such circumstance would not have been permitted by the current regulations on public contracts which prohibit competitors in a public tender from entering into a subcontract with the successful bidder”36.</w:t>
        <w:br/>
        <w:t>93. With reference to the attempts made by RM to extend the agreement to lots other than 4 and the provision contained in the ATI 1 regulation (par. 5.5)37 that also mentions additional lots, the representatives of CNS highlighted how the agreement pertains, in terms of the execution of the services to be subcontracted, exclusively to lot 4 and that “RM's attempt was to obtain the maximum subcontractable amount to maintain the share of historical turnover attributable to it within the limits allowed by the regulations, exploiting, as a calculation basis, the tender values of the other lots, having no intention of actually operating in lots other than lot 4.” Thus, the provision contained in par. 5.5. of the ATI 1 regulation should be read in the sense that “it sought to verify whether, from a regulatory standpoint, it was possible to calculate the maximum subcontractable share considering also other awarded lots, while remaining firm that the services were related to lot 4.”</w:t>
        <w:br/>
        <w:t>94. Regarding the agreement between RM and CNS, it is useful to clarify how MFM was asked, during the relevant hearing, whether it feared losing the portfolio of activities currently managed by the subsidiary RM in the capital by not submitting an offer for lot 4. The MFM representative responded that “the loss of the portfolio in Rome was not so obvious and in fact did not occur, as RM could find other solutions as it eventually did by agreeing to the subcontract with CNS”38.</w:t>
        <w:br/>
        <w:t>The participation of Kuadra</w:t>
        <w:br/>
        <w:t>95. The company Kuadra participated in ATI 1 as a principal with a participation share of 15% including the execution of an equal share of the operational cleaning services subject to the contract.</w:t>
        <w:br/>
        <w:t>96. CNS, during the hearing, clarified that the decision to form an ATI with Kuadra stemmed from a commercial agreement, not necessary (since CNS and its consortium members already held the requirements to participate in the tenders for the selected lots and to execute the services subject to the contract), but aimed at developing a partnership with that company that could be useful in other contexts. Similarly, the representatives of Kuadra attributed the choice to participate with CNS in the Consip tender to “a commercial opportunity.”</w:t>
        <w:br/>
        <w:t>97. In fact, CNS's decision to participate in ATI with Kuadra originates from an agreement dated October 9, 2012. This is specifically the signing of a “private writing” between Kuadra and CNS, in which the two parties commit to signing “separate agreements for an ATI and an ATI regulation to participate together in the community tender called by Consip S.p.A. […] for the assignment of cleaning services at schools and training centers.” At the same time, and pending the outcome of the tender, “Kuadra undertakes from now on not to demand from CNS the fulfillment of the obligations contained in the writing of 6/4/2009, while its right to act for the entire credit arising from that agreement against the other joint debtor COOPSERVICE remains full and intact” (doc. I.74).</w:t>
        <w:br/>
        <w:t>98. The representatives of Kuadra, during the hearing, specified that the company had previously participated in ATI with CNS in tendering processes, always in the cleaning sector, and that, when calls for tenders of interest were published, Kuadra evaluates whether to participate individually or in ATI depending on the requirements requested, as occurred in the case of the ATI formed with CNS. In this case, Kuadra could not participate individually in the tender because it did not hold the requirements requested by the lex specialis; therefore, it could only participate in the contract by associating with a larger company, also due to the amount of the guarantees to be presented at the time of the offer. The representatives of Kuadra also pointed out that the company did not hold “historical” contracts on the assignable institutes within the Consip contract.</w:t>
        <w:br/>
        <w:t>99. Kuadra, during the hearing, specified that it did not participate in the definition of the tender strategy, which was decided autonomously by CNS, both in terms of the choice of lots and the content of the offers to be submitted. In this regard, the representatives of Kuadra added that, since the social clause operating for the contract in question provided that the successful bidders of the different lots would absorb the personnel previously employed by the “outgoing” service providers, the company considered it indifferent or of little relevance to participate in one lot rather than another. Moreover, since Kuadra, being a principal of the ATI with a share of 15%, could not influence the strategic choices of the grouping.</w:t>
        <w:br/>
        <w:t>100. On this point, it is noted that in an internal document of CNS regarding the distribution of schools among the companies called to execute the Consip agreement, it is stated that “the division in Rome for Kuadra was made following, in my opinion, a minimum of logic of territorial continuity but then they will decide as they wish” (doc. I.37.4.72).</w:t>
        <w:br/>
        <w:t>101. Regarding the agreement between CNS and RM, also mentioned in art. 5.5 of the internal regulation of ATI 1, specifically intended for the principals of the grouping, Kuadra, during the hearing, stated that it had no relationship with RM. Kuadra reported that it became aware of the agreement between CNS and RM only at the time of signing the internal regulation of the ATI. In this regard, the company did not raise objections considering the described agreement the result of a choice by CNS and also considering the express clause that the subcontract would be awarded within the limits of the law.</w:t>
        <w:br/>
        <w:t>102. From the evidence that emerged during the investigation, Kuadra coordinated with CNS for the management of subcontracting contracts, reaching an agreement whereby the former would assign a certain share of its subcontracts to cooperatives selected by CNS. From an exchange of emails between representatives of CNS and representatives of Kuadra, in fact, a agreed strategy is referenced whereby “Kuadra subcontracts to cooperatives proposed by CNS in almost all areas”39.</w:t>
        <w:br/>
        <w:t>103. The representatives of Kuadra stated, during the hearing, that the company was interested in subcontracting some of the work obtained through the awarding of the lots in question, as this would allow for savings in terms of start-up costs and direct and indirect management of personnel. In this sense, the representatives of the company reported that Kuadra would rely on the collaboration of CNS to identify reliable companies capable of adequately performing the services entrusted in subcontracting, as well as meeting the requirements set by the relevant regulations: once these conditions were satisfied, in fact, the choice of subcontracting companies was substantially indifferent for Kuadra.</w:t>
        <w:br/>
        <w:t>104. In this sense, in February 2014, an addendum to the internal regulation of ATI 1 was signed between CNS and Kuadra (pending signature also by EXITone), in which CNS provides an indication of a list of companies to Kuadra for the purpose of awarding subcontracts in the lots of the Consip tender, committing to find new suitable companies to replace the indicated subcontractors in case of necessity40. In the cited exchange of emails between representatives of Kuadra and representatives of CNS, it is stated: “the best way to manage the services is the one agreed between you and me on the terrace, where KUADRA subcontracts to cooperatives proposed by CNS in almost ALL areas. In this way, we fulfill the signed pact (where there is CNS, there is Kuadra) – we operate with a legitimate tool (the subcontract) within the legally permissible percentages (the law allows 30% - Kuadra has 15%) and you increase your prestige by having companies you like work; provided that we indicate some companies ourselves”41.</w:t>
      </w:r>
    </w:p>
    <w:p>
      <w:r>
        <w:rPr>
          <w:b/>
        </w:rPr>
        <w:t>[Pages 28–30]</w:t>
      </w:r>
    </w:p>
    <w:p>
      <w:r>
        <w:t>30 BULLETIN NO. 50 OF JANUARY 25, 2016</w:t>
        <w:br/>
        <w:t>105. From the information provided by Kuadra to the Offices, it appears that the company has awarded subcontracts to 8 consortium companies of CNS42 for an amount of approximately 6.7 million euros. This information has also been confirmed by the contracting authority Consip and by CNS43.</w:t>
        <w:br/>
        <w:t>The role of EXITone in ATI 1</w:t>
        <w:br/>
        <w:t>106. The company Exitone participated in ATI 1 established together with CNS and Kuadra to participate in the Consip tender with a participation share of 3%, concerning management services.</w:t>
        <w:br/>
        <w:t>107. Representatives of the company clarified, during the hearing, that Exitone is an engineering company that deals with technical services related to real estate, both private and public, consisting of due diligence activities and land analysis, also carried out with a view to enhancing and disposing of the properties themselves or for the purpose of preparing technical offers in public tenders related to services performed within the properties. The representatives of the company also specified that the activities provided by EXITone are substantially independent of the type of operational services carried out downstream of them, as well as of the public or private nature of the client. In any case, the Consip tender would constitute the first contract consisting solely of cleaning activities in which the company has participated.</w:t>
        <w:br/>
        <w:t>108. Exitone also represented that the tender strategy was defined by CNS also regarding the choice of lots, as this choice pertains to those who, within the ATI, carry out the operational cleaning services. Instead, since Exitone provides a completely different type of services, the geographical area subject to the contract is irrelevant to it, and therefore it has no interest in proposing the selection of certain lots on which to submit an offer compared to the overall number of geographical areas into which the contract is divided.</w:t>
        <w:br/>
        <w:t>109. In the specific case of this tender, the activities assigned to Exitone consisted primarily of assistance provided to CNS during the drafting of the technical offer for the description of the profiles relevant to it. Subsequently, once the contract was awarded and the related Agreement was signed, Exitone would have carried out land analysis activities, with the aim of encouraging the institutions to adhere to the Agreement itself. Once the institutions adhere to the Agreement, Exitone's activity would come to an end. In particular, in the execution phase, as mentioned, Exitone intervenes by providing its services before the adherence of the educational institutions to the agreement and, therefore, before the provision of operational cleaning services by the consortium members, by Kuadra as the operational principal or by subcontractors. Essentially, Exitone interfaced exclusively with the principal CNS since its activity takes place after the Consip agreement and before the signing of the supply order with the educational institution.</w:t>
        <w:br/>
        <w:t>III.4 The relationships between Roma Multiservizi and Manutencoop</w:t>
        <w:br/>
        <w:t xml:space="preserve">110. In relation to the competitive position of RM, it is noted that MFM represents the industrial partner of RM to which 49% of the share capital of the latter is attributable. </w:t>
        <w:br/>
        <w:t>42 These are the consortium members All Service Soc. Coop., Coop. Ge. S.c.a r.l., Gierre S.r.l., Il Faro Soc. Coop.va sociale onlus, Isola coop. Sociale, Multiservice Soc. coop., Policoop S.r.l. and Services Facility Logistics Soc. Coop.</w:t>
        <w:br/>
        <w:t>43 Cf. doc. IV.238, letter H and doc. IV.240, attachments "School cleaning – lot 1", attachments "School cleaning – lot 4" attachments "School cleaning – lot 10".</w:t>
      </w:r>
    </w:p>
    <w:p>
      <w:r>
        <w:t>BULLETIN NO. 50 OF JANUARY 25, 2016 31</w:t>
        <w:br/>
        <w:t>As the parties testified during the hearing, MFM, as the leading company participating at 92.8% in a consortium with La Veneta Servizi, won the tender in 1999 for the identification of the private partner to whom to entrust 49% of RM's capital. The remaining portion of capital is held by AMA S.p.A. In this corporate structure, MFM represents the industrial partner of RM, which operates in the same market as the subsidiary and assists it in order to ensure its operational development, accompanying it in the restructuring and business efficiency process undertaken.</w:t>
        <w:br/>
        <w:t xml:space="preserve">111. The intention to establish close industrial and corporate relationships with RM has inspired MFM's corporate participation from the very beginning. It is therefore useful to recall certain passages contained in the strategic-industrial development plan of RM prepared by MFM in the context of the tender for the identification of the private partner of the Roman company. </w:t>
        <w:br/>
        <w:t>In particular, the following paragraphs of the referenced document are noteworthy:</w:t>
        <w:br/>
        <w:t>- "This new entity, Manutencoop/Multiservizi could address the large contracting present at the regional level [...] it should also be noted that the Lazio market is an open market as it is not characterized by established competitors operating at the national level";</w:t>
        <w:br/>
        <w:t>- "the presence of Roma Multiservizi, in Business Association with the Manutencoop group, could look at a market made up, in addition to the Municipality of Rome, of local authorities in Lazio (Municipalities, Provinces, Region); Ministries (tenders previously issued by the General State Procurement Office); Armed Forces, other central and local administrations, public and private health, large private contractors";</w:t>
        <w:br/>
        <w:t>- "the strategic alliance with Multiservizi would change the strategic orientation so far held by Manutencoop; that of a contained aggressiveness towards the Roman market, would also create those synergistic conditions to radically redesign its positioning" (doc. IV.239, attachment d.2).</w:t>
        <w:br/>
        <w:t>112. From the complex of governance rules, statutory and parasocial provisions (in particular, the parasocial agreement signed between the original partners Municipality of Rome, Ama S.p.A. and the previous private partner Gepi)44, as well as the operational practices in place, it appears that MFM is entitled to designate the CEO of RM, who is reserved for the operational management of the company, as well as the appointment of an additional board member. Among the powers assigned to the CEO is also the management of the tenders in which RM participates. In the case of tenders with an amount exceeding 20 million euros, the deliberative intervention of the Board of Directors is necessary (doc. IV.226).</w:t>
        <w:br/>
        <w:t>113. In relation to the Consip tender, it appears that the pro-tempore CEO of RM was a representative of MFM, as designated by the latter, and had obtained from the Board of Directors full decision-making and operational powers regarding the participatory strategy to be pursued. This allowed such CEO, without any further review by the collegiate body, to initially consider the possibility of a direct participation in the tender in ATI. Subsequently, RM learned that Manutencoop, a partner and potential partner for participation in ATI, intended to participate for multiple lots, which would have precluded RM's participation in ATI with Manutencoop (cf. response submitted by RM on September 20, 2015). At a later stage, the CEO of RM initiated the negotiation of the agreement with CNS, thus deciding not to participate directly in the procedure without sharing this choice with the Board of Directors.</w:t>
        <w:br/>
        <w:t>114. During the investigation, evidence emerged of constant contacts between RM and its industrial partner MFM at the time of the publication of tenders in the sectors of interest; this, according to what was reported by the two companies, mainly due to the possibility for the two companies, given the corporate and participatory ties that unite them, to incur the prohibition established by art. 38, paragraph 1, letter m-quater of Legislative Decree No. 163/2006 (public procurement code). Such contacts occur constantly between RM and MFM and not also between RM and its majority partner AMA S.p.A., since it operates in different markets and exclusively constitutes the "political-institutional" owner interface of RM.</w:t>
        <w:br/>
        <w:t>115. RM stated that "there is a custom of sharing with MFM information related to the published tenders concerning the services of interest and the tenders in which it intends to participate, to avoid incurring difficulties related to possible exclusion under art. 38 of the Public Procurement Code. Such information on tenders is regularly exchanged through specific reports." This circumstance has been confirmed by MFM (doc. IV.226 and IV.230).</w:t>
        <w:br/>
        <w:t>116. Also in relation to the specific tender in question, evidence has been acquired indicating that there were contacts between RM and MFM in order to share their respective choices regarding participation in public procurement procedures. See, in particular, doc. II.88, which documents an email exchange between the tender offices of the aforementioned companies in which an employee of MFM's tender office communicates to an employee of RM's tender office, with reference to the Consip tender, "MFM is participating (I have no news if in ATI with you)" and the RM employee replies stating "we are waiting for feedback from our CEO who is also conducting negotiations with ... [the legal representative of Manutencoop, ed.]."</w:t>
        <w:br/>
        <w:t>117. In light of such preliminary contacts, RM – as stated by the parties themselves - learned of MFM's intention to participate individually for multiple tender lots. There are also records of subsequent contacts between the two companies regarding the new participatory strategy envisioned by RM in agreement, this time with CNS, to maintain its customer portfolio through the instrument of subcontracting. In particular, there are documents indicating that RM submitted to MFM the preliminary and final version of the draft agreement with CNS and that MFM transmitted to RM a subcontract agreement format (cf. docs. II.151.2, II.151.8 and II.151.9).</w:t>
        <w:br/>
        <w:t>118. This information exchange between RM and MFM appears to have developed in the same timeframe in which RM became aware, due to the ongoing negotiation, of the lots on which CNS would submit an offer and, therefore, of the participatory strategy of the Consortium, a competitor of MFM.</w:t>
        <w:br/>
        <w:t>119. Regarding the relationships between RM and MFM, the representative of CNS observed "how it can be considered that CNS took for granted that RM was in dialogue with MFM about its industrial and commercial activity as the reference industrial partner of RM. Therefore, it can be assumed that RM has also engaged in discussions with MFM on this subject. Moreover, since it is the partner</w:t>
      </w:r>
    </w:p>
    <w:p>
      <w:r>
        <w:rPr>
          <w:b/>
        </w:rPr>
        <w:t>[Pages 31–33]</w:t>
      </w:r>
    </w:p>
    <w:p>
      <w:r>
        <w:t>BULLETIN NO. 50 OF JANUARY 25, 2016 33</w:t>
        <w:br/>
        <w:t>industrial partner, it is normal for it to deploy its operational capacity and appoint someone with specific expertise in the relevant industrial sector to the top positions of RM."</w:t>
        <w:br/>
        <w:t>120. Lastly, it is highlighted that in the aforementioned document prepared by a consulting company for MFM and dated August 1, 2012, titled "Consip Schools Tender – Drafting of the technical project" and containing the actions to be taken for the collection of the data and documents necessary for participation in the tender, in the paragraph titled "Next steps – Actions for data and document collection for Business Plan," the task of "Verifying additional services proposed by Roma Multiservizi" is specifically mentioned.</w:t>
        <w:br/>
        <w:t>IV. THE ARGUMENTS PRESENTED BY THE PARTIES FOLLOWING THE CRI</w:t>
        <w:br/>
        <w:t>On the evidence of the agreed practice</w:t>
        <w:br/>
        <w:t>121. MFM and, in similar terms, the CNS and RM46 present certain general defensive considerations regarding the evidentiary standard required by community jurisprudence for the ascertainment of restrictive agreements in the form of the agreed practice.</w:t>
        <w:br/>
        <w:t>122. In particular, the parties argue that the "objectively verifiable" elements cited by the CRI as exogenous would be the result of conjectures and would not, in any case, be suitable to prove the existence of the ascertained agreed practice. As for the endogenous elements, the parties assert that for each of the indications of the illicit conduct cited in the CRI, there are arguments capable of providing at least as plausible an explanation as that provided by the Authority, "which place the established facts in a different light."</w:t>
        <w:br/>
        <w:t>123. The parties also assert that the Authority has failed to demonstrate the existence of the ascertained infringement beyond a reasonable doubt, in accordance with the evidentiary standard dictated by community jurisprudence and the European Court of Human Rights. According to the aforementioned jurisprudence, proof beyond a reasonable doubt should derive from the coexistence of sufficiently strong, precise, and consistent indications or similar factual presumptions that the accused company cannot overturn and that attest to the existence of the illicit conduct in unequivocal terms and without the need for interpretation. Furthermore, "if there is a reasonable doubt regarding the existence of the violation, it must benefit the company subject to the decision that establishes the infringement," to which the benefit of the doubt must therefore be recognized. This, according to what the parties have represented, applies the principle of the presumption of innocence enshrined both in the ECHR and in the Charter of Fundamental Rights of the European Union.</w:t>
        <w:br/>
        <w:t>On the context and dynamics of the sector</w:t>
        <w:br/>
        <w:t>124. The CNS and MFM argue that the CRI provides a representation of the sector dynamics "that is entirely partial and reductive, instrumentally oriented to facilitate the finding of restrictive competition cases" and is based on "misleading and decontextualized references to documentation that is certainly not pertinent and not leading and, in any case, to completely pretextual conjectures."</w:t>
        <w:br/>
        <w:t>125. In particular, the CNS and MFM contest the references made in the section of the CRI dedicated to the consortium context to docs. I.37.4.2, doc. I.37.4.60, and doc. I.37.4.70. Regarding doc. I.37.4.2, the CNS argues that the meaning of this document has been misrepresented, as the awarding of the subcontracts mentioned therein would have been suggested solely for better management of the labor issue. MFM adds that the email referred to in the document in question is chronologically placed in a timeframe after the deadline for submitting offers and concerns a different case from that under examination. With reference to doc. I.37.4.60, the parties emphasize that it is a non-relevant email, pertaining to a case different from the Consip tender, as it relates to the institutional activities carried out by a trade association regarding the consultations initiated by the AVCP on the standard tenders for cleaning services. Also concerning doc. I.37.4.70, regarding the use of the Consortium as a useful shield for the consortium members, the CNS and MFM defend themselves by asserting that it does not pertain to the Consip tender. Furthermore, the parties assert that the reference to the useful shield contained in the document does not concern the conditioning of public tenders but is related to a subcontract awarded by a subject awarded a project financing. Finally, the CNS states that the reference to doc. I.30.24.43 regarding the continuation of the historical contracts of Emilia Romagna has also been misrepresented, as this document concerns a meeting prior to the publication of the tender for the Consip tender, aimed at deepening the issue of the extension decided by the MIUR of the existing service contracts for cleaning services and the agreement for the allocation of the financial resources necessary to ensure the continuation of the historical contracts and tenders.</w:t>
        <w:br/>
        <w:t>126. Still in relation to the reference context, the parties highlight how the verification of the number of participants in the Consip tender was indicative of the significant competitive tension existing in the sector and that the possibility for the consortium members to participate independently in tenders in competition with the Consortium broadens the competitive comparison and derives from the outcome of an investigation carried out by the Authority itself in 1997. In this regard, the parties highlight an alleged contradiction between the allegations made in the current proceedings and the previous investigation of 1997 as well as with the rules and principles that prohibit the independent participation of the consortium member only if the latter has been indicated for execution.</w:t>
        <w:br/>
        <w:t>On the participatory strategy adopted by the CNS in the Consip tender</w:t>
        <w:br/>
        <w:t>127. In the final memorandum, the CNS reiterates that the choice of the lots to participate in was logical and proportionate and guided by a plurality of independent evaluations. In summary, the CNS presents the following defensive arguments regarding the criteria for selecting the lots in order to refute the allegations made. As a preliminary matter, it is argued that "the CNS did not operate in a closed market in order to preserve the shares held [...] but confronted other economic operators within the framework of a public and transparent tender," "submitting, for all the selected lots, highly competitive offers [...]. In this context, the CNS pursued the objective of winning the maximum number of achievable lots and ensuring adequate turnover for the consortium members, especially those already operating in the specific sector." In this regard, the consortium members to be indicated were identified taking into account the interest expressed by them, the requirements set by the lex specialis, their competitiveness, and their ownership of previous assignments in the specific sector.</w:t>
        <w:br/>
        <w:t>128. Regarding the non-participation in lot 2 – Emilia Romagna, the CNS contests the charges made in the CRI, stating that the choice not to participate stemmed from the fact that the Consortium had already expressed its best offer on behalf of its cooperatives in the tender related to the assignment of the previous Intercent.er contract. Thus, the choice to participate in lot 2 "would have entailed an illogical duplication of that offer" and "the Consortium would have unreasonably competed against itself." Furthermore, the CNS continues to contest what was noted in the CRI, stating that the expiration date of the agreement is irrelevant, as "importance should be attributed to the individual orders that had a duration of 36 months from the date of issuance." Consequently, according to the CNS's reconstruction, "the execution period of the two agreements [...] is largely overlapping." Regarding the objection raised in the CRI in response to the CNS's observations about MFM's participation in the tender for lot 2, despite the latter already being awarded the Intercent.er tender with the Consortium, the CNS argues that Manutencoop's position was "completely different from that of the CNS, as it was the latter that was awarded the Intercent.er tender on behalf of the consortium members, while MFM was only awarded some orders. Thus, the interest of the latter in strengthening its position in Emilia Romagna can be clearly explained once it decided to act as an independent competitor from the Consortium."</w:t>
        <w:br/>
        <w:t>129. As for the subcontracting awarded by MFM on lot 2 to CNS consortium members, the latter states that such subcontracts were concluded only at a time subsequent to the awarding of the lot, independently of the CNS and concerned small social cooperatives operating exclusively on a local basis, in areas where they have a strong foothold. These cooperatives, the CNS states, had not expressed interest in participating in the tender, preferring to obtain subcontracts from whoever would be awarded the lot.</w:t>
        <w:br/>
        <w:t>130. Regarding lot 8 – Lombardy – Trentino Alto Adige, the CNS defends itself against the charges made in the CRI, stating that the portfolio held by the consortium members in that lot was reduced compared to the overall turnover held in the other lots. Furthermore, none of the two consortium members holding that portfolio (Gesin and Multiservice) had their headquarters in Lombardy, as they were Emilia-based cooperatives. As for the overall turnover developed by the Consortium in Lombardy in the public sector, the CNS states that it largely consists of services provided for structures that did not require a widespread presence in the territory.</w:t>
        <w:br/>
        <w:t>131. Regarding the choice of lot 4 – Lazio – Sardinia, the CNS responds to the allegations made, asserting that the number of former LSU in the Lazio region was not comparable to that of Sicily or other southern regions of Italy (in Lazio it was about 800 units while in Sicily it was about 1,200) and that the amounts allocated by the MIUR for the so-called "reserved positions" were also different. In particular, compared to the historical expenditure incurred in Sicily, a cut of 40.2% would have been made, greater than that relating to Lazio and Sardinia, which was 29.6%.</w:t>
        <w:br/>
        <w:t>132. Finally, regarding the offers submitted on lots no. 3 and no. 9, the only ones on which the CNS and MFM overlapped and in which the CNS submitted a lower economic offer compared to those</w:t>
      </w:r>
    </w:p>
    <w:p>
      <w:r>
        <w:rPr>
          <w:b/>
        </w:rPr>
        <w:t>[Pages 34–36]</w:t>
      </w:r>
    </w:p>
    <w:p>
      <w:r>
        <w:t>36 BULLETIN NO. 50 OF JANUARY 25, 2016</w:t>
        <w:br/>
        <w:t>submitted a cut of 40.2%, greater than that relating to Lazio and Sardinia, which is 29.6%.</w:t>
        <w:br/>
        <w:t>132. Finally, regarding the offers submitted for lots no. 3 and no. 9, the only ones where CNS and MFM overlapped and in which CNS submitted a lower economic offer compared to those submitted for the other lots, the Consortium defends itself against the charges asserting that for these lots the Consortium itself presented "the best technical-qualitative offer overall" and that the economic offer can be diversified as it is formulated based on autonomous and specific evaluations and is "closely related to the technical offer which is calibrated according to the peculiar characteristics and specificities and performance requirements of each lot."</w:t>
        <w:br/>
        <w:t>On the participatory strategy adopted by MFM in the Consip tender</w:t>
        <w:br/>
        <w:t>133. In its final submissions and during the final hearing, MFM stated that it participated in the Consip tender independently and autonomously from CNS, considering the latter a full-fledged competitor. This would be demonstrated, according to MFM, by the front page of the so-called "tender folder," an internal document prepared by the company's offices, from which it is asserted that MFM "already on July 30, 2012, decided to concentrate its efforts exclusively on lots 2, 3, 8, and 9."</w:t>
        <w:br/>
        <w:t>134. MFM claims to have preferred to participate individually in the Consip tender "since – as a leading company in the facility management sector – it believed it was perfectly capable of independently organizing the offer for the lots in which it was interested in participating. Unlike the small-sized CNS consortium members, MFM indeed has an autonomous technical and operational capacity that has allowed it to compete for the lots put out to tender (including those of larger dimensions in terms of workload and turnover) entirely independently from (and in full competition with) the Consortium."</w:t>
        <w:br/>
        <w:t>135. Therefore, in its final submissions, MFM summarizes the criteria that would have guided the choice of lots to submit offers for: (i) the absence or reduced presence of former LSU workers and (ii) the greater territorial rooting of the company in the geographical areas concerned. In particular, the presence of so-called former LSU workers in the lots put out to tender constituted for the Company a factor of particular inefficiency due to the high (economic and social) costs associated with the employment of such labor.</w:t>
        <w:br/>
        <w:t>136. Furthermore, MFM, in order to contest the charges made in the CRI regarding the alleged collusive agreement in question, elaborates in its submissions on the "complex internal procedural process within the Company" that it would have followed for the preparation of the technical and economic offer. On this point, the company produces the internal procedures related to the corporate management of tenders and illustrates the estimates and evaluations it would have developed to formulate the economic offer, specifying, among other things, how in the context of this activity it estimated the number of subjects who would likely participate in the individual lots and hypothesized the extent of the related discounts. On this point, MFM states that having presented the same discount percentages for the individual items in all lots would disprove the collusive reading proposed by the offices since it would be entirely irrational for a company part of a collusive agreement to offer such aggressive discounts rather than modulating its offers knowing in advance and taking into account the participatory strategies of its main competitor.</w:t>
        <w:br/>
        <w:t>137. With reference to the preparation of the technical offer, MFM deemed it useful to entrust the drafting of this part of the offer to an external consultant, the company eFM, which it commissioned, for a consulting activity developed from the beginning of August to the end of September 2012, "i) the drafting of the business plan for each of the thirteen lots put out to tender; ii) the design phase of the individual chapters in which the offer was articulated; iii) the drafting of the technical project and iv) the editing and printing phase." To respond to the objection regarding the contradiction of its assertions, MFM stated that "despite [...] having made the choice from the outset, and certainly since July 30, 2012, not to compete for lot 4 and to focus only on lots 2, 3, 8, and 9, this information (given its strategic and confidential nature) had not been revealed to the external consultants, to whom it had been requested to draft the business plan and the other necessary insights on the entirety of the lots in the tender." Furthermore: "it is precisely in this context of collecting relevant data that the verification of the 'additional services proposed by Roma Multiservizi' fits, contextualized 'among the preparatory reconnaissance activities for the realization of the business plan that – from the consultant's perspective – should have concerned all the lots in the tender."</w:t>
        <w:br/>
        <w:t>138. Regarding CNS's failure to participate in lot 2 and the assignment of subcontracts to CNS consortium members for that lot, MFM emphasizes that the instrument of subcontracting is lawful under the regulations concerning public contracts, and that such assignments to consortium members were made after the award and concerned only three of the seven subcontracting contracts overall signed by MFM. Furthermore, the company states that such assignments responded to specific reasons of (i) economic order, because the applicable national collective labor agreement for the consortium cooperatives sets the cost of labor at a lower level compared to other categories of workers; (ii) managerial order, because MFM would have had to hire the workers who were already performing the service with the previous contractors, among whom were precisely the consortium members in question; (iii) social order, since MFM "had received specific requests (not from CNS, but) from the social cooperatives themselves, aimed at mitigating the negative impacts from an occupational point of view associated with the so-called change of contractor that would occur following the award of the lot by MFM. In particular, these requests were aimed at prioritizing, where possible, the cooperatives already engaged in the territory, also in order to avert a possible failure."</w:t>
        <w:br/>
        <w:t>On the agreement concerning lot 4 between CNS and RM</w:t>
        <w:br/>
        <w:t>139. With reference to the agreement concerning compensatory advantages stipulated between CNS and RM regarding lot 4, the parties argue that this contract should be considered "lawful in itself," "customarily negotiated whenever a competitor in a public procurement intends to assign, in case of award, part of the execution in subcontracting." In particular, this agreement is qualified by the parties as a "subcontract" or "preliminary subcontract." According to CNS, "the ability to resort to subcontracting represents an expression of entrepreneurial freedom and is perfectly legitimate in light of the regulations concerning public contracts." Hence, the Consortium continues, the choice of a company to opt for subcontracting within a tender instead of participating independently would not, in itself, constitute evidence of a collusive strategy.</w:t>
        <w:br/>
        <w:t>140. RM, in its final submissions, states that the legitimacy of the described agreement resided in the asserted "impossibility for RM to participate in the tender, independently, for lot 4, due to a lack of the turnover requirement in the cleaning sector." In particular, according to this reconstruction by the party, in light of a specific turnover required of 96,100,000 euros, "RM reached an amount of 72,952,921.00 euros." "Regarding this data, it is noted, for completeness" – continues the party – "that even considering the additional turnover for cleaning within the Global Service contract (approximately 10,000,000 euros), the requirement was not reached anyway." Furthermore, RM continues, "even participation in a RTI proved unfeasible." This is because, the company states:</w:t>
        <w:br/>
        <w:t>- RM does not manage contracts outside the province of Rome and its strategic and commercial interest was to continue providing the service for the properties in Rome included in lot 4;</w:t>
        <w:br/>
        <w:t>- the constraints of the tender's special law, which required competitors to participate in multiple lots always in the same form, would have prevented RM from participating in ATI for lot 4, preventing the formation of an associative group with MFM;</w:t>
        <w:br/>
        <w:t>- moreover, the simultaneous participation in the same tender, separately, of RM and its partner MFM would have exposed both companies, pursuant to Article 38, paragraph 1, letter m-quater, of the Public Contracts Code, to the risk of exclusion from the tender;</w:t>
        <w:br/>
        <w:t>- finally, RM states – without further substantiating the assertion – that "even the identification of other companies to participate in only lot 4 had been practically unfeasible."</w:t>
        <w:br/>
        <w:t>141. RM, therefore, concludes on this point stating that "such circumstances and provisions (regulatory and tender) have led to consider, given the strong interest in continuing to provide the service in the territorial area of Rome, the possibility of its execution in subcontracting instead of completely losing the chance to continue managing the service. It has emerged, in fact, that it was necessary for the company not to lose the assignment of the service, in light of the turnover developed in 2012." In this sense, RM declares that the stipulation of the agreement "with a historical partner, certainly interested [...] in the provision of the service for the properties included in lot 4, and one of the strongest players in the market appeared to be the best strategy, in light of the objective impossibilities encountered."</w:t>
        <w:br/>
        <w:t>142. Both CNS and MFM, in their final submissions, provided defenses similar to those offered by RM regarding the motivation underlying the stipulation of the agreement concerning lot 4. In this regard, CNS stated the following: "it is not true, therefore, that RM renounced participating in the tender in exchange for the subcontract. On the contrary, RM, once verified (before negotiating with CNS) that there were no conditions to participate alone or in ATI, negotiated with CNS and, as a result, concluded the preliminary subcontracting contract for the lawful purpose of not losing the previous turnover."</w:t>
      </w:r>
    </w:p>
    <w:p>
      <w:r>
        <w:rPr>
          <w:b/>
        </w:rPr>
        <w:t>[Pages 37–39]</w:t>
      </w:r>
    </w:p>
    <w:p>
      <w:r>
        <w:t>BULLETIN NO. 50 OF JANUARY 25, 2016 39</w:t>
        <w:br/>
        <w:t>143. In relation to the resolution of the Board of Directors of RM regarding the decision to participate in the tender and the various drafts of the agreement containing the explicit waiver of RM to take part in the public procurement procedure, MFM claims that this is a "initial misunderstanding regarding the economic and financial capacity of RM to participate." Specifically, the aforementioned resolution of the Board of Directors would have been adopted, according to MFM, "in good faith [...] without precise knowledge of the turnover requirements established by the tender notice."</w:t>
        <w:br/>
        <w:t>144. RM argues that the specific contractual provision regarding the waiver to participate in the tender "was intended to ensure the binding nature of the agreement and its effectiveness in the event of award."</w:t>
        <w:br/>
        <w:t>Conversely, CNS believes that such a provision contained in the described agreement constituted a "mere stylistic clause that is also unnecessary as it is repetitive of a prohibition already contained in the lex specialis of the tender."</w:t>
        <w:br/>
        <w:t>On the exchanges of information between the participants in the tender</w:t>
        <w:br/>
        <w:t>145. Regarding the documentary evidence attesting to the transmission to MFM of the agreement concluded between RM and CNS, MFM states that the draft contract received on August 30, 2012, from RM was forwarded exclusively for information purposes and that the company itself did not contribute in any way to the drafting or conclusion of the aforementioned agreement.</w:t>
        <w:br/>
        <w:t>As for the transmission of the latest draft of the agreement, sent again by RM to the legal representative of MFM, the latter company claims that "if the sender had truly intended to request the recipient's consent to sign it, they would certainly have used a more explicit formula, if only for reasons of courtesy towards such an important shareholder." Based on these considerations, MFM "deduces that, as in the case of the communication of August 30, 2012, it was merely a transmission made solely for information purposes. This exchange of information must therefore be read in light of the role of industrial partner held by MFM in the shareholding of RM, and certainly not as proof of a nonexistent involvement of MFM in the conclusion of the Subcontract Agreement."</w:t>
        <w:br/>
        <w:t>146. MFM asserts that the contested exchange of information with CNS through RM never took place. In particular, MFM claims to have never received a copy of the ATI 1 regulation through RM and reiterates that it independently chose the lots on which to submit an offer. In any case, MFM states, regarding the information flows exchanged with RM that "due to the corporate ties between MFM and RM, the sharing ex ante with MFM of information related to the tender procedures of interest to both companies is objectively justified, as well as fully legitimate."</w:t>
        <w:br/>
        <w:t>147. CNS, in this regard, argues that "in any case, even assuming for the sake of argument that MFM had become aware of the ATI 1 regulation and, therefore, of the lots of the Consip tender to which CNS intended to submit an offer — a circumstance that is untrue and in any case unproven — a careful chronology of events is itself capable of demonstrating that the information, at the moment it would have been known by MFM, was not in any way able to influence its tender strategy."</w:t>
        <w:br/>
        <w:t>148. Regarding the information flows between MFM and CNS, the latter states, in its final submissions, that "the only contact on record concerns exclusively the necessary verification regarding Manutencoop's intention to participate in the tender either independently or as the contractor of the works within the Consortium. But such contact can never be configured in anti-competitive terms, as it is inherent to the consortium model and to the consortium member's ability to participate independently."</w:t>
        <w:br/>
        <w:t>149. RM, denying having transmitted the ATI 1 regulation to MFM, presents the following argument: "in practice, it is one or the other: either the agreement consists of the sharing and division of the tender lots, and then the possibility for each of the two companies (MFM and CNS) to deduce from the negotiation of the agreement the participatory strategy of the other is of no relevance; or, if the indirect and presumptive knowledge of the strategy of the two competitors is qualified as sensitive and strategic data, this very evidentiary element proves the exact opposite of what the Directorate believes it wants to prove: the absence of any sharing and division regarding participation in the tender and the choice of lots."</w:t>
        <w:br/>
        <w:t>The arguments of Kuadra</w:t>
        <w:br/>
        <w:t>150. Kuadra, noting that the possible "superfluous" nature of a consortium is in no way linked to a possible abuse of the lawful instrument, highlights that it participated in the Consip tender in a consortium because this mode was in fact the only one that the tender rules allowed it to participate in, as well as being the most rational and prudent. Regarding the choice of CNS as a partner, it depended on the fact that it is a serious and established operator in the market, with which Kuadra already had partnership relations in the specific cleaning services sector.</w:t>
        <w:br/>
        <w:t>151. The participation in a consortium with CNS also aimed to satisfy a pre-existing credit of Kuadra, which had nothing to do with the alleged agreement subject to the proceedings. The partnership with CNS is, in fact, to be traced back to the settlement agreement concluded in 2009 by the Consortium with Esperia S.p.A., in which Kuadra took over following the transfer to it of the business branch of Esperia, which took place in 2010. Kuadra emphasizes the entirely lawful purposes of this settlement agreement and highlights that participation in the Consip tender in a consortium with CNS would substantiate the exercise of its own right.</w:t>
        <w:br/>
        <w:t>152. Kuadra also states that the definition of the tender strategy would have been decided independently by CNS as the lead contractor of the consortium, both in terms of the choice of lots and the content of the offers to be submitted. In this regard, Kuadra recalls its modest share of participation in the consortium as well as the fact that CNS, an entity already present in the market with incumbency positions in various educational institutions throughout the national territory, was the entity best positioned for defining the participation. Conversely, Kuadra did not hold in its portfolio contracts related to any "historical contract" in the sector and therefore had no market position to defend or protect.</w:t>
        <w:br/>
        <w:t>153. Kuadra further argues the full legitimacy and rationality of the subcontracts entrusted by it within its share of the consortium, which do not at all respond to collusive logics. In fact, Kuadra, not holding historical contracts, decided to resort to the legitimate institution of subcontracting within the limits of the law, in order to be able to organize the service even in new contexts. To identify the subcontracting companies, Kuadra decided on its own initiative to turn to CNS within the existing mandate relationship, as it certainly possessed a widespread territorial network and the technical characteristics required by the tender notice. In this regard, Kuadra highlights that resorting to subcontracting allowed it to avoid start-up costs, as well as direct and indirect personnel management costs. From CNS's perspective, having pointed out its own consortium members to Kuadra ensured the correct and timely fulfillment of the obligations undertaken by Kuadra towards the contracting authority, for which CNS would have been responsible pursuant to Article 37 of the Code of Contracts.</w:t>
        <w:br/>
        <w:t>154. In arguing its estrangement from the contested conduct, Kuadra notes that it, being entirely foreign to the world of cooperatives, would have had no role in the alleged "triangulations" contested against CNS, MFM, and RM. Moreover, there would be no evidence of relationships between Kuadra and MFM/RM in the records, nor of the fact that Kuadra was aware of the alleged agreement between CNS and Manutencoop. With reference, in particular, to the agreement between CNS and RM, Kuadra highlights that it became aware of it only in the terms indicated in the ATI regulation and was not aware of either the text of the agreement (which only bound the Consortium itself, within its share of the ATI) or its developments as described in the CRI.</w:t>
        <w:br/>
        <w:t>155. More generally, Kuadra contests that the acceptance of the ATI regulation can be equated — as done in the CRI — to a substantial adherence to the alleged anti-competitive agreement of which Kuadra was unaware. What is attributed to Kuadra in the CRI therefore represents a charge made "by attraction" in terms of objective liability, in evident violation of the principle of personality and subjectivity of administrative offenses, as per Articles 1, 3, and 7 of Law No. 689/81, since in administrative proceedings there can be no liability without awareness.</w:t>
        <w:br/>
        <w:t>156. Finally, Kuadra complains of unequal treatment compared to Exitone, against which no charges were made in the CRI, as the latter did not perform cleaning services but only management support. According to Kuadra, this reconstruction constitutes a contradiction in terms since, by express legal provision (Article 101 TFEU or Article 2 Law 287/90), the qualification in anti-competitive terms of a conduct does not depend on the main or accessory nature of the service performed, but on the existence of the subjective and objective elements of the offense, namely the intention to achieve an agreement and the suitability of the same to distort the competition. Therefore, even Exitone, like Kuadra, by signing the ATI regulation would have benefited from the effects of the alleged agreement, at least in proportion to its participation in the ATI itself.</w:t>
      </w:r>
    </w:p>
    <w:p>
      <w:r>
        <w:rPr>
          <w:b/>
        </w:rPr>
        <w:t>[Pages 40–42]</w:t>
      </w:r>
    </w:p>
    <w:p>
      <w:r>
        <w:t>42 BULLETIN NO. 50 OF JANUARY 25, 2016</w:t>
        <w:br/>
        <w:t>V. EVALUATIONS</w:t>
        <w:br/>
        <w:t>V.1 The relevant market</w:t>
        <w:br/>
        <w:t>157. According to established case law, the definition of the relevant market is essentially aimed at identifying the characteristics of the economic and legal context in which the agreement and/or the practice agreed upon between companies is situated. This definition is therefore functional to delineating the scope within which the agreement can restrict or distort the competitive mechanism and to deciphering its degree of offensiveness54.</w:t>
        <w:br/>
        <w:t>158. The economic scope affected by the conduct under examination is represented by the procurement procedure initiated by Consip S.p.A., on behalf of the Ministry of Economy and Finance, for cleaning services and other services aimed at maintaining the decorum and functionality of the properties of educational institutions of all levels and the training centers of the Public Administration. This procedure was announced by Consip on July 11, 2012, in the form of a community tender with an open procedure, divided into 13 lots, and the execution scope of the services coincides with the entire national territory.</w:t>
        <w:br/>
        <w:t>V.2 The anticompetitive agreement</w:t>
        <w:br/>
        <w:t>Qualification of the agreement</w:t>
        <w:br/>
        <w:t>159. Following the investigation, conduct aimed at coordinating the participation strategy in the tender was established, carried out by CNS, Manutencoop, Kuadra, and Roma Multiservizi, in order to influence its outcomes and, by eliminating the competitive confrontation among them, to redistribute the lots put out to tender.</w:t>
        <w:br/>
        <w:t>160. More specifically, from the investigative activity carried out, the existence of a coordinated practice emerged, attributable, on the one hand, to the presence of elements of objective verification – among which are exchanges of information in addition to a written agreement – that reveal the existence of an anomalous collaboration (exogenous elements) and, on the other hand, to the impossibility of explaining alternatively the parallel conduct observed as a plausible result of the entrepreneurial initiatives of the parties (endogenous elements).</w:t>
        <w:br/>
        <w:t>161. The documentary evidence on file does not allow for the conclusion that Exitone is part of the agreement. Regarding Kuadra's assertion that it would have suffered a disparity of treatment as its position would be entirely comparable to that of Exitone, it is noted that the latter operates in a different market from that in which the other companies involved in the proceedings are active and that, in any case, there is no evidence of the sharing of the collusive scheme established by Exitone. It should also be added that, according to consistent case law, the defect of disparity of treatment can only be configured in the face of entirely identical situations55.</w:t>
        <w:br/>
        <w:t>54 See, inter alia, Council of State ruling of March 1, 2012, no. 1192, Raw sulfur market; see also ruling of September 24, 2012, no. 5067, Acea - Suez Environment/Publiacqua.</w:t>
        <w:br/>
        <w:t>55 Council of State, May 20, 2011, no. 3013, I697 - Recycling of exhausted batteries.</w:t>
      </w:r>
    </w:p>
    <w:p>
      <w:r>
        <w:t>BULLETIN NO. 50 OF JANUARY 25, 2016 43</w:t>
        <w:br/>
        <w:t>Premise</w:t>
        <w:br/>
        <w:t>a) The overall evidentiary framework</w:t>
        <w:br/>
        <w:t>162. The object of the agreement was to condition the outcome of the tender, eliminating the mutual competitive confrontation, through the distorted use of the consortium instrument; this in order to guarantee CNS and MFM the maximum number of the most appealing lots, on the assumption that both would collectively benefit from the individually achieved results. In this regard, it must be noted that, despite its individual participation in the tender, MFM remains a company adhering to the Consortium, from whose results it inevitably benefits.</w:t>
        <w:br/>
        <w:t>163. More precisely, MFM and CNS, while formally competing independently, coordinated their respective participation methods in the tender pursuing the following shared objectives:</w:t>
        <w:br/>
        <w:t>a) protection of the portfolio of the main consortium member MFM;</w:t>
        <w:br/>
        <w:t>b) protection of CNS's positioning on lots 1, 4, and 10;</w:t>
        <w:br/>
        <w:t>c) protection of the portfolio of the company closely connected to MFM (RM), through the agreement for lot 4;</w:t>
        <w:br/>
        <w:t>d) protection of the portfolio of the CNS consortium members of greater significance after MFM (e.g., Coopservice, Copura, Copma, and Multiservice), also thanks to subcontracts granted by Kuadra;</w:t>
        <w:br/>
        <w:t>e) compensating a pre-existing debt of CNS to Kuadra, allowing the latter to participate in ATI 1 despite CNS alone having the requirements.</w:t>
        <w:br/>
        <w:t>In this context, the subcontracting instrument was used for anticompetitive purposes, also with the aim of achieving "compensatory refinements" aimed at rebalancing the positions of the parties.</w:t>
        <w:br/>
        <w:t>164. The lack of correspondence of the participation methods in the tender to autonomous entrepreneurial choices frustrated the proper unfolding of competitive dynamics, impacting the overall conduct and outcomes of the tender, proving suitable to alter its regular development as a whole.</w:t>
        <w:br/>
        <w:t>165. Thus, as the collusive conduct has been reconstructed overall, the defenses of the parties aimed at emphasizing the presence of additional competitors in the Consip tender and attributing to this element a decisive importance to exclude the significance of an anticompetitive agreement are irrelevant. In this regard, aside from the consideration that the contested conduct qualifies as anticompetitive by object, determining the irrelevance, for the purposes of the assessment of illegality, of the production of any restrictive effects, it is important to consider how the described defenses do not grasp the real essence of the contested practice. Indeed, what has been contested and established is an agreement whereby the parties, including the two largest players in the market CNS and MFM, with specific revenues far exceeding those of other operators in the sector, eliminated the risk of mutual competitive confrontation, thus conditioning the conduct of the tender; moreover, this agreement has also been fully realized.</w:t>
        <w:br/>
        <w:t>166. The elimination of competition among the parties, precisely because of their prominent position in the market, was sufficient to neutralize the uncertainty about the results. In other words, the agreement was capable of eliminating the dangers of competition, as once CNS and MFM sheltered themselves from mutual competitive pressure, the other market operators did not constitute a significant competitive constraint for them, so much so that, despite having submitted aggressive economic offers, they never managed to win the lots of interest to CNS and MFM. Further confirmation that the coordination with MFM eliminated the major risks of competition is that CNS was able to precisely identify the lots it would win even before the outcome of the tender (see doc. I.37.4.53).</w:t>
        <w:br/>
        <w:t>167. It should also be noted that, although the parties envisioned the lots of greatest interest to be redistributed, they remained open to alternative solutions until the submission of offers, in order to carve out sufficient margins of operational flexibility, thus protecting themselves in case the negotiated anticompetitive agreement did not come to fruition – partially or totally – or was not implemented, given the short time frame between the publication of the notice and the deadline for submitting offers.</w:t>
        <w:br/>
        <w:t>168. The irrational choices in the participation strategy of the parties can only be explained as functional to the collusive scheme aimed at protecting the positioning of the Consortium and its most significant consortium member. This particularly applies to: a) the lack of overlap on objectively appealing lots for both CNS and MFM; b) the failure to comply with the pre-assignment procedure that CNS itself had established with a specific regulation56; c) the unreasonable transfer of the portfolio of certain consortium members to regions different from those of their establishment; d) the failure to protect the historical portfolio of other consortium members.</w:t>
        <w:br/>
        <w:t>169. As will be seen in the following, in light of the collected evidentiary framework and the anomalous and intrinsically unreasonable choices found, the parties have responded by artificially fragmenting the evidence on file, attempting to demonstrate the alleged legitimacy of each piece of the agreement atomistically considered. This defensive exercise of fragmentation does not provide a different and plausible explanation of the conduct overall considered. And, in any case, in the continuation of the provision, it will be demonstrated how the defenses of the parties are unfounded even when attempting to adhere to the inadmissible fragmented approach they adopted.</w:t>
        <w:br/>
        <w:t>170. As already highlighted in the factual part, ATI 1 (which included CNS and Kuadra) and Manutencoop won a total of 8 of the 13 lots put out to tender, each winning 4; however, due to the tender rules (which limited the maximum number of lots that could be awarded to 3), both ATI 1 and Manutencoop had to cede the lot of lesser value to the next competitor in the ranking. Therefore, CNS and Kuadra secured lots 1 (Valle D’Aosta, Piedmont, and Liguria), 4 (Sardinia and Lazio), 5 (Lazio), 10 (Umbria, Marche, Abruzzo, and Molise) and renounced lot no. 5; Manutencoop won lots 2 (Emilia Romagna), 3 (Tuscany), 8 (Lombardy and Trentino), 9 (Friuli Venezia Giulia and Veneto) and renounced lot no. 3 (Tuscany).</w:t>
        <w:br/>
        <w:t>56 See factual part.</w:t>
      </w:r>
    </w:p>
    <w:p>
      <w:r>
        <w:rPr>
          <w:b/>
        </w:rPr>
        <w:t>[Pages 43–45]</w:t>
      </w:r>
    </w:p>
    <w:p>
      <w:r>
        <w:t>BULLETIN NO. 50 OF JANUARY 25, 2016 45</w:t>
        <w:br/>
        <w:t>Table no. 3</w:t>
        <w:br/>
        <w:t>Participation ATI 1 Participation MFM</w:t>
        <w:br/>
        <w:t>Number of others</w:t>
        <w:br/>
        <w:t>Lot Regions and value discount offer Discount offer participants Winner</w:t>
        <w:br/>
        <w:t>offered technical offered technical</w:t>
        <w:br/>
        <w:t>Valle d’Aosta,</w:t>
        <w:br/>
        <w:t>1 Piedmont and</w:t>
        <w:br/>
        <w:t>42.88% 60.00% _ 2 ATI 1</w:t>
        <w:br/>
        <w:t>Liguria - 110.6</w:t>
        <w:br/>
        <w:t>million</w:t>
        <w:br/>
        <w:t>Emilia Romagna -</w:t>
        <w:br/>
        <w:t>2 _ 48.81% 57.5250% 4 Manutencoop</w:t>
        <w:br/>
        <w:t>95.2 million</w:t>
        <w:br/>
        <w:t>Tuscany - 83.8</w:t>
        <w:br/>
        <w:t>3 39.71% 58.9270% 48.81% 55.4420% 9 Manutencoop*</w:t>
        <w:br/>
        <w:t>million</w:t>
        <w:br/>
        <w:t>Sardinia and Lazio</w:t>
        <w:br/>
        <w:t>4 46.06% 60.00% _ 1 ATI 1</w:t>
        <w:br/>
        <w:t>- 192.2 million</w:t>
        <w:br/>
        <w:t>5 Lazio - 95.1 million 46.06% 60.00% _ 2 ATI 1**</w:t>
        <w:br/>
        <w:t>Lombardy and</w:t>
        <w:br/>
        <w:t>8 Trentino - 105 _ 48.81% 57.18% 7 Manutencoop</w:t>
        <w:br/>
        <w:t>million</w:t>
        <w:br/>
        <w:t>Friuli Venezia</w:t>
        <w:br/>
        <w:t>9 Giulia and Veneto 39.71% 59.0750% 48.81% 55.6260% 8 Manutencoop</w:t>
        <w:br/>
        <w:t>93.8 million</w:t>
        <w:br/>
        <w:t>Umbria, Marche,</w:t>
        <w:br/>
        <w:t>10 Abruzzo and Molise 43.52% 59.6830% _ 3 ATI 1</w:t>
        <w:br/>
        <w:t>- 112.5 million</w:t>
        <w:br/>
        <w:t>*The participant who achieved the highest overall score was Manutencoop, which however reached the maximum number of lots that could be awarded. **The participant who achieved the highest overall score was ATI 1, which however reached the maximum number of lots that could be awarded.</w:t>
        <w:br/>
        <w:t>171. With respect to the aforementioned 8 lots, it should be noted that in 6 of them there is no overlap between CNS and Manutencoop, in the sense that where one presented, the other waived making its offer. In the only 2 lots (namely lots 3 and 9) where there was overlap, the non-awarded party (ATI 1 in both cases) adopted a decidedly less aggressive conduct compared to that which characterized its participation in the tender for the other lots.</w:t>
        <w:br/>
        <w:t>172. In the context of the collusive scheme under examination, it should also be noted that neither of the two participants submitted offers for the remaining 5 lots, which correspond to the regions of Southern Italy, despite the fact that it appears from the records that, at least for some of these Regions, companies consorted with CNS had expressed their interest in participating. In this regard, representatives of CNS stated that the choice not to participate in the southern areas, although there were numerous "portfolio" consortia in that area, was due to the high presence of former LSU workers, which created a disparity between the contractable value and the historical value of the lots (the former covered up to half of the latter). However, this argument does not reconcile well with the fact that in Emilia Romagna, a region of historical operation for the Consortium, CNS did not submit an offer.</w:t>
        <w:br/>
        <w:t>46 BULLETIN NO. 50 OF JANUARY 25, 2016</w:t>
        <w:br/>
        <w:t>173. Indeed, CNS's choice not to submit an offer for lot no. 2 – Emilia Romagna appears clearly unreasonable from an economic/business perspective, finding such conduct plausible foundation only on a collusive coordination aimed at eliminating competitive comparison on that lot with MFM to facilitate the latter in winning the lot itself. Emilia Romagna is, as highlighted in the factual part, a historical and strategic region of operation for CNS, moreover devoid of LSU to be re-employed. In 2012, this region was the first for turnover of portfolios intermediated by the Consortium and second for turnover from "historical contracts."</w:t>
        <w:br/>
        <w:t>174. Furthermore, to protect the other significant consortia (in addition to MFM which competed separately) holding historical contracts in Emilia Romagna, CNS had to proceed with artificial reallocations of such portfolios to other regions where it submitted offers. In this regard, as will be better specified, the defense provided by CNS according to which it would have been the same portfolio consortia requesting to operate outside their main region of choice because in that territory they had already won, through the Consortium, the Intercent.er contract, does not appear plausible. It is worth recalling at this point that Manutencoop itself, which had won the Intercent.er contract through CNS like the other Emilia consortia, nevertheless decided to participate for lot 2 of the Consip tender.</w:t>
        <w:br/>
        <w:t>175. The evidentiary framework regarding the collusive agreement concerning lot no. 2 is enriched by the evidence of the subcontracts that MFM, once it won the lot shielded from CNS competition, granted to some consorted cooperatives that the consortium was unable to reallocate elsewhere. In this regard, the defenses of the parties aimed at asserting that such subcontracts are of too small an amount to constitute the overall counterparty from MFM in favor of CNS as compensation for the latter's non-participation in the tender are irrelevant. In reality, the counterparty obtained by CNS can only be grasped in the broader dimension of the elimination of mutual competition established with MFM on the lots overall awarded in the terms already described. In this overall framework, the aforementioned subcontracts evidently fulfilled the function of a balance between the parties. In any case, while it is true that the subcontracts of lot 2 destined for CNS consortia constitute only three of the seven sub-awards attributed by MFM on the lot in question, it must in any case be highlighted that they represent the most significant in terms of amount.</w:t>
        <w:br/>
        <w:t>176. The explanations provided by CNS regarding the choice not to submit an offer for the lot including Lombardy (lot 8) - absence of consortia with particularly significant historical portfolios - also appear contradictory if, for example, the historical positions of the consortia in that lot are compared with those relating to lot 3 (including Tuscany) in which ATI 1 did, however, submit an offer. In particular, it is noteworthy that with the same number of former LSU workers in the two regions, two CNS consortia with historical portfolios operated in Lombardy, while in Tuscany CNS had no portfolio consortia. This is exemplary as it attests how the choices of the lots in which to participate were entirely independent of the criteria to which CNS itself referred to shape its tender strategy (protection of the consortium portfolio, value of the lots, presence or absence of former LSU). In light of this, the argument aimed at leveraging the alleged small value of the historical portfolio of the consortia operating in Lombardy is therefore of no merit. In other words, the unreasonableness of not having submitted an offer for lot 8 should not be appreciated in itself, disconnected, that is, from the overall context; it emerges, in fact, when compared with the other tender choices made by CNS.</w:t>
        <w:br/>
        <w:t>177. As for the overlap between CNS and MFM on lots 3 and 9, it is consistent with the established collusive framework, since CNS did not intend to actually compete for the aforementioned lots (which were then won by MFM). This is unequivocally evident from the cited doc. I.37.4.53, from which it is learned that the Consortium, at a time prior to the award, precisely identifies the lots that it would then actually win, expressing full satisfaction with the projected result, which, emblematically, does not take into account lots 3 and 9 at all. Therefore, it must be considered that the aforementioned overlap was functional to the collusion, as it was not only suitable for simulating a competitive comparison between the parties but also affected the average discount level and, in light of the scoring assignment mechanism, mitigated the discriminating potential of competitive economic offers. It cannot be underestimated that these lots are precisely those in which the lowest average discounts are recorded (with one exception) and, in particular, lower than the other 2 lots in which MFM submitted offers.</w:t>
        <w:br/>
        <w:t>178. In this regard, the defense of the parties according to which, for these lots, not only the economic offer of CNS should be considered but also the technical one, which was, due to the score assigned to it by the Tender Commission, the best offer in each of the two referenced lots, does not hit the mark either. In fact, the score assigned to the technical offer presented by CNS for these two lots was substantially similar (indeed slightly lower) to the scores obtained by the Consortium for the technical offers presented in the other lots which, it should be noted, were always higher than those assigned to all other participants. This highlights that the organizational structure and the Consortium's years of experience - not by chance the market leader - easily allowed it to formulate technical offers of considerable level indiscriminately across all lots in which it participated. The also high level of technical offers from MFM, always slightly lower than those of CNS and significantly better than those of other competitors, was nonetheless such as not to jeopardize the award to MFM itself, given the significant difference found in the levels of economic offers.</w:t>
        <w:br/>
        <w:t>179. In the partitioning scheme that sees CNS and MFM as the main players, RM and Kuadra also played a significant collusive role.</w:t>
        <w:br/>
        <w:t>180. In particular, with specific regard to lot no. 4, Roma Multiservizi, a company significantly participated by Manutencoop, concluded with CNS, close to the tender, a compensatory agreement, under which in exchange for Roma Multiservizi's commitment not to participate in the tender, CNS committed to ensuring that said company received subcontracts for an amount corresponding to its "portfolio" contracts.</w:t>
      </w:r>
    </w:p>
    <w:p>
      <w:r>
        <w:rPr>
          <w:b/>
        </w:rPr>
        <w:t>[Pages 46–48]</w:t>
      </w:r>
    </w:p>
    <w:p>
      <w:r>
        <w:t>48 BULLETIN NO. 50 OF JANUARY 25, 2016</w:t>
        <w:br/>
        <w:t>181. In this regard, and as will be elaborated below, the defensive arguments put forward by the parties appear irrelevant. In particular, the agreement between CNS and RM regarding lot 4 is found to be unlawful and anti-competitive due to its very content, having as its object RM's waiver to participate in the tender in exchange for compensatory advantages provided by the counterparty. In this sense, the characterizations by the parties that qualify this agreement in terms of subcontracting contract or preliminary subcontracting are of no value.</w:t>
      </w:r>
    </w:p>
    <w:p>
      <w:r>
        <w:t>Indeed, the described agreement is distinct from subsequent subcontracting contracts – which merely constitute implementing moments of the agreement itself – both from a subjective perspective (because it was entered into directly by CNS in an individual capacity and not on behalf of the winning ATI) and from an objective perspective (having a clearly compensatory content between RM's waiver to participate in the tender and the awarding of subcontracts related to lot 4).</w:t>
      </w:r>
    </w:p>
    <w:p>
      <w:r>
        <w:t>182. The defenses of the parties aimed at relating the legitimacy of the aforementioned agreement to the alleged absence of turnover requirements for RM to participate in the tender are also unconvincing. Such arguments, in fact, presented ex post during the hearings with the Offices and in the final submissions, are contradicted by documentary evidence and statements obtained during the inspection, from which it emerges that the management body of RM had resolved, already on August 2, 2012, to participate in the tender believing it met the requirements.</w:t>
      </w:r>
    </w:p>
    <w:p>
      <w:r>
        <w:t>Nor is the factual circumstance of the lack of turnover requirements highlighted in the various drafts of the agreement, which instead always explicitly state RM's intention to waive participation in the tender in exchange for CNS's commitment to grant it subcontracts related to lot 4. In particular, in the final draft of the agreement, within the paragraph titled "waiver," it is stated that RM "does not consider it appropriate to participate as a bidder" in the Consip procedure, thus implicitly declaring its capacity to participate.</w:t>
      </w:r>
    </w:p>
    <w:p>
      <w:r>
        <w:t>Moreover, it is worth noting that even in the absence of individual participation requirements, RM could have submitted an offer in a business grouping, or by using suitable regulatory instruments (for example, the use of subcontracting). That the decision to enter into the agreement in question with CNS was not an obligatory choice but rather a decision made after considering other options to protect its portfolio is also inferred from the evaluations made within the company close to the conclusion of the agreement (in an internal email dated August 29, 2012, it is indeed stated, "we will be subcontractors," "I hope that this decision, which seems the most convenient, will at least lead us to obtain the same share of revenues").</w:t>
      </w:r>
    </w:p>
    <w:p>
      <w:r>
        <w:t>Hence the necessity for the parties to enter into the anti-competitive agreement in acts that expressly provided for RM's commitment not to participate in the tender, substituting a collaborative practice for the risks of competitive confrontation.</w:t>
      </w:r>
    </w:p>
    <w:p>
      <w:r>
        <w:t>183. From a general perspective, it must be emphasized that RM's waiver to compete for lot 4 fits into a broader collusive framework, considering that this company is part of MFM and, therefore, that, given the ties between the two companies, the waiver of the first inevitably implied the waiver to participate of the second, in compliance with the plan for the distribution of lots between CNS and MFM.</w:t>
      </w:r>
    </w:p>
    <w:p>
      <w:r>
        <w:t>184. Furthermore, Roma Multiservizi played a crucial role as a vehicle for sensitive information between CNS and Kuadra, on one side, and Manutencoop, on the other. In particular, the evidence on record indicates close relationships between RM and MFM, uncontested by the parties, such as to make inevitable the flow of information regarding participation in tenders and related strategies. In light of such relationships, the Parties assert that RM and MFM were necessarily required to coordinate to avoid incurring the exclusion causes provided for by sector regulations (Article 38 of Legislative Decree No. 163/2006, the so-called "Public Contracts Code") and that, in any case, the exchanges of information that took place can be explained in light of the role of industrial partner held by MFM.</w:t>
      </w:r>
    </w:p>
    <w:p>
      <w:r>
        <w:t>In this regard, even disregarding an assessment of the legitimacy or otherwise of the exchanges of information that occurred between MFM and RM, it remains a fact that the information flows between them allowed and facilitated certain crucial junctions of the agreement with CNS. This is also for the purpose of monitoring mutual compliance with the distribution plan proposed between the two players CNS and MFM (for example, the agreement for lot 4 served, among other things, to make MFM and CNS mutually aware of their respective determinations regarding that lot).</w:t>
      </w:r>
    </w:p>
    <w:p>
      <w:r>
        <w:t>185. As for Kuadra, it is noted that this company participated in ATI 1 as compensation for a previous credit claimed against CNS (pursuant to the aforementioned private deed of October 9, 2012), despite the Consortium already holding the participation requirements, and shared CNS's tender strategy (in particular, regarding the agreement with RM).</w:t>
      </w:r>
    </w:p>
    <w:p>
      <w:r>
        <w:t>In this way, Kuadra was able to carve out a market share without exposing itself to the risks of competitive confrontation, while simultaneously agreeing to grant subcontracts to consortium members to whom CNS intended to guarantee the maintenance of the portfolio.</w:t>
      </w:r>
    </w:p>
    <w:p>
      <w:r>
        <w:t>186. The agreement in question has been fully implemented. As a result of it, CNS and Manutencoop were able to win, shielded from mutual competition, a number of lots equal to double those that could have been guaranteed if Manutencoop had participated as a consortium member (given the limit of 3 lots that can be awarded as provided by the special law), thus protecting their respective customer portfolios. Roma Multiservizi (through the conclusion of the aforementioned agreement for lot 4) also achieved the objective of keeping its portfolio virtually unchanged. Kuadra (agreeing to participate in an unnecessary ATI with CNS under the conditions imposed by it) was able to carve out a market share without exposing itself to the risks associated with participation in the tender inspired by principles of competitiveness.</w:t>
      </w:r>
    </w:p>
    <w:p>
      <w:r>
        <w:t xml:space="preserve">b) The implausibility of the alternative explanations provided by the parties </w:t>
        <w:br/>
        <w:t>187. In light of the articulated evidentiary framework referred to, the parties, as mentioned, contest the suitability of the evidence collected to support the charges against them, by weighing the individual elements of proof in a piecemeal manner.</w:t>
      </w:r>
    </w:p>
    <w:p>
      <w:r>
        <w:t>Some parties also complain that the Authority did not fulfill the necessary burden of proof to contest restrictive agreements of competition carried out in the form of a coordinated practice. In particular, it is asserted that the investigating Offices would not have been able to demonstrate the intrinsic strangeness of the behaviors in question, stating that, for the purposes of a different presentation of the same, it would be sufficient for the parties to demonstrate "plausible circumstances that shed a different light on the facts established by the Authority" (thus MFM in the final hearing).</w:t>
      </w:r>
    </w:p>
    <w:p>
      <w:r>
        <w:t>188. In this regard, it should be preliminarily noted that the ascertainment of the agreement in question is not based on the simple observation of a parallelism of behaviors, but is founded on exogenous as well as endogenous elements of proof. According to administrative jurisprudence, in the presence of evidence attributable to this dual type of proof, in order to overcome the test of the alternative legitimate explanation, the parties are required to provide an "objective economic or legal justification" of the examined behaviors and the contacts between them and not merely to "shed a different light" on the established facts.</w:t>
      </w:r>
    </w:p>
    <w:p>
      <w:r>
        <w:t>For an alternative explanation of certain business behaviors to be objectively convincing, it must be logical and non-contradictory, and cannot be the result of a reconstruction made ex post with respect to the events that occurred.</w:t>
      </w:r>
    </w:p>
    <w:p>
      <w:r>
        <w:t>189. In the present case, the alternative explanations provided by the parties were presented following the initiation of the procedure, often modified during the investigation, and, in any case, are not compatible with what emerges from the documentation on record chronologically placed within the time frame between the publication of the tender notice and the deadline for the submission of the offer. In this regard, it is worth recalling the established community jurisprudence according to which "in evaluating the evidential value of documentary evidence, great importance must be attributed to the fact that a document was drawn up in immediate conjunction with the facts."</w:t>
      </w:r>
    </w:p>
    <w:p>
      <w:r>
        <w:t>190. This applies to the justifications put forward by CNS that refer to a dynamic that is entirely inconsistent with the rules that the Consortium itself has set for itself and that, moreover, often do not reconcile with the exceptions to such rules that, according to CNS, would have informed the pre-assignment process of the consortium members in the Consip tender. Disregarding, within the present procedure, any merit assessment on such rules, it is particularly worth recalling the failure to reconfirm numerous portfolio consortium members, despite the main provision governing consortium activities, as well as the fact that the alleged convenience, in the context of the tender in question, of transferring the portfolio out of region of the Emilian consortium members was not deemed such by the most significant consortium member (MFM). Furthermore, it is noteworthy that CNS granted an important subcontract to a non-consortium company (RM).</w:t>
      </w:r>
    </w:p>
    <w:p>
      <w:r>
        <w:t>191. Moreover, even if one were to hypothesize the compatibility of such behaviors with normal market conditions, it would still be anomalous that there is no documentary evidence of such significant deviations from consortium practice and that, indeed, the scant evidence on the point goes in the opposite direction. In fact, of the 19 pre-assigned consortium members, only for two of them is there available documentary evidence of the pre-assignment request; in addition, the total number of pre-assignment requests received by CNS in relation to the tender in question is 6, of which, as mentioned, only 2 were accepted compared to a total number of pre-assigned consortium members equal to 19. Now, if the reasonableness of an alternative explanation to the anti-competitive coordinated practice established by the Authority does not necessarily have to find support in documentary sources, it seems at least singular, also by virtue of the principle of proximity to the source of evidence, that there is no trace in the records of the internal evaluative process within the Consortium that led to such complex and strategic decisions for CNS.</w:t>
      </w:r>
    </w:p>
    <w:p>
      <w:r>
        <w:rPr>
          <w:b/>
        </w:rPr>
        <w:t>[Pages 49–51]</w:t>
      </w:r>
    </w:p>
    <w:p>
      <w:r>
        <w:t>BULLETIN NO. 50 OF JANUARY 25, 2016 51</w:t>
        <w:br/>
        <w:t>procedure. In other words, it is implausible that the Consortium does not have a single document from which, for example, the analysis of the strategy that would have been adopted for the Consip tender emerges, which, being different from the usual practice followed, would reasonably have required, from an entity that groups a significant number of companies, careful reflections from various perspectives and, above all, shared with the member companies. In this regard, the fact that on July 18, 2012, the CNS had already decided on the member companies to indicate for the tender, demonstrates beyond any doubt how such choices were made without taking into account the viewpoint of the associates (see doc. I.30.24.72).</w:t>
        <w:br/>
        <w:t>It is also noteworthy that there is a lack of evidence in the records regarding studies conducted by the CNS to assess the alleged economic convenience of transferring the portfolio of a significant number of member companies from one territory to another and, once again, the absence of documents that certify that such evaluations were shared (or, better, according to what was reported by the CNS, even solicited) by the interested member companies.</w:t>
        <w:br/>
        <w:t>192. Similar considerations apply to the reconstruction of the facts offered by MFM, which claims to have made the choice of the lots in which to submit an offer in full autonomy and at a time prior to the negotiations related to the agreement for lot 4. To this end, in the final memorandum, MFM produced a document61 from which it would emerge that already on July 2, 2012, the company would have made such a choice. However, from the documentation on record, it appears that as late as August 1, 2012, MFM was discussing with a consulting company the steps to be taken for the latter to acquire the necessary information to conduct a study on the attractiveness of all the lots put out to tender (doc. II.93.6.23). It is evident that it cannot respond to any criterion of economic rationality for a company to commission a paid study, moreover of a very broad scope (the 13 lots), to an external consultant if every choice regarding the issues that such a study would have to examine had already been made.</w:t>
        <w:br/>
        <w:t>193. Furthermore, the seemingly appealing argument put forth by MFM, according to which the main – if not exclusive – criterion it followed in choosing the lots to participate in would have been to exclude the territories where a high number of former LSU workers operated, while plausible in itself, takes on an unreasonable character if excessively emphasized.</w:t>
        <w:br/>
        <w:t>According to what MFM stated in the final hearing, the presence of former LSU workers would have been incompatible with “an efficient provision of the service, in terms of its economic sustainability.” Now, while it is a fact that the four lots awarded to MFM are indeed those in which there is a lower number of former LSU workers, the assertion that managing a number, sometimes even limited (consider lot 1, which had only 62), of former LSU workers would be absolutely uneconomical cannot be accepted; unless one believes that a significant number of other market operators act according to uneconomical logic, given that other companies competed for those territories, some of which were awarded the lots that include them and are providing services in those areas. Moreover, it should be noted that, precisely in the lots that had the highest number of former LSU workers, the average discounts offered were significantly higher than those proposed by MFM in the lots it won, further demonstrating that the service was absolutely sustainable from an economic point of view even in those territories.</w:t>
        <w:br/>
        <w:t>It is also worth recalling, in addition to the presence of offers from other operators for the lots in the central-southern regions, where the number of former LSU workers is very high, the existence on the part of MFM itself – and the company connected to it (RM) – of contracts in which workers of this type are employed.</w:t>
        <w:br/>
        <w:t>It should be added that, even if one were to accept the premise that the criterion of the presence or absence of former LSU workers was the only one used in the choices related to participation in the tender (even if for only one of the participating companies), once again, the reason – and the economic rationality – for commissioning a study to an external consultant to examine the profitability of all the lots put out to tender is not evident.</w:t>
        <w:br/>
        <w:t>194. MFM also argued that the autonomy that would have guided its conduct during the tender could be inferred from the use of simulators for formulating the submitted offers, as well as from the fact that it proposed discount levels incompatible with a collusive logic. This argument is evidently irrelevant since, as seen, the award of the Consip tender would not have automatically granted a right to perform the services put out to tender, given that following the completion of the procedure, the awardees would have had to identify the schools to be contracted. In other words, it was in MFM's (and all parties') interest to propose offers that would subsequently be deemed suitable to make the services appealing to the schools to which the contracting would be proposed.</w:t>
        <w:br/>
        <w:t>Moreover, regarding the level of discounts, in almost all the lots where the parties did not submit an offer, the average discount levels turned out to be similar or far superior to those of MFM (as well as of CNS).</w:t>
        <w:br/>
        <w:t>195. Furthermore, the reconstruction of the facts presented by RM does not appear credible. This company, until the start of the investigation – specifically, still during the inspection checks, thus after the tender had already been completed – believed it had the requirements to participate in the tender individually for at least two lots; subsequently, during the proceedings, the company's legal consultants reported that RM did not possess the requirements even to participate in lot 4 alone and that this circumstance, which was already known to the company before the tender, was the basis for the decision to conclude the agreement with the CNS for that lot. According to this reconstruction, therefore, RM would have signed an agreement in which its literal commitment not to participate in the tender should not be interpreted literally, but should – to put it in CNS's words – be interpreted as a “style clause.”</w:t>
        <w:br/>
        <w:t>It is undeniable that RM has ex post prepared this argument in an attempt to provide a logical and lawful explanation for its tender conduct, which, however, besides being inadequate to affect the unequivocally illegitimate nature of the agreement, is also contradicted by the documentation on record (in this regard, reference is again made to the inspection report, the minutes of the RM Board of Directors in which participation in the tender is resolved, the internal email of August 29, 201262, as well as the various drafts of the agreement concluded with the CNS).</w:t>
        <w:br/>
        <w:t>196. As for Kuadra, its admission to be part of ATI 1, together with the CNS, cannot be justified except in light of the compensatory perspective described above. Given that the CNS possessed the requirements to participate individually in the tender, its choice, in clear contradiction with consortium logic, to compete together with Kuadra rather than reserving the executive share assigned within the ATI to the member companies indicated in the offer (thus renouncing to protect part of the consortium portfolio), can only be explained if one considers the existence of a pre-existing credit that Kuadra had against the Consortium, of which there is ample documentary evidence on record.</w:t>
        <w:br/>
        <w:t>Moreover, both parties were unable to provide explanations that were not mere dogmatic assertions when they attempted to argue for the inherent convenience of such an alliance for the CNS.</w:t>
        <w:br/>
        <w:t>197. Finally, it must be noted that although the economic rationality of a company's behavior must be assessed with regard to the specific situation of the company that implements it, the “objective plausibility” of the alternative explanation provided by the parties appears to waver at least when subjects operating in the same market and with reference to the same tender make diametrically opposed evaluations, at least regarding general issues.</w:t>
        <w:br/>
        <w:t>In this regard, the assertion by the CNS that it would be inevitable to present differentiated economic offers for different lots, against identical economic offers presented by MFM (which, moreover, had also availed itself of the services of a consultant to formulate its offers); the argument of the absolute non-profitability of the lots in which former LSU workers were present represented by MFM, against the participation in some of those lots of the CNS, RM, as well as other operators; the interest of CNS to participate for lot 4, granting an important subcontract to RM, against the alleged disinterest for that territory on the part of RM's industrial partner; the necessity represented as unavoidable by RM to continue providing the service in the schools already served, and in general the importance attributed to territoriality by both CNS and MFM (see doc. IV.230), against the assertions of Kuadra that, in the Consip tender, it was entirely irrelevant to participate for one lot rather than another.</w:t>
        <w:br/>
        <w:t>The representation of such different, if not irreconcilable, entrepreneurial visions and approaches thus contributes to confirming that the reconstruction of the respective conducts and the reasoning proposed by the parties do not pass the test of a lawful alternative explanation.</w:t>
        <w:br/>
        <w:t>198. That the parties' accounts constitute artificial reconstructions, made ex post, is finally supported, on a formal level, by the circumstance that even the mere factual representation provided by one party contradicts what was reported regarding the same fact by other parties. For example, consider the phone call that the CNS claims occurred with MFM close to the tender to ascertain its interest in participating under the consortium umbrella, the existence of which was denied by MFM. Furthermore, see the different representations that CNS and MFM have given of the process followed in the consortium for the purposes of “pre-assignment,” specifically the alleged indispensable nature of a formal request in this sense from the member company, referred to by MFM and denied by the Consortium (see doc. IV.230).</w:t>
        <w:br/>
        <w:t>199. In conclusion, the alternative explanations provided by the parties, for all the reasons above, lack, both substantively and formally, the requirement of objective plausibility required by administrative jurisprudence and, therefore, are not suitable to challenge the illicit agreed practice.</w:t>
      </w:r>
    </w:p>
    <w:p>
      <w:r>
        <w:rPr>
          <w:b/>
        </w:rPr>
        <w:t>[Pages 52–54]</w:t>
      </w:r>
    </w:p>
    <w:p>
      <w:r>
        <w:t>54 BULLETIN NO. 50 OF JANUARY 25, 2016</w:t>
        <w:br/>
        <w:t>c) The standard of proof and the presumption of innocence</w:t>
        <w:br/>
        <w:t>200. MFM invokes community jurisprudence and the provisions of the European Convention on Human Rights (the "ECHR") and the Charter of Fundamental Rights of the European Union to argue the failure to demonstrate the existence of the infringement beyond a reasonable doubt in compliance with the principle of the presumption of innocence, also considering the substantially penal nature of the sanctions imposed by the Authority. Such observations miss the mark.</w:t>
        <w:br/>
        <w:t>201. In fact, the assessment of the agreement in question has been conducted in accordance with the evidentiary standards required by relevant community jurisprudence. This emerges from the complete reading of the same rulings that the party has partially cited in its defense. See, for example, the judgments of the EU Court in case T-558/08 (Eni S.p.A.) and joined cases T-147/09 – T-148/09 (Trelleborg Industrie SAS). These rulings, after stating that the existence of a doubt in the mind of the judge must benefit the undertaking subject to the decision and that the Commission must indicate precise and consistent evidence to demonstrate the existence of the infringement, temper and better specify the aforementioned principle in the following terms: “however, it should be emphasized that not all the evidence produced by the Commission must necessarily meet such criteria for every element of the infringement. It is sufficient that the series of indications invoked by the institution, considered as a whole, meets this requirement.”</w:t>
        <w:br/>
        <w:t>202. Furthermore, still in the same judgments, the evidentiary standard required for antitrust assessments in respect of the principle of the presumption of innocence is more specifically articulated as follows: “since both the prohibition of participating in anti-competitive practices and agreements and the sanctions that may be imposed on offenders are well known, such activities typically occur clandestinely, meetings are secret, and the documentation related to them is minimized. Therefore, the Commission cannot be required to produce documents explicitly attesting to a contact between the operators concerned. Even if the Commission discovers such documents, they will generally be only fragmentary and sporadic, so that it often becomes necessary to reconstruct certain details through deductions. The existence of an anti-competitive practice or agreement can therefore be inferred from a certain number of coincidences and indications which, considered as a whole, may constitute, in the absence of another coherent explanation, proof of a violation of competition rules.” The national administrative judge has expressed a similar view regarding the burden of proof resting on the Authority.</w:t>
        <w:br/>
        <w:t>203. It follows that, as highlighted in the relevant sections of this provision, the agreement in question, in the form of a concerted practice, has been established in compliance with the principle of the presumption of innocence and the overcoming of any reasonable doubt according to the evidentiary standards required by the community and national jurisprudential interpretation regarding antitrust infringements.</w:t>
      </w:r>
    </w:p>
    <w:p>
      <w:r>
        <w:t>BULLETIN NO. 50 OF JANUARY 25, 2016 55</w:t>
        <w:br/>
        <w:t>The context: the objective of maintaining historically held market positions</w:t>
        <w:br/>
        <w:t>204. The agreement in question fits into a context of limited competitive confrontation among operators in the sector and represents its culmination. Regarding the description of this context represented within the CRI, the parties (in particular, the CNS) have dedicated a significant part of their defense writings to asserting the evidentiary irrelevance of the documents reported below. In this regard, it is important to clarify that these documents are reported solely to describe the context of collaboration among competitors and the maintenance of held positions in which the agreement is situated (as emerges from the title of this paragraph borrowed from the corresponding section of the CRI) and have not been used either in this instance or in the CRI to make specific charges against the parties.</w:t>
        <w:br/>
        <w:t>205. In any case, the parties' observations regarding the mentioned documents miss the mark, as they do not appear capable of undermining the evidentiary significance of such documents for the purposes that are relevant here: namely, as symptomatic elements of an operational context characterized by various types of informational exchanges among competitors regarding relevant contracts, by a practice aimed at protecting the positioning of each company, and by a casual use of the consortium tool by larger consortium members (such as MFM) to resolve any type of operational issue encountered even in the execution of contracts acquired without the interposition of the Consortium itself. This scenario, it should be reiterated, is extremely useful for understanding and contextualizing the conduct of the parties regarding the Consip tender, but does not in itself constitute the subject of specific contestation.</w:t>
        <w:br/>
        <w:t>206. The prior sharing of concerns and objectives pursued during participation in public tenders is a defining element of the relationships among companies in the sector, as demonstrated by the meeting organized by CNS on November 20, 2013 “Among the five largest market players (MFM, Manital, Coopservice, Dussmann, and CNS)” to “discuss issues related to the standard tender for cleaning services,” in order to “share objectives and methods of initiatives to be undertaken.” On this occasion, the secret nature of the meeting and the intent pursued through it leads, “given the importance but also the sensitivity” of the topics to be discussed, the representatives of the aforementioned companies to meet at a hotel rather than at the Consortium's headquarters as initially proposed (see doc. I.37.4.60).</w:t>
        <w:br/>
        <w:t>207. The collaborative approach among competitors, aimed at respecting the status quo, is also recorded in the relationships between different consortia. Notably, an internal email from CNS, dated February 7, 2014, represents the opportunity to grant subcontracts in some schools in Turin due to the fact that “Confcooperative has requested space for its associates who currently provide the service,” also specifying “it works well for us for the relationships with CONF which would remain fluid and collaborative for the upcoming ‘waste’ issues” (see doc. I.37.4.2).</w:t>
        <w:br/>
        <w:t>208. The evidence collected also attests to a distorted use of the consortium tool, aimed at influencing the outcomes of tenders. In this regard, see an internal email from CNS in which the hypothesis of participating in a tender to serve as a “useful shield” for the benefit of two consortium members participating independently (one of which is Manutencoop) is proposed, with a view to favoring the continuity of the contracts held by them (see doc. I.37.4.70).</w:t>
      </w:r>
    </w:p>
    <w:p>
      <w:r>
        <w:t>56 BULLETIN NO. 50 OF JANUARY 25, 2016</w:t>
        <w:br/>
        <w:t>(continued) The logic of protecting historical contracts</w:t>
        <w:br/>
        <w:t>209. CNS, Manutencoop, and Roma Multiservizi have stated that the objective of confirming their presence in the territories where they are already active is one of the main criteria they refer to when choosing which tenders (or lots) to participate in. In particular, CNS has reported that it works to ensure its consortium members – particularly those holding the largest client portfolios – maintain their acquired market positions, facilitating the renewal of existing contracts and, therefore, the “historically” held tenders or, in any case, the levels of revenue achieved. As illustrated by CNS itself during the hearing with the offices, the objective of ensuring the renewal of existing contracts for its consortium members is usually at the basis of consortium dynamics.</w:t>
        <w:br/>
        <w:t>210. It has also emerged that, in general, CNS takes care to ensure a proportion between the assignments to be attributed to individual cooperatives and their previous portfolio (in terms of historical contracts or, in any case, revenues achieved through them) (see doc. 30.24.72). In the words of CNS representatives, during new tenders, there is a “need not to erode the portfolio of cooperatives already active for those contracts.” In line with this approach, regarding the tender in question, in the regions where CNS did not submit an offer, it has proceeded by adopting the following approach: “for the consortium members who held a historical portfolio in the Southern Regions, the Consortium has worked to ensure the maintenance of the value attributable to that historical portfolio, attempting to guarantee to those consortium members, by transferring the portfolio, values as equivalent as possible for contracts in regions located in the lots for which it submitted an offer.”</w:t>
        <w:br/>
        <w:t>211. The associates of CNS also make requests aimed at asserting the maintenance of their portfolio, at least in terms of revenue. In this regard, see the email of January 27, 2014, in which the associate Coop 2001, during the assignments of the schools under its jurisdiction to follow up on the allocations of the Consip tender, complains about the lack of correspondence with the revenue previously achieved. The director of human resources at CNS informs two senior managers of the Consortium about this complaint (doc I37.4.44).</w:t>
        <w:br/>
        <w:t>212. The investigative activity carried out has highlighted how the described protectionist approach to acquired market positions has inspired, within the Consip tender, the relationships among companies in the sector even outside the consortium relationships, and in particular, those between CNS and Manutencoop even when the latter competes for the market independently (not as a consortium member, nor in ATI with CNS), those between CNS and non-consortium companies, such as Roma Multiservizi (with which CNS has concluded a compensatory agreement), or Kuadra (with which CNS has formed an ATI not necessary to compensate for a previous debt exposure, as emerges from the private writing mentioned above).</w:t>
        <w:br/>
        <w:t>The collusive scheme established within the Consip tender</w:t>
        <w:br/>
        <w:t>213. In the described context of limited competitive confrontation, CNS, Manutencoop, Roma Multiservizi, and Kuadra have been able to easily influence the outcomes of the Consip tender.</w:t>
        <w:br/>
        <w:t>214. In this regard, it is useful to preliminarily recall the established jurisprudence of the Council of State, according to which in concerted practices, although there is no express agreement, there are forms of coordination among companies aimed at consciously replacing a concrete</w:t>
      </w:r>
    </w:p>
    <w:p>
      <w:r>
        <w:rPr>
          <w:b/>
        </w:rPr>
        <w:t>[Pages 55–57]</w:t>
      </w:r>
    </w:p>
    <w:p>
      <w:r>
        <w:t>BULLETIN NO. 50 OF JANUARY 25, 2016 57</w:t>
        <w:br/>
        <w:t>collaboration among them to the risks of competition. The lack of an express agreement is considered fully understandable, given that market operators, being aware of the illegality of the anticompetitive practice, may attempt to conceal it, avoiding written agreements, and even express verbal agreements, instead resorting to mutual signals aimed at achieving a de facto concertation63.</w:t>
        <w:br/>
        <w:t>215. For this reason, in a context of "natural" scarcity of evidence regarding secret conduct, the concertation between companies can be inferred circumstantially from a series of objective elements. Among these, any type of contact, direct or indirect, between the companies that is capable of influencing the behavior of competitors in the market may be relevant. In the presence of reasonable indications of a coordinated practice, the burden of proof for a different explanation aimed at asserting the legality of the conduct lies with the investigated companies64.</w:t>
        <w:br/>
        <w:t>216. The relevant evidentiary elements for the assessment of the case in question will be illustrated below, first examining the exogenous elements and subsequently the endogenous ones.</w:t>
        <w:br/>
        <w:t>Exogenous evidentiary elements</w:t>
        <w:br/>
        <w:t>a) The exchanges of information between the parties</w:t>
        <w:br/>
        <w:t>217. A first point to highlight concerns the exchanges of information that took place between the participants in the tender. According to what was reported by the legal representative of CNS during the inspection investigations, the Consortium consulted Manutencoop by phone to assess the possibility that the latter would participate in the Consip tender through CNS itself, but Manutencoop expressed its intention to participate individually and, therefore, in competition with CNS65. This circumstance was reiterated by CNS during the hearing with the Offices. On this point, a different perspective was provided by the representative of Manutencoop during the hearing, who stated that CNS did not contact Manutencoop to ascertain whether it intended to participate in the Consip tender within the Consortium, as the consortial procedure provides for opposite dynamics (it is the consortia that express their interest to CNS for pre-assignment and not vice versa); nor did Manutencoop represent to CNS its intention to participate individually in the tender. In any case, CNS represents the full legitimacy of the prior contact with MFM, as it is physiological in relations with its own consortia. In fact, what is contested is not the phone call itself but the fact that from this point on the parties should have refrained from sharing any information related to their respective tender strategies and, if necessary, adopt the necessary precautions to prevent a flow, direct or indirect, of information transmission.</w:t>
        <w:br/>
        <w:t>63 See, among others, Council of State, June 13, 2014, no. 3032, ASL Campania Tenders; similarly, Council of State, August 8, 2014, no. 4230, and October 24, 2014, nos. 5274, 5275, 5276, 5277, 5278, Cosmetics.</w:t>
        <w:br/>
        <w:t>64 See Council of State, no. 1671/2001, Supply of gas boiler spare parts; no. 4017/2006, Metal packaging; no. 423/2008, Airport supplies; no. 1009/2008, Disinfectant products; nos. 5274, 5275, 5276, 5277, 5278/2014, Cosmetics.</w:t>
        <w:br/>
        <w:t>65 See doc. I. 4.</w:t>
      </w:r>
    </w:p>
    <w:p>
      <w:r>
        <w:t>58 BULLETIN NO. 50 OF JANUARY 25, 2016</w:t>
        <w:br/>
        <w:t>218. Although the two companies decided to participate independently in the procedure, the evidence on record indeed attests to the sharing of sensitive information that allowed Manutencoop and CNS to become aware of the choices that the competitor would make before the deadline for submitting offers, thus both having the opportunity to orient their market behavior taking into account such strategic information, resulting in a consequent and inevitable contraction of incentives to compete.</w:t>
        <w:br/>
        <w:t>219. This refers, first of all, to the negotiation that took place between Roma Multiservizi and CNS for lot 4 (see infra), which allowed the latter to acquire information about the participatory strategy that Manutencoop would adopt in the tender. For example, the agreement between the first two made it clear to CNS that Manutencoop would not compete for the award of that lot. This is because, considering the corporate constraints that exist between Manutencoop and Roma Multiservizi, if the former had intended to participate directly for lot 4, its subsidiary would reasonably have coordinated with it for the management of the services related to that lot (either through the establishment of a temporary association of enterprises, or by providing for a subcontract in the execution phase). Similarly, having become aware of such an agreement allowed MFM to monitor the effectiveness of CNS's participation for lot 4 and, therefore, compliance with the commitment to guarantee RM's portfolio.</w:t>
        <w:br/>
        <w:t>220. Furthermore, on September 30, 2012, several representatives of CNS and Roma Multiservizi shared an email titled "agreement with Roma Multiservizi," to which the internal regulation of ATI 1 was attached, with the precise indication, among other things, of the lots for which ATI 1 would submit an offer66. Given the relationships between Manutencoop and Roma Multiservizi, as established during the investigation and fully confirmed by the parties in the latest submissions, also in light of the corporate participation relationships that will be discussed further below, it can only be concluded that Manutencoop must have become aware, during the negotiation of the agreement between CNS and RM, of the strategic choices that the grouping headed by CNS would adopt during the tender, with precise evidence of the lots for which it would compete. In this regard, it is noted that the representative of CNS who participated in the hearing with the offices stated, in general terms, regarding the relationships between the companies in question, that it can be "considered that CNS took for granted that RM would discuss its industrial and commercial activities with MFM as the reference industrial partner of RM. Therefore, it can be assumed that MFM also discussed this topic with RM. Moreover, since it is the industrial partner, it is normal for it to deploy its operational capacity and appoint someone with specific expertise in the relevant industrial sector to the top positions of RM."</w:t>
        <w:br/>
        <w:t>221. As clarified by the Commission in the Guidelines on the applicability of Article 101 TFEU to horizontal cooperation agreements, a coordinated practice can also be identified even if only one company discloses or shares, even indirectly67, strategic information with its competitors, who accept it: this circumstance, in fact, is capable of reducing strategic uncertainty about the future functioning of the market for all parties involved. When a company receives strategic data from a competitor, it is assumed that it has accepted the information and adapted its market behavior accordingly, unless it reacts with a clear statement that it does not wish to receive such data (Council of State, June 27, 2014, no. 3252, International Logistics)68.</w:t>
        <w:br/>
        <w:t>222. Making accessible to Manutencoop the information about the choice of lots that ATI 1 would participate in has therefore significantly mitigated, if not completely eliminated, for these two subjects the uncertainties regarding their respective participation strategies in the tender.</w:t>
        <w:br/>
        <w:t>223. In this sense, the already mentioned internal document of CNS dated November 6, 2012, in which, a few days before the first public session of the tender (which took place on October 15, 2012), the Consortium examines the scenario that will result from the procedure, is relevant. At this initial stage of the tender, CNS could only know the names of the participants admitted to the subsequent phases of the tender (in the first public session, in fact, only the envelopes containing the administrative documentation are opened and examined, and only the integrity of those containing the technical and economic offer is verified, which remain sealed). Nevertheless, CNS identifies with singular precision the lots that it actually won, using a lexical tone that reveals absolute certainty about the actual outcome of the tender. Emblematically, moreover, the document does not mention the additional lots for which CNS was still in the tender (which coincidentally were precisely those for which it had submitted significantly less aggressive offers). In particular, it states: "CNS (and Roma Multiservizi) with lots 1, 4, and 10 maintain territoriality almost everywhere and reach the current portfolio." This makes it unequivocal that CNS could take its award for certain regarding the lots it actually won as it believed it had evaded the greater risks of competition, namely the competitive constraints that only a subject like MFM would have been able to oppose to it.</w:t>
        <w:br/>
        <w:t>224. Furthermore, in the document in question, while listing the awards that were then actually won by the main participants in the procedure for all other lots (notably, Dussmann, Manital, Ciclat) - with only one inconsistency (related to Miles) - there is no mention of the scenario expected for Manutencoop, although it is stated succinctly that "the remaining lots can well represent the expression of the remaining market players," thus evoking the balanced nature of the distribution of lots between CNS and Manutencoop (see doc. I.37, 4.53).</w:t>
        <w:br/>
        <w:t>68 "It is possible to speak of a coordinated practice even if only one company discloses strategic information to its or their competitors (who accept it). Such disclosures could occur, for example, through contacts via mail, email, phone, meetings, etc. It is then irrelevant whether only one company unilaterally informs its competitors about the behavior it intends to adopt in the market or whether all the companies involved exchange information regarding their respective considerations and intentions. When a single company reveals to its competitors strategic information concerning its future commercial policy, this reduces strategic uncertainty about the future functioning of the market for all parties involved and increases the risk of a limitation of competition and collusive behavior... When a company receives strategic data from a competitor (in the context of a meeting or via mail or electronically), it is assumed that it has accepted the information and adapted its market behavior accordingly, unless it reacts with a clear statement that it does not wish to receive such data" (see Guidelines on the applicability of Article 101 of the Treaty on the Functioning of the European Union to horizontal cooperation agreements, para. 62).</w:t>
      </w:r>
    </w:p>
    <w:p>
      <w:r>
        <w:rPr>
          <w:b/>
        </w:rPr>
        <w:t>[Pages 58–60]</w:t>
      </w:r>
    </w:p>
    <w:p>
      <w:r>
        <w:t>60 BULLETIN NO. 50 OF JANUARY 25, 2016</w:t>
        <w:br/>
        <w:t>225. Furthermore, the defensive arguments of MFM aimed at demonstrating the autonomous and independent selection of the lots to participate in and the alleged absence of "chronological coincidence with the subcontracting agreement" do not hit the mark. According to the party's presentation, an internal document (the so-called "tender folder") produced as an attachment to the final submissions would show that the company itself had, as of July 30, 2012, decided to concentrate its efforts exclusively on lots 2, 3, 8, and 9. This alleged evidence would, according to the party, be sufficient to exclude coordination between the parties, even through the described information flows, in order to influence the outcomes of the tender in the established terms.</w:t>
      </w:r>
    </w:p>
    <w:p>
      <w:r>
        <w:t>226. In fact, from the documentation acquired during the investigation, it emerges that the exact delineation of the lots to compete for developed for all parties - and in particular for MFM - as a progressively evolving process that extended from the publication of the announcement until just before the deadline for submitting the offer. If, in fact, there were lots that certain parties showed a greater interest in, the complete and definitive selection of those to compete for required a necessary and parallel activity of refining the agreed anti-competitive practice to avoid overlaps that could jeopardize the anticipated conditioning of the tender outcomes. Evidence of this, as seen, is the consultancy activity commissioned by MFM itself to the company eFM, which developed between August and October 2012 and extended to all tender lots, with a specific reference to the "additional services proposed by Roma Multiservizi." If MFM - as it claims in its defenses - had already fully decided on July 30, 2012, the lots on which to submit an offer, it would not have made any reasonable economic sense to entrust an external consultant with an analysis to be conducted on all lots starting from August 1, 2012.</w:t>
      </w:r>
    </w:p>
    <w:p>
      <w:r>
        <w:t>227. The above is sufficient in itself to overcome the defensive arguments of MFM based on what is reported in the so-called "tender folder." And this without addressing the issue of the chronological placement of the document itself, which could appear at least questionable. In fact, this folder did not appear in the version of the document containing the tender offer acquired during the inspection and was produced by MFM only as an attachment to the final submissions.</w:t>
      </w:r>
    </w:p>
    <w:p>
      <w:r>
        <w:t>b) The agreement for lot no. 4: the role of Roma Multiservizi in the agreement</w:t>
      </w:r>
    </w:p>
    <w:p>
      <w:r>
        <w:t>228. The distribution scheme realized through the agreement in question emerges in all its clarity in relation to the collusive behaviors implemented for the assignment of lot no. 4 (Sardinia and Lazio), one of the highest value lots among those put out to tender (192.2 million euros). In relation to this lot, in fact, CNS and Roma Multiservizi signed an agreement aimed at coordinating their respective conduct both in participating in the tender and at the time of executing the contract.</w:t>
      </w:r>
    </w:p>
    <w:p>
      <w:r>
        <w:t>229. By virtue of this agreement, Roma Multiservizi committed to refrain from participating in the Consip tender, obtaining, as a compensatory advantage, CNS's commitment to request - once the tender was awarded - authorization for subcontracting in its favor to the maximum extent permitted by law in order to protect the market share originally held by the company itself. More specifically, CNS committed to allow Roma Multiservizi the incumbency scope and the market share held by it before the activation of the public procurement procedure ordered by Consip, thus using the institution of subcontracting for clearly anti-competitive purposes.</w:t>
      </w:r>
    </w:p>
    <w:p>
      <w:r>
        <w:t>230. Emblematically, the negotiations aimed at concluding the agreement between CNS and Roma Multiservizi all start from the premise, deemed by the parties as unavoidable, that it was necessary to recognize Roma Multiservizi the maintenance of its portfolio.</w:t>
      </w:r>
    </w:p>
    <w:p>
      <w:r>
        <w:t>231. As seen, already on August 2, 2012, just a few weeks after the publication of the tender announcement (released on July 11, 2012), the Board of Directors of Roma Multiservizi had resolved to participate in the tender (see Board minutes69).</w:t>
      </w:r>
    </w:p>
    <w:p>
      <w:r>
        <w:t>232. This decision was immediately communicated to Manutencoop. By email dated August 3, 2012, in fact, the head of the tender office of Roma Multiservizi informed the tender office of Manutencoop of the former's interest in participating in a series of public procurement procedures indicated in a table attached to the email, including the Consip tender70. On August 8, a reply was received from the tender office of Manutencoop; in particular, some notes were added to the attached document, and next to the tender in question, the following comment was made: "MFM [Manutencoop n.d.r.] participates in this (I have no news if in ATI with you)." Finally, in response to this last email, RM replied as follows: "We will also participate in Consip, as Lazio is a portfolio contract. We await feedback from our CEO who is also conducting negotiations with [the CEO of Manutencoop, n.d.r.]71."</w:t>
      </w:r>
    </w:p>
    <w:p>
      <w:r>
        <w:t>233. The investigative findings also attest that simultaneously, starting from August 8, 2012, an activity of dialogue began between CNS and Roma Multiservizi aimed at negotiating the contents of the aforementioned compensatory agreement. In particular, in the draft agreement attached to the internal email of August 8, 2012, within CNS72, it reads:</w:t>
        <w:br/>
        <w:t>"1. Waiver</w:t>
        <w:br/>
        <w:t>1.1 ROMA MULTISERVIZI S.p.A. commits to not participate in the procedure announced by Consip, also committing to not undertake any further initiative aimed at contesting the tender procedure mentioned in the preamble.</w:t>
        <w:br/>
        <w:t>2. Participation in the tender</w:t>
        <w:br/>
        <w:t>2.1. CNS will participate in the tender and submit an offer also for lot 4 according to modalities yet to be defined, and in case of award, will request authorization for subcontracting, to the maximum extent permitted by law, of the services requested by the School Institutions currently managed by Roma Multiservizi and that activate the Consip agreement.</w:t>
        <w:br/>
        <w:t>[…]</w:t>
        <w:br/>
        <w:t>The subcontracts will have the same duration as the main Orders signed with the interested School Institutions, including extensions or renewals."</w:t>
      </w:r>
    </w:p>
    <w:p>
      <w:r>
        <w:t>234. The agreement appears to have been modified several times, although never significantly. In particular, as already highlighted and contrary to what RM claimed, the provision regarding RM's waiver to participate was never removed from the text of the agreement. In particular, the evidence shows that Roma Multiservizi proposed some modifications to the text of the agreement73, primarily aimed at expanding the application scope of the agreement and emphasizing the compensatory nature of the subcontracts therein deduced74.</w:t>
      </w:r>
    </w:p>
    <w:p>
      <w:r>
        <w:t>235. In a proposed modification, in fact, the subcontracts to be awarded to Roma Multiservizi as a compensatory item were no longer limited to lot 4 alone but potentially concerned all tender lots up to the amount of 20 million euros. The rationale underlying the identification of this limit was explicitly stated in the proposed reformulation of premises h) and i), according to which "h) Roma Multiservizi currently provides cleaning services at school institutions located in the Lazio Region, with a turnover of approximately 20,000,000 annually, which are therefore interested in the procedure mentioned in the premises; i) in order to maintain the current turnover in the specific market and in compliance with the provisions relating to subcontracting […] it is in the interest of Roma Multiservizi S.p.A. not to submit an offer."</w:t>
      </w:r>
    </w:p>
    <w:p>
      <w:r>
        <w:t>236. This latter proposed modification clearly highlights the anti-competitive nature of the agreement, through which Roma Multiservizi would have refrained from competing with CNS in the tender in question, only if the latter had assured it, through the instrument of subcontracting, the protection of the market share held before the start of the public procurement procedure. The compensatory nature of the subcontracting envisioned by the agreement and its preordination to the protection of existing market shares appears even more explicit in an email dated September 26, 201275 in which Roma Multiservizi, while providing explanations to CNS regarding the aforementioned modifications to the agreement proposed by Roma Multiservizi itself, specified that "the extension to the other lots participated has been shared with your commercial and covers the difference between the current turnover of schools in Lazio (20 million) and the turnover awarded in subcontracting in compliance with legal limits (an amount that could also be guaranteed through other contracts)"76.</w:t>
      </w:r>
    </w:p>
    <w:p>
      <w:r>
        <w:t>237. Following the transmission of the draft with the modifications proposed by Roma Multiservizi, a negotiation phase opened in which the draft agreement was progressively refined77. At that time, there is an internal email from Roma Multiservizi dated August 29, 2012, which states "we will be subcontractors" [referring to participation in the tender in question], "I hope that this decision, which seems the most convenient, will at least lead us to obtain the same revenue share," thus highlighting that subcontracting was not the only viable path for RM78.</w:t>
      </w:r>
    </w:p>
    <w:p>
      <w:r>
        <w:t>238. Furthermore, at the legal headquarters of CNS, in the office of the tender manager, a paper version of the draft agreement was found, with some handwritten corrections aimed at (i) eliminating the reference to the controlling relationship between Manutencoop and Roma Multiservizi.</w:t>
      </w:r>
    </w:p>
    <w:p>
      <w:r>
        <w:rPr>
          <w:b/>
        </w:rPr>
        <w:t>[Pages 61–63]</w:t>
      </w:r>
    </w:p>
    <w:p>
      <w:r>
        <w:t>BULLETIN NO. 50 OF JANUARY 25, 2016 63</w:t>
        <w:br/>
        <w:t xml:space="preserve">Multiservizi and (ii) to identify a compromise on the compensatory advantages attributed to Roma Multiservizi through subcontracting, limiting the latter to lot no. 4 but also extending it to 4 schools not included in the operational basin of the capital company. </w:t>
        <w:br/>
        <w:t xml:space="preserve">239. The final text of the described agreement between CNS and Roma Multiservizi, including the aforementioned modifications, was signed by the parties on October 1, 2012, two weeks before the deadline for submitting bids (doc. I.30.67). Even in this final version, signed by both parties, the agreement focuses on the compensatory mechanism between Roma Multiservizi's waiver to participate in the Consip tender (expressed in Article 1 of the agreement, titled "Waiver," according to which "Roma Multiservizi does not consider it appropriate to participate as a bidder in the open procedure announced by Consip S.p.A.") and CNS's commitment to "provide, in case of award [...] to designate Roma Multiservizi as subcontractor and to request authorization for subcontracting in its favor, entrusting, to the maximum extent permitted by law, the activities covered by the Convention requested by the schools located in the Lazio Region" (Article 2 of the final agreement, titled "Participation in the tender"). </w:t>
        <w:br/>
        <w:t xml:space="preserve">240. The agreement appears to have been fully implemented. First of all, Roma Multiservizi has effectively waived participation in the tender. Furthermore, from the documentation acquired during the inspection, it appears that ATI 1, the successful bidder for lot no. 4, actually entered into a subcontract with Roma Multiservizi on February 13, 2014, under the terms outlined in the agreement between the latter and CNS79. Evidence has also been acquired, as detailed in the factual section, of further addenda and subcontracting contracts entered into by the parties, subsequent to the first one of February 2014. </w:t>
        <w:br/>
        <w:t xml:space="preserve">241. The use of subcontracting for illicit purposes also appears to be supported by further documentary evidence temporally close to the date on which the subcontract was signed. In particular, in a series of emails dated February 7, 201480, Roma Multiservizi requested a modification of the contract duration, as the draft indicated it was annual, while according to what was agreed in the private writing of October 1, 2012, it should have had a duration equal to that of the contract it was based on. In this regard, CNS replied: "the duration must remain annual (at least in the subcontract that must be sent to Consip for authorization). In fact, in the comment, I explained to you that if we include the duration of the convention, we exceed the maximum limit allowed by law. Therefore, every year we will redo the subcontract request procedure"81. Consequently, on the same day the subcontract was signed, another agreement, titled "subcontract addendum"82 was entered into, in which CNS committed to Roma Multiservizi to renew the subcontract from year to year until the expiration date indicated in the Consip convention, including any extensions or renewals. This addendum further proves the full implementation of the compensatory agreement79. </w:t>
        <w:br/>
        <w:t xml:space="preserve">242. In light of the described documentary evidence collected, the defensive arguments offered by the parties aimed at supporting the legality of the agreement signed between CNS and RM appear unfounded and inadequate to overcome the charges made, as well as being contradictory. </w:t>
        <w:br/>
        <w:t xml:space="preserve">243. In this regard, it is worth noting that during the inspection, representatives of RM attributed the decision not to participate in the tender - despite the management body originally deciding to participate - to the following circumstance: "Roma Multiservizi could only participate in a few lots while Manutencoop, a company that holds 45% of Roma Multiservizi, has a higher participation capacity. According to Article 38 of the public procurement code, two companies with the same decision-making center cannot participate in the same tender. Manutencoop exerts a decisive influence on Roma Multiservizi, and if both had participated, there would have been a risk of exclusion for both," concluding: "These companies therefore decided that Manutencoop would participate because it could participate in more lots." </w:t>
        <w:br/>
        <w:t xml:space="preserve">244. As for the need to avoid possible exclusion from the tender under Article 38 of the Public Contracts Code, it cannot justify, from the perspective of antitrust law, a compensatory agreement made with a direct competitor to protect its incumbency share. Moreover, it should be noted that the interpretative approach regarding the applicability of the aforementioned Article 38, on which the parties base the mentioned defenses, appears far from settled in jurisprudence: it must indeed be emphasized that there is a tendency among administrative judges to consider the described prohibition applicable, in the case of tenders structured in multiple autonomous lots, exclusively to the offers submitted for the same lots (since the competitive comparison on each lot would be configured as an autonomous tender in itself)84. </w:t>
        <w:br/>
        <w:t xml:space="preserve">245. Despite what emerged from the documentation acquired during the inspections and the statements made in that context, during the investigative hearings and in the final memorandum, RM provided a further and different factual reconstruction regarding the reasons that led the company not to participate in the tender and to enter into the compensatory agreement with CNS. In detail, RM based the arguments of the new line of defense on the alleged impossibility of participating in the tender individually due to the absence of the turnover requirement and on the always allegedly noted infeasibility of the option to participate in ATI. These factual elements, in the new reconstruction provided by the company, would have, according to the same, forced it to enter into the described agreement to receive the subcontract for lot 4 from CNS and not to "completely lose the chance to continue managing the service." The aforementioned different defensive perspective was also developed in the final memoranda by MFM and CNS. </w:t>
        <w:br/>
        <w:t xml:space="preserve">246. It is evident that such arguments cannot in any way undermine the anticompetitive nature of a compensatory agreement through which it offered its "waiver" to participate in the tender in exchange for the reassurance of maintaining its portfolio through subcontracting, as well as disseminating strategic information among competing companies regarding the dynamics of participation in the tender. </w:t>
        <w:br/>
        <w:t xml:space="preserve">247. In this regard, it is highlighted that the argument of the parties aimed at denying the compensatory nature of the agreement on the grounds that RM did not possess the requirements to participate in the tender alone is entirely irrelevant. On this point, it is worth recalling that the decision to participate in the tender had been deliberated by the Board of Directors of RM as early as August 2, 2012. The minutes of that council meeting reveal that "the mode of participation" in the tender was being evaluated, while participation in the tender itself was considered certain. It is also noted in this resolution that "the company's potential for participation, given the turnover limits required, is limited to two lots in the case of individual participation." The same statement, as already mentioned, was also reiterated by the head of the legal office of the company during the inspections conducted by the Authority after the tender was completed (October 14, 2014). </w:t>
        <w:br/>
        <w:t xml:space="preserve">248. It is therefore undeniable that RM, at least during the period between the publication of the special tender regulations and the deadline for submitting the bid, believed it held the participatory requirements for the tender for the lot of interest (both individually and, possibly, in partnerships with other companies) and that this belief was maintained even after the tender was completed and an agreement was opted for with CNS. This factual reconstruction, supported by specific documentary evidence, appears to be the most plausible from a reasonableness perspective, even in relation to the arguments made by the parties to provide an ex post different representation of the motivations underlying the contested conduct. </w:t>
        <w:br/>
        <w:t xml:space="preserve">249. Indeed, even in the absence of all individual participatory requirements, RM could have submitted a bid in a business grouping, or by using suitable regulatory instruments (for example, the use of a supporting company, allowed by the special tender regulations even concerning the requirement of specific past turnover, which in any case would have allowed the company to participate individually by relying on an auxiliary company). This is also true even if one were to accept the ex post reconstruction provided by the parties regarding the absence of the turnover requirement, which shows that, in relation to a required turnover of about 96 million euros, RM alone held at least about 83 million euros. Therefore, even if one were to - conceding everything - consider the new factual representation made ex post by the parties, the special turnover that RM would have had to obtain using the tools - including aggregative ones - offered by the procurement regulations was indeed minimal compared to what it already possessed. </w:t>
        <w:br/>
        <w:t>250. Furthermore, the reasoning put forward to demonstrate the infeasibility, by RM, of the participatory mode in ATI is unconvincing. On this point, RM refers to the tender rule that imposed the obligation to submit a bid on all lots in a grouping with the same composition, a rule that would have penalized the company due to its geographically limited operational vocation.</w:t>
      </w:r>
    </w:p>
    <w:p>
      <w:r>
        <w:rPr>
          <w:b/>
        </w:rPr>
        <w:t>[Pages 64–66]</w:t>
      </w:r>
    </w:p>
    <w:p>
      <w:r>
        <w:t>66 BULLETIN NO. 50 OF JANUARY 25, 2016</w:t>
        <w:br/>
        <w:t xml:space="preserve">In this regard, while maintaining the overriding consideration that this reconstruction is not proven and was made ex post in contrast with documentary evidence of a different nature chronologically placed at the time of the submission of the offer, it can in any case be replied that, as clarified in the clarification phase, the contracting authority specified that the aforementioned competition rule allowed for the different weighting of the various participants in the ATI across the various lots. </w:t>
        <w:br/>
        <w:t xml:space="preserve">And, in any case, RM could well have coordinated in ATI with companies that intended to participate only in the lot of interest. Nor has the company itself demonstrated that it attempted to contact such types of companies and received refusals in this regard. The only companies that RM claims to have contacted before the submission of the offer and the choice to operate in subcontracting appear to be precisely the other two parties to the proceedings and the anticompetitive agreement: MFM and CNS. </w:t>
        <w:br/>
        <w:t xml:space="preserve">251. The parties, on this point, argue that RM, had it chosen to participate alone or with companies other than MFM or CNS, would have exposed itself to the risk of not winning the contract and losing past revenue and that therefore it reasonably preferred to enter into the described agreement with CNS to eliminate that risk and preserve its portfolio. Well, this statement – more than constituting a defensive argument in discharge – appears to be an explicit admission of the collusive intent that motivated the parties in defining the aforementioned agreement. </w:t>
        <w:br/>
        <w:t xml:space="preserve">252. That RM's waiver to participate in the tender expressly provided for in the agreement with CNS was not a mere "stylistic clause," as claimed by the parties, but rather constituted its core, is confirmed by the fact that, in light of multiple amendments made to the text of the agreement, RM's commitment not to participate ("waiver") is present in all versions of the agreement, including the final one. Nor does any of the various drafts of the agreement ever mention RM's inability to participate in the tender for lot 4; the opposite is true: in the final draft of the agreement, in the paragraph titled "waiver," it is stated that the company "does not consider it appropriate to participate as a bidder" in the Consip procedure, thus implicitly declaring its capacity to participate. </w:t>
        <w:br/>
        <w:t xml:space="preserve">253. Nor can the considerations regarding the alleged legality of the agreement be accepted, due to its presumed nature as a preliminary subcontracting contract. This, as seen, is unsustainable from a dual perspective, both substantive and formal. In fact, a contract, even a preliminary one, for subcontracting should be concluded between the group participating in the tender and the subcontractor and should only concern the subcontracting of a portion of the awarded contract, the extent of which is determined based on the organizational needs of the awardee. </w:t>
        <w:br/>
        <w:t xml:space="preserve">In the agreement in question, on the other hand, only CNS appeared as RM's counterparty (and not ATI 1). But what is more relevant is that the agreement did not merely propose the granting of a subcontract concerning lot 4; it was clearly structured to create a compensatory exchange between RM's waiver to participate in the tender and the granting of future subcontracts to protect the past portfolio of that company. </w:t>
        <w:br/>
        <w:t xml:space="preserve">254. Given all this, the parties' considerations (in particular, CNS in its final memorandum) that the agreement in question falls "among those that the Council of State considers as relationships and agreements with specific and limited contents and objects that are lawful in themselves" and, therefore, "the Offices were unable to demonstrate that the Subcontracting Agreement pursued illegitimate purposes in the concrete circumstances of the context" are unfounded. </w:t>
        <w:br/>
        <w:t xml:space="preserve">The anticompetitive agreement under examination does not consist merely of a subcontract or a preliminary subcontract, which is lawful in itself, but is constituted by an agreement with a specifically anticompetitive object, while the subcontract, concluded subsequently between different parties and with a different object, represents only an implementing element of the aforementioned agreement, which therefore cannot be confused with or coincide with it. </w:t>
        <w:br/>
        <w:t xml:space="preserve">255. Therefore, it is necessary to distinguish: </w:t>
        <w:br/>
        <w:t xml:space="preserve">- on one hand, the agreement between CNS and RM concerning the exchange of benefits, and in particular a compensation for RM's waiver to participate in the Consip tender. This agreement is unlawful and anticompetitive due to its very content; </w:t>
        <w:br/>
        <w:t xml:space="preserve">- on the other hand, the subcontracting contracts concluded between ATI 1 and RM concerning lot 4, which are lawful in themselves but anticompetitive due to the concrete purpose pursued, revealed by the aforementioned unlawful agreement of which these subcontracting acts constitute executive moments. </w:t>
        <w:br/>
        <w:t xml:space="preserve">For all the above, what the parties claim regarding the intrinsic legality of the agreement between CNS and RM is illogical. Similarly, the reference to community jurisprudence formed regarding the legality of subcontracting and the declaration of subcontracting made during the offer is irrelevant; it is, in fact, clear that what is contested to the parties, in this instance, is the compensatory agreement concluded between CNS and RM as stated in the first of the aforementioned lines and not the abstract legality of using the instrument of subcontracting within public contracts, which has never been called into question. </w:t>
        <w:br/>
        <w:t xml:space="preserve">256. The further arguments made by CNS regarding the convenience and economic rationality of the agreement concluded with RM, having allowed the Consortium to reduce tensions arising from the reemployment of LSU that would inevitably have occurred at the time of the agreements, are also unfounded. </w:t>
        <w:br/>
        <w:t xml:space="preserve">257. The conclusion of such an agreement and its execution represent a conduct intrinsically and evidently unreasonable and inconsistent with the consortium purposes that should have animated CNS. In fact, as reiterated several times during the investigative proceedings by the Consortium itself, CNS participates in tenders on behalf of its members and to provide them with opportunities for work and operational development. Yet, for lot 4 - and specifically in the capital territory - CNS participated in the tender and executed the contract in a way that protected RM's historical portfolio, a company external to the Consortium itself, thus completely removing that portion of the contract from its members designated as executors of the services for the lot in question. To ensure full management of the collusive agreement thus concluded, CNS did not want its members to intervene even as subcontractors and awarded the contract directly as a Consortium. This anomaly and deviation from the purposes of a Consortium finds its reason only in the collusive framework thus reconstructed. </w:t>
        <w:br/>
        <w:t xml:space="preserve">258. More generally, it should be noted that RM's waiver to compete for lot 4 cannot be assessed in isolation, without considering that this company is part of MFM and, therefore, that the waiver of the former inevitably also implied the waiver to participate of the latter, in compliance with the distribution plan of the lots between CNS and MFM. </w:t>
        <w:br/>
        <w:t xml:space="preserve">259. Due to the governance relationships between RM and MFM, the contacts that took place between these two companies regarding the tender in question became functional to the realization of the overall collusive scheme. In particular, as seen, Roma Multiservizi transmitted to Manutencoop the compensatory agreement concluded with CNS (thus making it aware of the fact that ATI 1 would submit an offer for that lot). </w:t>
        <w:br/>
        <w:t xml:space="preserve">260. More precisely, Roma Multiservizi shared with Manutencoop the agreement with CNS, both during the negotiation phase and in the concluding phase. It is noteworthy, in this regard, that Roma Multiservizi appears to have transmitted to Manutencoop the text of the agreement before proceeding with its signature. In particular, the evidence on file shows that the former sent the draft agreement to Manutencoop from its provisional versions (see document transmitted as early as August 30, 2012 - see doc. II151.9). Subsequently, on September 7, 2012, Manutencoop took action to transmit to Roma Multiservizi the draft subcontracting agreement that it used. The chronological placement of this transmission can only indicate that it occurred so that Roma Multiservizi would take it into account in the ongoing negotiations with CNS (see doc. II.151.2). Finally, on the same day that CNS and Roma Multiservizi would sign the agreement (October 1, 2012), the latter took care to previously transmit (only a few minutes after receipt) a copy to the legal representative of Manutencoop in order to obtain its consent (in the email sent by the CEO of Roma Multiservizi to the secretary of the President of Manutencoop it is indeed stated "please can you print this agreement and show it to [CEO of Manutencoop]? Later I will call him, thanks" - see doc. II.151.8). </w:t>
        <w:br/>
        <w:t xml:space="preserve">261. In this regard, the defenses developed by the parties to downplay the significance of such information flows are of no avail. In particular, the fact that the format of the subcontracting contract sent by MFM to RM is a standard not completely replicated in the agreement actually concluded between RM and CNS does not appear relevant. In fact, this transmission should be correctly read in the context in which it is placed: that is, although the three parties decided to participate separately in the tender, it appears that RM shares with MFM the drafts of the compensatory agreement being negotiated with CNS regarding lot 4. In this context, it is significant that MFM interacts in the negotiation by sending the subcontracting format, regardless of the content of that format and the provisions actually included in the definitively agreed agreement between CNS and RM, provisions that were in any case shared with MFM before the signing of the agreement itself. Similarly, it cannot be said, as the parties would like, that the agreement transmitted on October 1, 2012, to MFM by RM is not significant, as it should be understood as transmitted for knowledge not as a draft but as a definitive contract. In fact, the attachment to the email returns a document not yet signed, thus still in draft form, although the negotiation is about to conclude. Furthermore, the wording of the message accompanying the transmission of the document - "please can you print this agreement and show it to [CEO of Manutencoop]? Later I will call him, thanks" - suggests that MFM's approval was necessary before the signing of the contract. </w:t>
        <w:br/>
        <w:t>262. Also for this reason, the restrictive nature of the agreement concerning lot 4 must therefore be appreciated both with regard to the competitive dynamics related to that lot and within the framework of the broader agreement under examination, relating to the entire tender. Indeed, the agreement, in addition to having its intrinsic anticompetitive value, also constitutes a piece of the overall distribution strategy implemented between the parties. In other</w:t>
      </w:r>
    </w:p>
    <w:p>
      <w:r>
        <w:rPr>
          <w:b/>
        </w:rPr>
        <w:t>[Pages 67–69]</w:t>
      </w:r>
    </w:p>
    <w:p>
      <w:r>
        <w:t>BULLETIN NO. 50 OF JANUARY 25, 2016 69</w:t>
        <w:br/>
        <w:t>In other words, since the anticompetitive choices made by Roma Multiservizi through this agreement can also be traced back to Manutencoop, the compensatory advantages that arise from it also constitute forms of consideration for the waivers of CNS, within the context of the broader agreement. The agreement for lot 4 is, therefore, also an expression of Manutencoop's waiver to participate in the tender for that same lot, while CNS is committed to ensuring that, in any case, the company attributable to it (Roma Multiservizi) would maintain its portfolio there, see also doc. II.93-6.23).</w:t>
      </w:r>
    </w:p>
    <w:p>
      <w:r>
        <w:t>263. Finally, it must be considered that Article 5.5 of the Internal Regulation of ATI 1 of October 9, 2012 (doc. I.71) unequivocally states that "the leading companies are aware of CNS's commitment, within its share, to subcontract to Roma Multiservizi the activities concerning the execution of the activities of the schools in lot 4 that will require the activation of the agreement, using for the calculation of the legal share of the subcontract also other lots in addition to lot 4, if legally possible."</w:t>
      </w:r>
    </w:p>
    <w:p>
      <w:r>
        <w:t>It is therefore clear that Kuadra, the leading company of the ATI, was well aware of the terms of the agreement concluded by CNS and Roma Multiservizi and, by accepting the tender regulations in question, endorsed its contents. This document cannot have the same evidentiary value for the assessment of Exitone's conduct, since that company, unlike Kuadra, does not constitute a competitor of CNS and RM and participated in ATI 1 to perform functions different from those of the parties, which have nothing to do with the actual execution of the services put out to tender. From these considerations also derives the obvious irrelevance of Kuadra's argument that the allegations against it would have been made 'by attraction' in terms of objective liability. It is evident, instead, that precisely because of its operational scope and its nature as a direct competitor of CNS and RM, by showing acquiescence to this regulation it has shared its collusive aspects.</w:t>
      </w:r>
    </w:p>
    <w:p>
      <w:r>
        <w:t>c) The governance relationships between Roma Multiservizi and Manutencoop</w:t>
        <w:br/>
        <w:t>264. As already highlighted, Roma Multiservizi is 51% owned by AMA S.p.A. while the remaining 49% is owned by Manutencoop and La Veneta Servizi S.p.A. The latter two companies are, like Roma Multiservizi, active (and leaders) in the cleaning services and facility management sectors. Furthermore, Manutencoop consolidates Roma Multiservizi in its financial statements and states on its website that Roma Multiservizi "became part of the Manutencoop Group in 2000."</w:t>
      </w:r>
    </w:p>
    <w:p>
      <w:r>
        <w:t>265. It should be added that, by virtue of governance rules, statutory provisions, as well as the shareholders' agreements that regulate the relationships between the companies that control Roma Multiservizi, Manutencoop appoints the managing director, who is assigned strategic tasks and, in particular, the management of the tenders in which the company participates (in particular, those with amounts not exceeding 20 million euros).</w:t>
      </w:r>
    </w:p>
    <w:p>
      <w:r>
        <w:t>266. In relation to the Consip tender, the managing director, representing MFM, was granted full decision-making and operational powers by the Board of Directors regarding the participatory strategy to be pursued (see doc. II.144). This allowed this managing director to decide independently of the collegiate body, to initially consider the possibility of direct participation in the tender, only to later renounce direct participation in the public procedure by agreeing with CNS, as an alternative, to the solution of subcontracting. The above clears any doubt that, at least within the scope of the Consip tender, all choices made by RM can also be traced back to MFM.</w:t>
      </w:r>
    </w:p>
    <w:p>
      <w:r>
        <w:t>267. In fact, during the inspection, both companies reported that Manutencoop exerts a decisive influence on the strategic decisions of Roma Multiservizi and that, for this reason, there would be, in their opinion, a risk that, during public tenders, the aforementioned exclusion hypothesis referred to in Article 38 could apply to them.</w:t>
      </w:r>
    </w:p>
    <w:p>
      <w:r>
        <w:t>268. Furthermore, it should be noted that during the investigation, evidence emerged of constant contacts between RM and its industrial partner MFM at the time of the publication of tender notices in the sectors of interest in order to evaluate the participatory strategies to be adopted, for example through specific reports shared between the tender offices of the two companies. In relation to this flow of information, the two companies reiterated the need to coordinate their respective participations in tenders always in order to avoid incurring the incompatibility causes of the aforementioned provision of the procurement code.</w:t>
      </w:r>
    </w:p>
    <w:p>
      <w:r>
        <w:t>269. It is also highlighted that in defining its business strategies, Roma Multiservizi seeks the endorsement of Manutencoop and not of AMA, as evidenced by the fact that the prospectus indicating the tenders in which the company intends to participate is sent only to Manutencoop (see doc. II.115 and doc. II.88), just as the negotiation of the agreement for lot 4 was exclusively shared with the same company (docs. II.151.2, II.151.8, and II.151.9). Nor can this assumption be undermined by the circumstance – raised in RM's defense arguments – that, in relation to the tender in question, a notice was also sent to a company partially owned by AMA; a participating company that, evidently, operated in the same market as the parties. Indeed, what is incontrovertibly evident from the records - and which the parties themselves have repeatedly confirmed during the investigation - is that MFM and RM constantly share ex ante information regarding the tender procedures of interest to both companies; a sharing that, however, never involved the majority shareholder, also due to the different business in which the latter operates. Moreover, it should be added that there are no records of information flows with the aforementioned company partially owned by AMA of the same intensity and quantity as those found between RM and MFM.</w:t>
      </w:r>
    </w:p>
    <w:p>
      <w:r>
        <w:t>270. In conclusion, the documentary evidence on record accounts for the existence of economic and organizational ties between Manutencoop and Roma Multiservizi, such as to confirm, particularly in the public cleaning services sector and certainly in relation to participation in the tender in question, that the relationships between the two companies are based on the logic of RM sharing its strategic business choices with MFM. The existence of such close economic and organizational ties between the two companies has not been contested in any way by the parties, not even in the memoranda submitted following the communication of the charges.</w:t>
      </w:r>
    </w:p>
    <w:p>
      <w:r>
        <w:t>The endogenous evidence</w:t>
        <w:br/>
        <w:t>271. Below, the evidence concerning the intrinsic unreasonableness of the participatory conduct carried out by the Parties, already mentioned in points in the introduction, is reported in a more detailed manner, which finds a plausible explanation only if framed within a collusive logic.</w:t>
      </w:r>
    </w:p>
    <w:p>
      <w:r>
        <w:t>BULLETIN NO. 50 OF JANUARY 25, 2016 71</w:t>
        <w:br/>
        <w:t>The unreasonableness of the tender choices made by the parties, as mentioned, has proven to be capable of influencing the dynamics of the tender overall considered.</w:t>
      </w:r>
    </w:p>
    <w:p>
      <w:r>
        <w:t>a) The collusive logic underlying the choice of the consortium members indicated in the tender by CNS and the consortium members who obtained subcontracts from Manutencoop and Kuadra</w:t>
        <w:br/>
        <w:t>272. In general, CNS stated that the choices of the lots in which to submit offers are also linked to the fact that, traditionally, the Consortium participates in a number of lots approximately double those that can be awarded. On this point, it is important to clarify that, as will be extensively discussed later, what is contested is not CNS's decision not to submit an offer in certain lots, but the irrationality inherent in the choice of opting for certain lots instead of others.</w:t>
      </w:r>
    </w:p>
    <w:p>
      <w:r>
        <w:t>273. This choice, in fact, can only be explained in the context of the anticompetitive dynamics that occurred between the parties and, in particular, in light of CNS's intention to make the identification of the lots functional to the collusive scheme in question. This is also confirmed by the fact that the Consortium made the choice of the lots without involving its consortium members and entirely disregarding the pre-assignment procedure provided for by the Regulation of which CNS itself is equipped.</w:t>
      </w:r>
    </w:p>
    <w:p>
      <w:r>
        <w:t>274. Pursuant to Article I.4 of this Regulation, the pre-assignment (identification of an associated company on behalf of which the Consortium participates in the tender) "occurs at the initiative of the Councilor with commercial delegation, upon formal explicit request from the interested party as well as on the indication of the territorial manager" (see doc. I.13).</w:t>
      </w:r>
    </w:p>
    <w:p>
      <w:r>
        <w:t>However, regarding the tender in question, it appears that CNS independently identified the companies on behalf of which to participate. This is evident from the fact that the lots in which it participated and the consortium members on behalf of which it submitted offers were identified by CNS just 7 days after the publication of the notice (specifically, on July 18), entirely disregarding the requests of the associates and without any verification (even after those 7 days) of the interest and capabilities of other companies to be indicated as pre-assignees (see doc. I.30.24.72).</w:t>
      </w:r>
    </w:p>
    <w:p>
      <w:r>
        <w:t>Emblematically, the companies identified in the email of July 18, 2012 correspond to 18 of the 19 consortium members indicated by CNS in the offer for the execution of the contract (see doc. I.20).</w:t>
      </w:r>
    </w:p>
    <w:p>
      <w:r>
        <w:t>275. In this regard, CNS asserted that in the tender in question for the "portfolio" consortium members (already holders of contracts related to the services put out to tender), the pre-assignment occurred by default - unless the consortium member renounced participation in the tender with the Consortium and provided that the technical requirements were met by the consortium member. According to CNS, for the consortium members who held a historical portfolio in the southern regions, the Consortium worked to ensure the maintenance of the value attributable to that historical portfolio, transferring the portfolio to regions located in the lots for which it submitted offers.</w:t>
      </w:r>
    </w:p>
    <w:p>
      <w:r>
        <w:t>As for the consortium members from Emilia Romagna - who held a significant portfolio in that region of about eight to nine million euros - at least three (Coopservice, Copura, and Coopma) would have asked CNS to be indicated for regions other than Emilia, in order to extend their operations outside the region (see infra). CNS reported that there is no trace of such requests.</w:t>
      </w:r>
    </w:p>
    <w:p>
      <w:r>
        <w:rPr>
          <w:b/>
        </w:rPr>
        <w:t>[Pages 70–72]</w:t>
      </w:r>
    </w:p>
    <w:p>
      <w:r>
        <w:t>72 BULLETIN NO. 50 OF JANUARY 25, 2016</w:t>
        <w:br/>
        <w:t>The pre-assignments of non "portfolio" consortia, on the other hand, concerned certain cooperatives from Turin and the north-east that, according to the CNS, intended to consolidate their portfolio acquired outside the Consortium in those areas (historical contracts worth 10 million euros in Piedmont and about 1 million euros in Friuli). The CNS also reported that there is no trace of requests for pre-assignments that such consortia would have made.</w:t>
        <w:br/>
        <w:t>276. In a somewhat singular manner, the documentary evidence related to requests for pre-assignment almost exclusively concerns cases in which the CNS did not accept the request made by its consortia (doc. IV.238, letter C). In particular, it emerges from the documents that, regarding the request from P&amp;V Global Service, although a portfolio consortia, the CNS, in addition to deciding not to participate in the Sicily Lot, responded to the request more than 2 months after receiving it - without feeling the need to justify in any way the choice not to participate in the awarding of that lot - and, above all, without guaranteeing that company the transfer of the portfolio to other regions for which the CNS participated (cf. I.37.4.63). That the CNS does not feel in any way bound by the expressions of interest from the consortia also emerges in relation to the choices made for lot 10 (Umbria, Marche, Abruzzo, and Molise), for which two consortia (Servizi Associati Soc. Coop and Dinamica centro Servizi) had expressed interest in participating, due to their territorial roots and the fact that they are portfolio consortia. Although the CNS submitted a bid for that lot, these requests were also not accepted by the CNS, which did not consider it necessary to formalize the decision made nor the reasons underlying it (cf. doc. II.95 and doc. IV.238, letter C). Similarly, the last formally submitted request for which there is documentary evidence, presented by BBService, which had stated that it was primarily interested in operating in Tuscany, but also expressed willingness to operate elsewhere in order to maintain its turnover (doc. IV.238, letter C, annex 1). Again, in this case, the CNS, despite having submitted a bid for that region, did not include this company among its executive consortia, without taking care to provide a response to the request and thus not justifying in any way the rejection of it.</w:t>
        <w:br/>
        <w:t>277. It is noteworthy that in Emilia Romagna, Manutencoop has entered into subcontracting agreements with CNS consortia that held a significant portfolio in that geographical area. This is clearly an adjustment made in favor of the CNS that takes into account its renunciation to submit a bid for the lot related to Emilia Romagna (cf. doc. IV.239, annex b). At the same time, this circumstance highlights that the CNS, contrary to what was stated during the investigation, was not entirely disinterested in protecting the portfolio and territoriality of its Emilia consortia, at least in favor of those that carry out most of their activities in Emilia Romagna. In other words, for the complete realization of the agreement, the CNS implemented the following strategy for Emilia Romagna: i) protection of the portfolio of the main consortium (Manutencoop); ii) transfer of the portfolio of the three most significant consortia after MFM, also through subcontracting granted by Kuadra (Coopservice, Copura, Copma, and Multiservice); iii) protection through the subcontracts granted by MFM of the portfolio of three consortia rooted in the territory and holding historical contracts there (Zerocento, Il Cerchio, and Cils); iv) failure to reconfirm historical contracts to smaller consortia.</w:t>
        <w:br/>
        <w:t>278. Manutencoop, for its part, before the Consip tender held a significant portfolio in school cleaning in the areas of Abruzzo, Molise, Marche, and Sardinia (as well as in the city of Naples) which, following the Consip tender, were awarded to the CNS and its consortia as awardees or subcontractors of Kuadra. These are, moreover, largely the same territories towards which the CNS consortia rooted in Emilia Romagna (other than Manutencoop) intended, according to the Consortium, to "extend their operations," rather than consolidate their position in Emilia Romagna (cf. CNS hearing minutes).</w:t>
        <w:br/>
        <w:t>279. The same dynamics were followed by Kuadra which, in compliance with the aforementioned agreement concluded on February 5, 2014, with the CNS (doc. I.30.24.48), transferred to CNS consortia subcontracts worth about 6.7 million euros, equivalent to about 10% of the contracts due to it. Two of these consortia, moreover, are among the "portfolio" cooperatives of the Consortium, that is, among the entities holding historical positions in the school cleaning sector through the Consortium itself (cf. doc. IV.238, letters B and H). In this regard, it is recalled that the representatives of Kuadra - in order to deny that the subcontracts granted to the CNS consortia represented a form of compliance with an anticompetitive agreement - stated that there would be an advantage for the company in resorting to subcontracting, consisting of avoiding startup costs and direct and indirect personnel management costs. Furthermore, the same individuals, always in the perspective of validating the autonomy of the choices made by the company, also stated that Kuadra had a specific interest in having the CNS indicate certain names among their consortia to which the company could turn to entrust part of the services in subcontracting. This in order to identify reliable contractors, but also because in this way Kuadra would be relieved of any responsibility for a service performed inadequately. However, this reconstruction does not align with the literal wording of the agreement which clearly states that the CNS proposed (and Kuadra accepted) as many as 10 consortia to which the latter would have entrusted the subcontracted services, while Kuadra proposed only 2 (doc. I.30.24.48). Similarly, in an email dated December 6, 2013, it is stated that Kuadra, through this agreement, committed to having "preferred" companies work for the CNS, "provided that we indicate some companies ourselves." Moreover, the CNS itself reported having "asked Kuadra to award subcontracts to certain cooperatives of the CNS, particularly those of small size that, as already explained, do not participate in the tender but wait to propose themselves as subcontractors of the winning companies."</w:t>
        <w:br/>
        <w:t>b) The anomaly of the CNS's failure to submit a bid for Lot 2</w:t>
        <w:br/>
        <w:t>280. Returning to the motivations underlying the identification of the lots in which to submit a bid, the CNS's choice not to present itself in Emilia Romagna is entirely irrational. This, firstly, because it is the region of the Consortium's affiliation (where the CNS has its legal and administrative headquarters) and where it has historically been present. From the same data provided by the Consortium, it emerges that Emilia Romagna is the region where the CNS achieved the highest turnover for cleaning services in 2012 (about 43.2 million euros), where the highest number of active associated companies in the cleaning services sector is located.</w:t>
        <w:br/>
        <w:t>281. From the analysis of the acquired data, it emerges, in relation to the year 2012, that Emilia Romagna is the first region for turnover of the portfolios intermediated by the associates in the public procurement cleaning sector and, in relation to "historical" contracts, the second region for turnover after Campania.</w:t>
        <w:br/>
        <w:t>282. The documentation on file, moreover, attests that it is customary for the CNS to work for the protection of the activities of the consortia operating in Emilia Romagna; this is evident, for example, from the document referring to a meeting regarding the "continuation of the 'historical' contracts of Emilia Romagna" addressed to 15 consortia, including Manutencoop itself, dated August 2011 (therefore prior to the publication of the tender which took place in July 2012).</w:t>
        <w:br/>
        <w:t>283. The anomaly of the CNS's failure to submit a bid in Emilia Romagna emerges, in any case, from the already mentioned document found at Manutencoop regarding the meeting held at the CNS on March 13, 2013 (before the awarding of the Consip tender) with the agenda "schools historical contracts" in which one of the agenda items was emblematically the following: "CNS did not participate in the Emilia Romagna lot." The fact that this issue was treated as a standalone point, in addition to highlighting its peculiarity, also suggests that during the meeting there was discussion of the compensatory "adjustments" to be implemented in light of this important renunciation by the CNS.</w:t>
        <w:br/>
        <w:t>284. It should also be added that Emilia Romagna is one of the few regions where the issue of re-employment of so-called LSU does not arise - which are completely absent in this Region (cf. doc. I.29). Therefore, it was a particularly attractive lot, given that, in the sector, as asserted on several occasions by the parties themselves, the issue of managing LSU is very felt (as emerges from numerous documents on file, including, for example, I.37.4.52 and I.37.4.53).</w:t>
        <w:br/>
        <w:t>285. In light of the above, the argument that the choice not to participate in lot 2 would have been dictated by the desire to diversify its activities across the territory cannot even be considered plausible. This justification appears, in fact, entirely irrational in light of the considerations that precede it and even more so if one takes into account the highlighted protectionist dynamics that inspire the Consortium's choices.</w:t>
        <w:br/>
        <w:t>286. More precisely, the CNS justified its failure to participate in the Emilia Romagna lot by the lack of interest that had, in fact, arisen among the consortia that would have wanted to participate in the tender through the Consortium itself.</w:t>
        <w:br/>
        <w:t>287. In particular, the CNS represented that it prioritizes in its assignment procedures the so-called "portfolio" cooperatives, that is, those that already perform the services put out to tender due to previous contracts. Among the "portfolio" consortia of the CNS, which already provided cleaning services in the schools in Emilia-Romagna subject to the Consip tender, there were at the time of the tender 10 cooperatives, which totaled a turnover of about 8-9 million. Among these cooperatives, in addition to Manutencoop, are Coopservice, Multiservice, CILS, Coopura, Coopma, Formula Servizi, and ZeroCento. Of these, three obtained subcontracts from</w:t>
      </w:r>
    </w:p>
    <w:p>
      <w:r>
        <w:rPr>
          <w:b/>
        </w:rPr>
        <w:t>[Pages 73–75]</w:t>
      </w:r>
    </w:p>
    <w:p>
      <w:r>
        <w:t>BULLETIN NO. 50 OF JANUARY 25, 2016 75</w:t>
        <w:br/>
        <w:t>Manutencoop for approximately 4-5 million euros, while the others have been reallocated, also in other regions and also through subcontracting, as they held significant portfolios.</w:t>
        <w:br/>
        <w:t>288. According to statements from the CNS, Manutencoop reportedly declared that it was not interested in participating in the tender through the Consortium, but rather to participate alone in the procedure. As for the other "portfolio" cooperatives of the CNS, already operating in Emilia-Romagna in the school cleaning sector, they, according to the Consortium, would have been interested in extending their operations outside the Emilia-Romagna region, for example towards the neighboring regions of Marche and Abruzzo, rather than taking on new work in Emilia-Romagna, a region where they were already operating due to the previous Intercent.er contract and were therefore already designated through the Consortium.</w:t>
        <w:br/>
        <w:t>In this regard, it should be noted that there is no documentary evidence of this alleged intention of the Emilia-Romagna consortium members, neither in the form of correspondence between the CNS and the interested consortium members, nor in the form of internal documents of the CNS.</w:t>
        <w:br/>
        <w:t>289. In any case, this reconstruction of the facts also appears highly implausible: the two phases – of contracting and execution of orders – of the Intercent.er contract would have expired well before the corresponding phases related to the Consip tender (in particular, the contracting phase of the Intercent.er contract, which expired in 2013, was extended to June 2014, while the contracting period for the Consip contract would last until the end of 2015; moreover, the execution phase of the orders would have a maximum duration of three years for the Intercent.er contract, expiring in June 2017, while for the Consip contract it would last up to a maximum of four years, expiring in November 2019). It is therefore entirely unreasonable to assert that there was no advantage for the consortium members rooted in Emilia-Romagna to be indicated, within the Consip tender, by the CNS as pre-awardees for lot 2, especially considering that the Consortium has not accounted for what the advantages of such diversification could be, compared to the possibility of consolidating or confirming their presence within the reference region.</w:t>
        <w:br/>
        <w:t>290. Finally, as mentioned, the reasoning put forward by the CNS is unconvincing simply in light of the fact that Manutencoop itself, the largest and most structured consortium member, also based in Emilia-Romagna and also holding previous contracts in that region, including the Intercent.er contract itself, deemed it appropriate to participate in the Consip tender for the Emilia-Romagna lot and won that lot. Similarly, as previously stated, other CNS consortium members have also entered into substantial subcontracts with Manutencoop to obtain a share of the orders generated by the Consip agreement in the same Emilia-Romagna region.</w:t>
        <w:br/>
        <w:t>c) The CNS offers for lots 3 and 9</w:t>
        <w:br/>
        <w:t>291. Regarding the offers submitted by the CNS for lots no. 3 and 9 (the only two where there was an overlap with Manutencoop), it has already been mentioned that the reduced amount of these offers, due to the characteristics of the formula used for calculating the economic score, had the effect of reducing the average discount level and thus mitigating the impact of aggressive economic offers that may have been submitted by competitors. In this regard, it is noted that lots 3 and 9 are those characterized by the highest number of participants and therefore most exposed to competition.</w:t>
        <w:br/>
        <w:t>76 BULLETIN NO. 50 OF JANUARY 25, 2016</w:t>
        <w:br/>
        <w:t>As already recalled, lots 3 and 9 are those where the lowest average discounts are recorded (with a single exception) and, in any case, lower than the other 2 lots in which MFM submitted an offer.</w:t>
        <w:br/>
        <w:t>292. Furthermore, the choice of CNS and Manutencoop to overlap on the indicated lots also allowed them to simulate the existence of competitive confrontation between the two companies and, therefore, to make less evident the presence of a distribution scheme.</w:t>
        <w:br/>
        <w:t>293. In relation to the not at all aggressive offers submitted by the CNS in the lots where there was an overlap with Manutencoop, during the inspection activities, representatives of the Consortium stated that the choice to propose such contained discounts was dictated by the fact that there were a "limited number of consortium cooperatives already present in the territory and suitable to perform the services put to tender" in the geographical areas related to lots no. 3 and 9. This statement is difficult to reconcile with the description of the participatory strategy adopted for the Consip tender by the CNS, as reported during the hearing with the offices, according to which many consortium members with headquarters and portfolio contracts in certain regions were then assigned contracts in different territorial areas. During the hearing, the representative of the CNS also stated that "in Tuscany, the CNS submitted an offer at the request of Coplat, in order to assign it the equivalent value of the portfolio that would be transferred from Campania."</w:t>
        <w:br/>
        <w:t>294. In the final submissions, the CNS then stated that the low level of offer on these two lots would be motivated by the different characteristics of these lots compared to the other four lots for which the ATI 1 led by it submitted an offer. The specificity of each lot, to which the CNS referred, contradicts the fact that the Consortium nonetheless formulated an identical menu of economic offers precisely for lots 3 and 9 (as the economic offer formulated by ATI 1 for lots 4 and 5 was also identical), even though the latter referred to territories that are certainly different from each other (respectively Tuscany for lot 3 and Veneto and Friuli Venezia Giulia for lot 9). It should be noted, moreover, that an experienced and qualified operator like MFM instead decided to present an identical menu of offers for all four lots for which it participated, including lots 3 and 9.</w:t>
        <w:br/>
        <w:t>295. The argument of the parties that, for these lots, not only the economic offer of the CNS but also the technical one should be considered is also of little merit. In fact, it has been seen that the score assigned to the technical offer submitted by the CNS for these two lots was substantially similar to the scores obtained by the Consortium for the technical offers submitted in the other lots, which, it should be noted, were always higher than those assigned to all other participants. Given its know-how, structure, and organizational capabilities, its years of experience, as well as the territorial roots of the consortium members, the Consortium – the market leader – was evidently in a position to formulate technical offers of considerable level indiscriminately across all lots in which it participated.</w:t>
        <w:br/>
        <w:t>296. The investigative hypothesis that the offers submitted by the Consortium for lots 3 and 9 did not correspond to a genuine intention to win those contracts appears to be widely confirmed by the aforementioned CNS document of November 6, 2012 (see doc. I.37.4.53), in which, a few days after the public session, the Consortium examines the scenario that will result from the procedure. In the document, in fact, lots 3 and 9 are not considered at all in the evaluation of the competitive positioning of the CNS in the market following the tender.</w:t>
      </w:r>
    </w:p>
    <w:p>
      <w:r>
        <w:t>BULLETIN NO. 50 OF JANUARY 25, 2016 77</w:t>
        <w:br/>
        <w:t>d) Further elements of irrationality in the choice of lots</w:t>
        <w:br/>
        <w:t>297. If the choice of the CNS not to submit an offer in Emilia-Romagna is clearly a piece of the distribution scheme that aimed to leave Manutencoop free in that region, the evidence in the records shows that the choices related to other lots also present elements of unreasonableness or, in any case, do not reconcile well with the arguments that the Consortium itself has represented as the basis of its participatory strategy for the Consip tender.</w:t>
        <w:br/>
        <w:t>298. In particular, from the analysis of the data related to the portfolio of the consortium members intermediated by the Consortium for each region concerning the revenue from cleaning services for public clients and the data of the so-called "historical" contracts (these latter data constitute a subset of the portfolio for cleaning services for public clients) held by the associates of the Consortium, a picture emerges that makes the reconstructions outlined by the CNS regarding the motivations underlying the participatory choices made quite unconvincing.</w:t>
        <w:br/>
        <w:t>299. This is particularly true for the lot related to Lombardy. In fact, this is a region where there were no former LSU and where it appears that two CNS consortium members had significant portfolios (totaling approximately 711,000 euros). It is significant that, even in this case, the consortium member with the most substantial portfolio in the region (Multiservice, holder of historical contracts in Lombardy worth approximately 510,000 euros, a value that reaches one million euros if its Emilia portfolio is also considered) has nonetheless seen its portfolio protected, through a transfer obtained with the commitment of Kuadra to assign Multiservice subcontracts in Piedmont worth almost 750,000 euros.</w:t>
        <w:br/>
        <w:t>300. Keeping in mind the principles that the CNS has reported as the basis of its tender strategy (protection of the consortium portfolio, value of the lots, presence or absence of former LSU), it is difficult to understand, unless in a distribution logic, why in this region the CNS, rather than working to ensure that its most significant consortium member was compensated through the subcontracting tool, did not submit an offer for the lot including that region. This appears even more anomalous considering that for the Lombardy lot, the CNS preferred, for example, a lot of lesser value, that including Tuscany (lot 3), in which, despite the same number of former LSU, there were no consortium companies with portfolios. It therefore does not seem coincidental that lot 3 is one of those in which the CNS submitted a much less aggressive offer.</w:t>
        <w:br/>
        <w:t>301. Upon closer inspection, the criteria that the CNS would have followed in identifying the lots to participate in are not entirely coherent even with the choice to participate for lot 4 (Sardinia and Lazio). As seen, in fact, the presence of contracts that implied the absorption of a large number of former LSU led to the decision not to participate for the Sicily lot – with the consequent commitment to transfer outside the region the portfolio of the 2 consortium members that generated the highest revenue in that region (Coopservice and Gierre). It is therefore at least singular that these same concerns were not taken into account at all for the choice to submit an offer in the Lazio/Sardinia lot (whose value is very close to that of Sicily and where the numbers of former LSU are not much lower). Again, therefore, the choice of one lot over another fits well within the collusive perspective, on the basis of which Manutencoop and the CNS had mutually committed to protect, among others, the portfolio of the company attributable to Manutencoop (Roma Multiservizi). More precisely, only by keeping in mind the collusive scheme can one understand why the CNS granted a subcontract of absolute significance.</w:t>
      </w:r>
    </w:p>
    <w:p>
      <w:r>
        <w:rPr>
          <w:b/>
        </w:rPr>
        <w:t>[Pages 76–78]</w:t>
      </w:r>
    </w:p>
    <w:p>
      <w:r>
        <w:t>78 BULLETIN NO. 50 OF JANUARY 25, 2016</w:t>
        <w:br/>
        <w:t>economic to a non-consortium company, betraying its mission and renouncing to channel the corresponding sums into the consortium portfolio.</w:t>
        <w:br/>
        <w:t>302. As already highlighted in the introduction, the elements of unreasonableness found must be assessed with the entire context of the tender in mind, in order to evaluate whether the fact that certain participatory choices were preferred over others responds to rationality, also considering the criteria that, according to the parties themselves, should have guided their tender strategies. In other words, the identified irrationality should not be evaluated in relation to the attractiveness or otherwise of the individual lot – according to the approach of parcelization proposed by the Parties – but rather with regard to the overall picture. To this end, therefore, the Offices conducted a comparative exercise merely as an example, to highlight how, when evaluated as a whole, the tender behaviors of the parties do not appear reconcilable with a logic of entrepreneurial autonomy.</w:t>
        <w:br/>
        <w:t>VI. CONCLUSIONS</w:t>
        <w:br/>
        <w:t>303. From the entirety of the exogenous and endogenous evidence established, it emerges incontrovertibly that, during the procedure initiated by Consip, the companies CNS, MFM, RM, and Kuadra engaged in an anti-competitive agreement for its very object, sub specie of a coordinated practice, with the aim of conditioning the outcomes of the Consip tender, through the elimination of mutual competitive confrontation and the division of the lots, in order to secure the most attractive ones within the maximum limit set by the lex specialis.</w:t>
        <w:br/>
        <w:t>304. The sharing of the choice of the 8 lots on which to submit an offer and the consequent decision not to participate for the other 5 put out to tender inevitably influenced the outcomes of the procedure concerning all 13 lots. If, in fact, the participatory strategies of all the parties involved in the agreement had been taken independently and, therefore, guided by competitive confrontation logics, different results would most likely have been observed.</w:t>
        <w:br/>
        <w:t>305. As seen, CNS and its main consortium member Manutencoop decided to participate separately in the tender. If the latter had participated as a company indicated by the Consortium, the maximum number of lots that could have been jointly awarded would have been 3, whereas by participating separately, CNS and MFM were able to count on 6 lots.</w:t>
        <w:br/>
        <w:t>306. The aforementioned companies, once deciding on independent participation in the tender, should have competed as independent entities, entirely disregarding the consortium ties that bind them. Conversely, CNS and MFM identified the lots on which they would respectively concentrate their efforts through exchanges of information, pursuing a common participatory design. In particular, CNS participated in the tender having among its main objectives the protection of historical contracts and the portfolio of its largest consortium member (Manutencoop), primarily safeguarding its interests, even to a greater extent than the interests of the consortium members on behalf of which it submitted the offers. The two companies operated under the assumption that both would collectively benefit from the results that each would individually achieve, given that, despite its individual participation in the tender, MFM remains a company adhering to the Consortium, from whose results the latter inevitably benefits.</w:t>
      </w:r>
    </w:p>
    <w:p>
      <w:r>
        <w:t>BULLETIN NO. 50 OF JANUARY 25, 2016 79</w:t>
        <w:br/>
        <w:t>More generally, in the context of the tender in question, CNS appears to have primarily considered the interests of the larger consortium members over those of the smaller consortium members. From the aggregate of such behaviors, a distorted use of the consortium tool by CNS has therefore emerged.</w:t>
        <w:br/>
        <w:t>307. Only by keeping these dynamics in mind can one understand the rationale underlying CNS's choices to participate in some lots and not in others. Considering the characteristics of the various lots, CNS's tender strategy has indeed proven to be entirely irrational, as well as inconsistent with the principles that CNS itself has stated are the basis of its participatory choices (protection of the consortium portfolio, value of the lots, presence or absence of former LSU) and can only be explained when viewed in light of the collusive objective shared with MFM to secure, overall, 6 lots instead of 3. In particular, the decision not to submit an offer for the lots including Emilia Romagna (lot 2) and Lombardy (lot 8), which were subsequently awarded to MFM, is entirely irrational according to a business logic. Fully consistent with the same collusive dynamic are the decidedly non-competitive offers submitted by the Consortium for the lots including the regions of Tuscany (lot 3) and Veneto (lot 9), both awarded to Manutencoop. Similarly, in submitting an offer for the lot including Lazio and Sardinia (lot 4), CNS intended to guarantee a non-consortium company (Roma Multiservizi), linked to Manutencoop, the full maintenance of the historical portfolio in the city of Rome, by virtue of the compensatory agreement.</w:t>
        <w:br/>
        <w:t>308. In light of CNS's efforts to protect MFM's portfolio, the latter, in addition to renouncing to submit an offer for lot 4 (despite the substantial portfolio held there by Roma Multiservizi), committed, through the instrument of subcontracting, to assist CNS so that other consortium members holding historical contracts would also be guaranteed the maintenance of such contracts or at least the value of the portfolio attributable to them.</w:t>
        <w:br/>
        <w:t>309. The same type of refinements to the collusive framework was ensured by Kuadra, which, due to a prior credit owed to CNS, was admitted by the latter to participate alongside it in the tender within ATI 1, while simultaneously agreeing to grant subcontracts to significant consortium members of CNS, to whom the Consortium intended to guarantee the maintenance of the portfolio.</w:t>
        <w:br/>
        <w:t>310. The agreement was able to fully materialize and be implemented also due to the exchanges of sensitive information that took place within the context of the existing governance relationships between MFM and RM. The latter indeed played a crucial role as a vehicle for information between CNS and Manutencoop.</w:t>
      </w:r>
    </w:p>
    <w:p>
      <w:r>
        <w:t>80 BULLETIN NO. 50 OF JANUARY 25, 2016</w:t>
        <w:br/>
        <w:t>VII. HARM TO TRADE BETWEEN MEMBER STATES</w:t>
        <w:br/>
        <w:t>311. According to the European Commission, the concept of harm to trade between Member States must be interpreted taking into account the direct or indirect, actual or potential influence on trade flows between Member States. Significant in this regard are the community relevance of the tender procedure in question, the fact that the services subject to the tender concern the entire national territory, as well as the participation in this tender of companies with international vocation. Consequently, the agreement in question, being capable of causing harm to trade between Member States, must be assessed pursuant to Article 101 TFEU.</w:t>
        <w:br/>
        <w:t>VIII. GRAVITY OF THE AGREEMENT</w:t>
        <w:br/>
        <w:t>312. Article 15, paragraph 1, of Law No. 287/90 provides that the Authority, in cases of serious infringements, taking into account their severity and duration, shall impose an administrative pecuniary sanction of up to ten percent of the turnover achieved by each company or entity in the last financial year closed prior to the notification of the warning adopted as a result of an investigative procedure.</w:t>
        <w:br/>
        <w:t>313. According to established community and national jurisprudence, to assess the severity of an infringement, a large number of factors must be taken into account, the nature and importance of which vary depending on the type of infringement and its particular circumstances. Among these factors, the nature of the restriction of competition as well as the role and market representation of the companies involved are particularly relevant.</w:t>
        <w:br/>
        <w:t>314. As for the nature of the agreement in question, based on the investigative findings, it has been established that the companies CNS, MFM, Kuadra, and RM have entered into a secret horizontal agreement, restrictive of competition, in the form of a coordinated practice aimed at conditioning the outcomes of the Consip tender, through the elimination of mutual competitive confrontation and the division of the lots to be awarded within the maximum limit set by the lex specialis.</w:t>
        <w:br/>
        <w:t>315. In particular, this is a secret horizontal agreement aimed at conditioning the dynamics of the aforementioned tenders in order to neutralize competitive confrontation for the awarding of contracts. It is noted that the agreement involved the major players in the reference market and was fully implemented, resulting in the division of the market.</w:t>
        <w:br/>
        <w:t>316. The described behavior is considered among the most serious violations of antitrust law as it is, by its very nature, capable and intended to alter, in the event of the awarding of the tender – as subsequently occurred – for the entire duration of the assignment, the normal functioning of the market.</w:t>
      </w:r>
    </w:p>
    <w:p>
      <w:r>
        <w:rPr>
          <w:b/>
        </w:rPr>
        <w:t>[Pages 79–81]</w:t>
      </w:r>
    </w:p>
    <w:p>
      <w:r>
        <w:t>BULLETIN NO. 50 OF JANUARY 25, 2016 81</w:t>
        <w:br/>
        <w:t>competition; in particular, the established anticompetitive behavior constitutes a very serious violation of Article 101 TFEU.</w:t>
        <w:br/>
        <w:t>IX. SANCTIONS</w:t>
        <w:br/>
        <w:t>317. In order to quantify the sanctions, it is necessary to take into account the provisions of Article 11 of Law No. 689/1981, as referenced by Article 31 of Law No. 287/90, as well as the interpretative criteria outlined in the "Guidelines on the application of the criteria for quantifying administrative pecuniary sanctions imposed by the Authority in application of Article 15, paragraph 1, of Law No. 287/90" (hereinafter, Guidelines), adopted by the Authority on October 22, 2014.</w:t>
        <w:br/>
        <w:t>318. As a preliminary matter, it is noted that the objection raised by certain parties that the aforementioned Guidelines could not apply in this case cannot be accepted. The Guidelines themselves, in point 35, define their temporal scope of application, stating: "These Guidelines apply to ongoing proceedings in which the communication of the investigative findings, referred to in Article 14, paragraph 1 of DPR No. 217/98, has not been notified to the parties." The Authority adopted the Guidelines on October 22, 2014, that is, a few days after the initiation of the present proceeding (which took place on October 8, 2014), the investigative findings of which were transmitted to the parties at a later date (October 16, 2015). It should also be added that the purpose of the guidelines is to clarify the methodology followed for the quantification of the sanction to inform the parties of the reasons and the process that led the Authority to impose a specific fine (point 4). Therefore, it is a tool aimed at ensuring a higher degree of transparency in the evaluative process carried out by the Authority in exercising its sanctioning power.</w:t>
        <w:br/>
        <w:t>319. As for the turnover to be considered for the determination of the base amount of the sanctions, based on points 7 and following of the Guidelines, this amount is obtained by multiplying a percentage of the value of the sales of the goods or services that are the subject, directly or indirectly, of the infringement, determined according to the level of severity of the infringement, by the duration of each company's participation in the infringement. When the infringement occurs in relation to a public tender procedure, according to point 18 of the Guidelines, the initial data to be referenced for calculating the base amount of the fine are those corresponding to the award amounts of the procedure affected by the agreement, or, in the absence of an award, to the amounts set as the basis for the auction.</w:t>
        <w:br/>
        <w:t>320. In this case, therefore, considering the provisions of the special law of the tender, the award amount is identified as the maximum total value provided for each lot awarded to ATI 1 (lots 1, 4, and 10) and to MFM (lots 2, 8, and 9), given that the discounts presented during the tender concerned the unit prices of the services offered to be practiced within the maximum contractual value defined by the notice.</w:t>
        <w:br/>
        <w:t>321. The maximum contractual value considered for each lot includes the additional ceilings which, contrary to what the Parties claim, constitute an integral part thereof. In fact, these ceilings are configured as an expansion of the performance object of the contract and the related consideration that the contracting authority can impose - by virtue of certain conditions - on the awarded party without further public tender or private negotiation. The additional ceilings therefore fall within the consideration of the contract whose awarding procedure has been conditioned by the established collusive agreement between the parties. The fact that for some lots this ceiling has not been activated is therefore irrelevant for the purposes at hand.</w:t>
        <w:br/>
        <w:t>322. Similarly, the hypothesis proposed by the Parties to refer to the turnover actually realized following the supply orders issued by the schools is not worthy of acceptance. This approach, in fact, would not be consistent with the calculation criteria for the base amount of the sanction outlined in the Guidelines and would lead to referencing amounts completely disconnected from the agreement, as the Parties planned their conduct in order to coordinate their respective participation strategies based on the amounts put to tender, the only ones available at the time of the realization of the agreement.</w:t>
        <w:br/>
        <w:t>323. Similar considerations can be made regarding the circumstance highlighted by the Parties, according to which the contracting authority Consip would have overestimated the tender values, compared to those that later turned out to be the subsequent funding from the MIUR. It is the total amounts that were taken into consideration by the parties to formulate the offers within the public tender procedure. Therefore, the fact that the MIUR decided to allocate a more limited amount during the execution of the contract does not appear relevant, since this decision is nonetheless subsequent to the temporal context in which the collusion aimed at influencing the tender is situated. Moreover, the possibility should not be overlooked, which indeed occurred in this case, that limited public allocations may be followed by others introduced by subsequent legislative or governmental interventions.</w:t>
        <w:br/>
        <w:t>324. In its final memorandum, the CNS argued that for the purpose of identifying the parameter to measure the amount of the sanction, account should be taken of the "own characteristic revenues of the Consortium," that is, only the value of the intermediation activity carried out by the Consortium itself related to the submission of offers and, more generally, to the conduct of the tender. Similar considerations regarding the necessity to refer exclusively to the characteristic revenues of the Consortium would apply, according to the CNS, for the determination of the maximum statutory amount of the sanction.</w:t>
        <w:br/>
        <w:t>325. In this regard, it is noted that in general and with specific regard to the context of public contracts, the Consortium stands as a distinct center of attribution of legal relations compared to the member companies, with its own organizational structure, endowed with full legal personality. Within a tender, the Consortium participates in its own name, albeit on behalf of the member companies/executors, and it is the Consortium that is attributed the possible award and stipulation of the contract as well as the related effects and associated management risks. It follows that the reference parameter for identifying the portion of the award amount attributable to the CNS and the amount of turnover to measure the maximum statutory amount cannot be reduced to the sole intermediation margin of the Consortium, but must extend to the entire value of the services put to tender and attributable to the Consortium itself even if they will, according to the mutualistic mechanism, be executed concretely by the designated member companies in the offer.</w:t>
        <w:br/>
        <w:t>326. That said, the total award values attributable to ATI 1 and to MFM are as follows:</w:t>
        <w:br/>
        <w:t>Awardee Total award value</w:t>
        <w:br/>
        <w:t>ATI 1 456,830,000.00 euros</w:t>
        <w:br/>
        <w:t>MFM 323,400,000.00 euros</w:t>
        <w:br/>
        <w:t>327. Within ATI 1, the aforementioned total amount must be divided according to the participation shares in the grouping, as defined in the founding documents of ATI and in the offer documentation. Therefore, the breakdown of the mentioned award amount for each of the two participants to whom the contested conduct is attributed is reported. The share related to Exitone (equal to 3%) is therefore not considered or reassigned.</w:t>
        <w:br/>
        <w:t>ATI 1 Component Participation share in ATI Share of the tender value</w:t>
        <w:br/>
        <w:t>CNS 82% 374,600,600.00 euros</w:t>
        <w:br/>
        <w:t>Kuadra 15% 68,524,500.00 euros</w:t>
        <w:br/>
        <w:t>328. In relation to RM, having renounced participation in the tender to obtain, as a compensatory advantage, subcontracts based on lot 4 awarded to ATI 1, the value to be considered coincides with the amounts of the subcontracts currently arranged, in implementation of the anticompetitive agreement concluded between CNS and RM, in favor of the Party, during the period 2014/2015 and as detailed in points 82 and 84, which amount to 22,519,397.23 euros.</w:t>
        <w:br/>
        <w:t>329. In this regard, RM's argument that considering both the subcontracts received in 2014 and those received in 2015 would be contrary to the provisions of the Guidelines, which instead indicate that the value of sales "in the last full year of participation in the infringement" should be taken as a reference, is not worthy of acceptance. In this regard, it is noted that this reference pertains to antitrust violations occurring in contexts different from public tenders, for which this value is then recalibrated based on the duration of the violation itself. Conversely, in cases of agreements made during tenders, the amount taken as a reference must be...</w:t>
      </w:r>
    </w:p>
    <w:p>
      <w:r>
        <w:rPr>
          <w:b/>
        </w:rPr>
        <w:t>[Pages 82–84]</w:t>
      </w:r>
    </w:p>
    <w:p>
      <w:r>
        <w:t>84 BULLETIN NO. 50 OF JANUARY 25, 2016</w:t>
        <w:br/>
        <w:t>reference (value of the award) is an intrinsic expression, among other things, of the duration of the agreement, so much so that it is not recalibrated based on this parameter.</w:t>
        <w:br/>
        <w:t>330. Therefore, the total value of the awarded amounts attributable to each party is reported below.</w:t>
        <w:br/>
        <w:t>CNS 374,600,600.00 euros</w:t>
        <w:br/>
        <w:t>Manutencoop 323,400,000.00 euros</w:t>
        <w:br/>
        <w:t>Roma Multiservizi 22,519,397.23 euros</w:t>
        <w:br/>
        <w:t>Kuadra 68,524,500.00 euros</w:t>
        <w:br/>
        <w:t>331. This initial amount has been multiplied by the percentage that reflects the severity of the infringement. Since it is a very serious infringement of Article 101 TFEU, namely a secret horizontal agreement for the allocation of contracts and price fixing, point 11 of the Guidelines provides for a range of 15-30%; in this case, the value considered, equal for all parties, is 15%.</w:t>
        <w:br/>
        <w:t>332. The base amount of the resulting sanctions is summarized in the table below:</w:t>
        <w:br/>
        <w:t>Company Base amount (euros)</w:t>
        <w:br/>
        <w:t>CNS 56,190,090</w:t>
        <w:br/>
        <w:t>Manutencoop 48,510,000</w:t>
        <w:br/>
        <w:t>Roma Multiservizi 3,377,910</w:t>
        <w:br/>
        <w:t>Kuadra 10,278,675</w:t>
        <w:br/>
        <w:t>333. For Kuadra, a reduction of 15% has been applied to the base amount thus obtained, based on the mitigating circumstance identifiable in the more marginal role played by the company in the organization and execution of the infringement.</w:t>
        <w:br/>
        <w:t>334. As a result of the above, the amounts of the sanctions are equal to those indicated in the following table:</w:t>
        <w:br/>
        <w:t>Sanction in application Maximum penalty</w:t>
        <w:br/>
        <w:t>Company of the Guidelines (euros) (euros)</w:t>
        <w:br/>
        <w:t>CNS 56,190,090 74,431,517</w:t>
        <w:br/>
        <w:t>Manutencoop 48,510,000 73,114,249</w:t>
        <w:br/>
        <w:t>Roma Multiservizi 3,377,910 7,939,664</w:t>
        <w:br/>
        <w:t>Kuadra 8,736,874 5,763,882</w:t>
      </w:r>
    </w:p>
    <w:p>
      <w:r>
        <w:t>BULLETIN NO. 50 OF JANUARY 25, 2016 85</w:t>
        <w:br/>
        <w:t>313. Finally, account has been taken of the legal maximum threshold, equal to 10% of the total turnover of the Parties for the year 2014 (Article 15, paragraph 1, of Law No. 287/90). This constraint applies in this case for the quantification of the sanction for Kuadra, as can be seen from the preceding table.</w:t>
        <w:br/>
        <w:t>The Authority has thus determined the application to the interested Parties of an administrative pecuniary sanction amounting respectively to what is indicated in the following table:</w:t>
        <w:br/>
        <w:t>Company Sanction – Final amount (euros)</w:t>
        <w:br/>
        <w:t>CNS 56,190,090</w:t>
        <w:br/>
        <w:t>Manutencoop 48,510,000</w:t>
        <w:br/>
        <w:t>Roma Multiservizi 3,377,910</w:t>
        <w:br/>
        <w:t>Kuadra 5,763,882</w:t>
        <w:br/>
        <w:t>Requests for inability to contribute</w:t>
        <w:br/>
        <w:t>335. CNS, MFM, and Kuadra have formally requested a declaration of inability to contribute pursuant to point 31 of the Guidelines.</w:t>
        <w:br/>
        <w:t>336. In this regard, it is preliminarily noted that, under community law, the main requirements for the recognition of a possible reduction of the sanction for inability to contribute are:</w:t>
        <w:br/>
        <w:t>- the ascertainment of a concrete risk of bankruptcy or total loss of asset value (net worth);</w:t>
        <w:br/>
        <w:t>- the existence of a causal link between the sanction and the aforementioned risk of bankruptcy.</w:t>
        <w:br/>
        <w:t>Also in adherence to community principles, the granting of the benefit in question is entirely exceptional.</w:t>
        <w:br/>
        <w:t>337. In light of the evaluation methods followed by the European Commission, the verification of the risk of bankruptcy and the causal link between this and the sanction claimed by CNS, MFM, and Kuadra has been subject to a quantitative analysis, based in particular on an examination of the financial data, performing - in addition to the assessment of the weight of the sanction relative to the size of the company - the calculation of a series of indices (of liquidity, solvency, and profitability), as well as the calculation of the so-called Z’ and Z’’ scores of Altman.</w:t>
        <w:br/>
        <w:t>338. Regarding CNS, the company's financial data did not reveal any issues concerning liquidity; although the solvency indicators present some criticalities (particularly regarding Net Asset), the fact that the analysis of the aforementioned Z’ and Z’’ scores does not reveal problematic data means that the conditions for accepting the request in question are not met.</w:t>
        <w:br/>
        <w:t>339. Similar conclusions are reached by the analysis of MFM's financial data, which do not reveal particular criticalities. The only indicators that present some problematic aspects (net debt to EBITDA and Z’ score) remain such regardless of the application of the sanction, thus lacking the necessary causal link for the acceptance of the request for inability to contribute.</w:t>
        <w:br/>
        <w:t>340. Finally, regarding Kuadra's situation, the company's financial data did not reveal significant issues concerning liquidity; the Z’ score indicator and some solvency indicators present issues that, however, are independent of the application of the sanction. Therefore, the prerequisites for accepting the request are also not met for Kuadra.</w:t>
        <w:br/>
        <w:t>341. In consideration of the above, the final amount of the sanction is set at 56,190,090 euros for CNS – National Services Consortium cooperative society, 48,510,000 euros for Manutencoop Facility Management S.p.A., 3,377,910 euros for Roma Multiservizi S.p.A., and 5,763,882 euros for Kuadra S.p.A.</w:t>
        <w:br/>
        <w:t>CONSIDERING, therefore, that the companies CNS – National Services Consortium cooperative society, Manutencoop Facility Management S.p.A., Kuadra S.p.A., and Roma Multiservizi S.p.A. have engaged in a restrictive agreement of competition in the form of a collusive practice, with the aim of influencing the outcomes of the Consip tender, through the elimination of mutual competitive confrontation and the allocation of lots to be awarded within the maximum limit set by the lex specialis, in violation of Article 101 of the Treaty on the Functioning of the European Union; all this having been stated and considered;</w:t>
        <w:br/>
        <w:t>RESOLVES</w:t>
        <w:br/>
        <w:t>a) that the companies CNS – National Services Consortium cooperative society, Manutencoop Facility Management S.p.A., Kuadra S.p.A., and Roma Multiservizi S.p.A. have engaged in a restrictive agreement of competition contrary to Article 101 of the Treaty on the Functioning of the European Union (TFEU) consisting of a collusive practice aimed at influencing the outcomes of the Consip tender, through the elimination of mutual competitive confrontation and the allocation of lots to be awarded within the maximum limit set by the lex specialis;</w:t>
        <w:br/>
        <w:t>b) that the companies CNS – National Services Consortium cooperative society, Manutencoop Facility Management S.p.A., Kuadra S.p.A., and Roma Multiservizi S.p.A. refrain in the future from engaging in behaviors similar to those subject to the infringement established in point a);</w:t>
        <w:br/>
        <w:t>c) that the Parties take measures to prevent the recurrence of collusive conduct similar to that established, having regard to the necessary precautions to ensure a correct use of consortium dynamics, providing, by May 31, 2016, communication to the Authority of the measures adopted for this purpose, through a specific written report;</w:t>
        <w:br/>
        <w:t>d) that, due to the seriousness of the infringement referred to in point a), administrative pecuniary sanctions be applied to CNS – National Services Consortium cooperative society, Manutencoop Facility Management S.p.A., Kuadra S.p.A., and Roma Multiservizi S.p.A. respectively equal to what is indicated in the following table:</w:t>
      </w:r>
    </w:p>
    <w:p>
      <w:r>
        <w:rPr>
          <w:b/>
        </w:rPr>
        <w:t>[Pages 85–87]</w:t>
      </w:r>
    </w:p>
    <w:p>
      <w:r>
        <w:t>BULLETIN NO. 50 OF JANUARY 25, 2016 87</w:t>
        <w:br/>
        <w:t>Company Fine – Final Amount (euros)</w:t>
        <w:br/>
        <w:t>CNS 56,190,090</w:t>
        <w:br/>
        <w:t>Manutencoop 48,510,000</w:t>
        <w:br/>
        <w:t>Roma Multiservizi 3,377,910</w:t>
        <w:br/>
        <w:t>Kuadra 5,763,882</w:t>
        <w:br/>
        <w:t>The administrative pecuniary fine referred to in point d) must be paid within ninety days from the notification of this provision, using the tax codes indicated in the attached F24 model with identifying elements, pursuant to Legislative Decree No. 241/1997. Payment must be made electronically with a debit from one's bank or postal account, through the home banking and CBI services provided by banks or by Poste Italiane S.p.A., or by using the telematic services of the Revenue Agency, available on the website www.agenziaentrate.gov.it. After the aforementioned deadline, for a delay period of less than six months, late payment interest must be paid at the legal rate starting from the day following the expiration of the payment deadline until the date of payment. In case of further delay in compliance, pursuant to Article 27, paragraph 6, of Law No. 689/81, the amount due for the imposed fine is increased by one-tenth for each semester starting from the day following the expiration of the payment deadline until the date on which the role is transmitted to the collector for collection. In this case, the increase absorbs the late payment interest accrued during the same period. Immediate notification of the payments made must be given to the Authority, by sending a copy of the model certifying the payment made. This provision will be notified to the interested parties and published in the Bulletin of the Antitrust Authority.</w:t>
      </w:r>
    </w:p>
    <w:p>
      <w:r>
        <w:t>88 BULLETIN NO. 50 OF JANUARY 25, 2016</w:t>
        <w:br/>
        <w:t>Against this provision, an appeal may be submitted to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paragraph 2, of the Decree of the President of the Republic of November 24, 1971, No. 1199, within one hundred and twenty days from the date of notification of the provision itself.</w:t>
        <w:br/>
        <w:t>THE SECRETARY GENERAL THE PRESIDENT</w:t>
        <w:br/>
        <w:t>Roberto Chieppa Giovanni Pitruzzella</w:t>
      </w:r>
    </w:p>
    <w:p>
      <w:r>
        <w:t>BULLETIN NO. 50 OF JANUARY 25, 2016 89</w:t>
        <w:br/>
        <w:t>CONCENTRATION OPERATIONS</w:t>
        <w:br/>
        <w:t>C12023 - ARNOLDO MONDADORI EDITORE/RCS LIBRI</w:t>
        <w:br/>
        <w:t>Provision No. 25807</w:t>
        <w:br/>
        <w:t>THE ANTITRUST AUTHORITY</w:t>
        <w:br/>
        <w:t>IN ITS MEETING of January 21, 2016;</w:t>
        <w:br/>
        <w:t>HEARD the Rapporteur Dr. Gabriella Muscolo;</w:t>
        <w:br/>
        <w:t>VIEWED Law No. 287 of October 10, 1990;</w:t>
        <w:br/>
        <w:t>VIEWED the communication from Arnoldo Mondadori Editore S.p.A., received on November 24, 2015 and supplemented on November 30 and December 2, 2015;</w:t>
        <w:br/>
        <w:t>VIEWED its request for information, sent on December 17, 2015, with consequent interruption of the deadlines pursuant to Article 5, paragraph 3, of the D.P.R. No. 217 of April 30, 1998;</w:t>
        <w:br/>
        <w:t>VIEWED the additional information sent by Arnoldo Mondadori Editore S.p.A. received on December 24, 2015 and supplemented on December 29, 2015 and January 7 and 12, 2016, the additional information sent by RCS Libri S.p.A. received on December 24, 2015 and supplemented on December 29, 2015 and January 12, 2016, the additional information sent by Edigita S.r.l. received on December 30, 2015;</w:t>
        <w:br/>
        <w:t>VIEWED the documentation on file;</w:t>
        <w:br/>
        <w:t>CONSIDERED the following:</w:t>
        <w:br/>
        <w:t>I. THE PARTIES</w:t>
        <w:br/>
        <w:t>1. Arnoldo Mondadori Editore S.p.A. (hereinafter, Mondadori) is active in the publishing of books and periodicals. Mondadori is controlled by Finanziaria d’Investimento – Fininvest S.p.A. (hereinafter, Fininvest) with a shareholding of 50.4% of the share capital. Fininvest heads a group active, in addition to the book and periodical publishing sector, also in cinema, advertising collection, and commercial television. The consolidated revenue generated by AME in 2014, worldwide, was approximately 1.177.5 billion euros, of which approximately [700-1,000]* million euros from sales made in Italy. The consolidated revenue generated by the Fininvest group, worldwide, in 2014 was approximately [4-5] billion euros, of which approximately [4-5] billion euros from sales made in the European Union and approximately [3-4] billion euros from sales made in Italy.</w:t>
        <w:br/>
        <w:t>2. Mondadori controls, among others, the companies Mondadori Libri S.p.A. (hereinafter, Mondadori Libri) and Mondadori Retail S.p.A. (hereinafter, Mondadori Retail) holding 100% of the share capital in both. Mondadori Libri is responsible for book publishing activities, while Mondadori</w:t>
        <w:br/>
        <w:t>* In this version, some data are omitted, as elements of confidentiality or secrecy of the information were deemed to exist.</w:t>
      </w:r>
    </w:p>
    <w:p>
      <w:r>
        <w:rPr>
          <w:b/>
        </w:rPr>
        <w:t>[Pages 88–90]</w:t>
      </w:r>
    </w:p>
    <w:p>
      <w:r>
        <w:t>90 BULLETIN NO. 50 OF JANUARY 25, 2016</w:t>
        <w:br/>
        <w:t>Retail those of selling books to consumers both through physical bookstores and online as well as through the book club formula.</w:t>
        <w:br/>
        <w:t>3. Mondadori Libri holds the entirety of the share capital of the following companies: Mondadori Electa S.p.A. (hereinafter, Mondadori Electa), Mondadori Education S.p.A. (hereinafter, Mondadori Education), Sperling &amp; Kupfer Editori S.p.A. (hereinafter, Sperling &amp; Kupfer), Giulio Einaudi Editore S.p.A. (hereinafter, Einaudi), Edizioni Piemme S.p.A. (hereinafter, Piemme). Einaudi in turn holds a 50% stake in Edizioni EL S.r.l. (hereinafter, Edizioni EL) exercising exclusive negative control over it.</w:t>
        <w:br/>
        <w:t>4. Mondadori Libri holds, among others, for what is of interest in the operation under examination, the following stakes:</w:t>
        <w:br/>
        <w:t>- 25% in Venezia Accademia Soc. for museum services S.c. a r.l. (hereinafter, Venezia Accademia) through Mondadori Electa;</w:t>
        <w:br/>
        <w:t>- 25% in the Digital School Consortium through Mondadori Education;</w:t>
        <w:br/>
        <w:t>- 34.9% in Mach2 Libri S.p.A. (hereinafter, Mach2 Libri), of which 30.9% directly and 4% through Sperling &amp; Kupfer.</w:t>
        <w:br/>
        <w:t>5. RCS Libri S.p.A. (hereinafter, RCS Libri) is active in the book publishing sector both directly and through its subsidiaries. It is controlled by RCS Mediagroup S.p.A. (RCS Mediagroup) which holds 99.99% of the share capital. RCS Mediagroup is listed on the MTA; no shareholder holds control either individually or jointly with other shareholders. The revenue generated by RCS Libri in 2014, worldwide, was approximately 188.7 million euros, of which approximately [100-492] million euros from sales made in Italy.</w:t>
        <w:br/>
        <w:t>6. RCS Libri controls the companies Librerie Rizzoli S.r.l. (Librerie Rizzoli), of which it holds the entire share capital, and Marsilio Editori S.p.A. (Marsilio), of which it holds a 51% stake; the stake in Marsilio could rise to 94.71% if the company GEM S.r.l. exercises a put option in favor of RCS Libri for its 43.71%. The revenue in 2014 of Marsilio was approximately 9.5 million euros of which [1-10] million euros from sales made in Italy. The revenue in 2014 of Librerie Rizzoli, [omitted], was approximately 4.9 million euros.</w:t>
        <w:br/>
        <w:t>7. RCS Libri also jointly controls Edigita S.r.l. (hereinafter, Edigita) together with EFFE 2005 – Finanziaria Feltrinelli S.p.A. (hereinafter, Feltrinelli) and Messaggerie Italiane S.p.A. (hereinafter, Messaggerie). Edigita manages a platform for the distribution – and not for the sale – of e-books to so-called e-retailers (online stores that sell books in digital format). By virtue of the governance rules defined in the Shareholders' Agreement, Edigita is subject to joint control by the three shareholders.</w:t>
        <w:br/>
        <w:t>8. RCS Libri also holds the following stakes:</w:t>
        <w:br/>
        <w:t>- 29.1% in Mach2 Libri; this stake will decrease to 10% before the conclusion of the operation;</w:t>
        <w:br/>
        <w:t>1 [Omitted].</w:t>
      </w:r>
    </w:p>
    <w:p>
      <w:r>
        <w:t>BULLETIN NO. 50 OF JANUARY 25, 2016 91</w:t>
        <w:br/>
        <w:t>- 25% in the Digital School Consortium;</w:t>
        <w:br/>
        <w:t>- 25% in Venezia Accademia through Marsilio;</w:t>
        <w:br/>
        <w:t>- 24.5% in Civita Tre Venezie S.r.l. (hereinafter, Civita Tre Venezie) through Marsilio;</w:t>
        <w:br/>
        <w:t>- 17% in Venezia Musei Soc. for museum services S.c. a r.l. in liquidation (hereinafter, Venezia Musei in liquidation) through Marsilio2.</w:t>
        <w:br/>
        <w:t>9. The Digital School Consortium was established to manage an e-commerce platform dedicated to school textbooks in digital format. In addition to Mondadori Education and RCS Libri, the shareholders of the Digital School Consortium include Zanichelli Editore S.p.A. and De Agostini Scuola S.p.A.. All shareholders hold a 25% stake. The consortium is not yet operational.</w:t>
        <w:br/>
        <w:t>10. Venezia Accademia is active in the integrated management of cleaning and ticketing services for the Venetian museum complex and for this purpose can carry out the activity of designing and disseminating editorial products. In addition to Mondadori Electa and Marsilio, the shareholders of Venezia Accademia include Civita Tre Venezie and CNS – Consorzio Nazionale Servizi Società Cooperativa. All shareholders hold a 25% stake. In 2014, Venezia Accademia generated revenue of 1.3 million euros.</w:t>
        <w:br/>
        <w:t>11. Edigita is a joint company among RCS Libri, Feltrinelli, and Messaggerie, each of which holds one-third of the share capital, active in the distribution of e-books. By virtue of the governance rules defined in the Shareholders' Agreement, Edigita is subject to joint control by the three shareholders3. In 2014, Edigita generated revenue of 5.6 million euros.</w:t>
        <w:br/>
        <w:t>II. DESCRIPTION OF THE OPERATION</w:t>
        <w:br/>
        <w:t>12. The operation consists of the acquisition by Mondadori, or another company controlled by it4, of 99.99% of the share capital of RCS Libri. As a result of the aforementioned operation, Mondadori will acquire exclusive control of RCS Libri and its subsidiaries, in particular Librerie Rizzoli and Marsilio.</w:t>
        <w:br/>
        <w:t>13. Furthermore, Mondadori will acquire exclusive control of Venezia Accademia and the Digital School Consortium. In fact, following the acquisition of RCS Libri, Mondadori will hold 50% of the share capital of these companies, a share that, by virtue of the specific governance rules of the companies, will allow it alone to exercise a veto right and thus to exercise negative control.</w:t>
        <w:br/>
        <w:t>14. Finally, Mondadori will succeed RCS Libri in the joint control of Edigita in which it is currently not present.</w:t>
        <w:br/>
        <w:t>15. As a result of the concentration operation, Mondadori will see its stake in Mach2 Libri increase from 34.9% to 44.9%; the remaining shareholders will be RCS Mediagroup with 19.1% and De Agostini Libri with 36%.</w:t>
        <w:br/>
        <w:t>2 Mondadori holds 34% in Venezia Musei in liquidation through Mondadori Electa.</w:t>
        <w:br/>
        <w:t>3 See COMP/M.2978 – Lagardère/Natexis/VUP, Commission decision of January 7, 2004.</w:t>
        <w:br/>
        <w:t>4 The possible choice to designate Mondadori Libri or another controlled company must be communicated by Mondadori at least five working days before the execution date of the sale transaction.</w:t>
      </w:r>
    </w:p>
    <w:p>
      <w:r>
        <w:t>92 BULLETIN NO. 50 OF JANUARY 25, 2016</w:t>
        <w:br/>
        <w:t>16. The preliminary sale contract includes a non-compete agreement for RCS Mediagroup: it may not engage in book publishing activities in competition with those subject to transfer for a period from the execution date of the sale contract to [omitted]. By way of exception to this agreement, for the same period provided for this latter, RCS Mediagroup may continue to publish and sell editorial products under the brands “Corriere della Sera”, “Gazzetta dello Sport” and other brands used for periodical publications provided that activities related to the sales channels bookstores, GDO, and e-books do not exceed [omitted] annual initiatives (not counting in this threshold initiatives in collaboration with Mondadori).</w:t>
        <w:br/>
        <w:t>17. The preliminary sale contract also provides for a prohibition on the poaching of employees by RCS Mediagroup for a period of [omitted] from the execution date of the contract: RCS Mediagroup may not, directly or indirectly, on its own or on behalf of third parties, induce or instigate key managers of the activities subject to transfer to resign or terminate their employment relationship with the companies subject to transfer and/or with those of the Mondadori Group.</w:t>
        <w:br/>
        <w:t>III. QUALIFICATION OF THE OPERATION</w:t>
        <w:br/>
        <w:t>18. The operation under examination, as it involves the acquisition of exclusive control of a company, constitutes a concentration pursuant to Article 5, paragraph 1, letter b), of Law No. 287/90. It falls within the scope of application of Law No. 287/90, as the conditions set out in Article 1 of EC Regulation No. 139/04 do not apply, and it is subject to the obligation of prior notification provided for by Article 16, paragraph 1, of the same law, as both the total revenue generated in the last financial year at the national level by the group of companies involved was over 492 million euros, and the total revenue generated in the last financial year at the national level by the company whose acquisition is planned was over 49 million euros.</w:t>
        <w:br/>
        <w:t>IV. RELEVANT MARKETS</w:t>
        <w:br/>
        <w:t>19. The operation concerns multiple markets covering the entire book publishing supply chain: markets for the acquisition of copyright, publishing markets, promotion and distribution service markets, markets for sales to end customers.</w:t>
        <w:br/>
        <w:t>IV.1 The markets for the acquisition of copyright</w:t>
        <w:br/>
        <w:t>20. In the markets for the acquisition of copyright, publishers compete to secure the publication rights of works; they therefore represent the demand. The compensation paid by publishers for the acquisition of copyright is represented by a royalty on copies sold and by an advance against the amounts due for this title. These markets must be distinguished according to the original language of the book and by type of works (fiction and non-fiction, children's books, comics, academic and professional books)5.</w:t>
        <w:br/>
        <w:t xml:space="preserve">21. Contrary to what the Notifying Party has claimed, elements of differentiation emerge that justify the definition of two distinct markets for the acquisition of </w:t>
        <w:br/>
        <w:t>5 These are the categories of works that require the acquisition of individual rights. Other works, such as art books, typically require the acquisition of multiple publication rights (including, in the example given, reproduction rights of works of art). See COMP/M.2978 – Lagardère/Natexis/VUP, Commission decision of January 7, 2004.</w:t>
      </w:r>
    </w:p>
    <w:p>
      <w:r>
        <w:rPr>
          <w:b/>
        </w:rPr>
        <w:t>[Pages 91–93]</w:t>
      </w:r>
    </w:p>
    <w:p>
      <w:r>
        <w:t>BULLETIN NO. 50 OF JANUARY 25, 2016 93</w:t>
        <w:br/>
        <w:t>copyrights of works written in Italian or in a foreign language. Firstly, while for foreign works the negotiation takes place with foreign publishers or with international literary agents, in the case of Italian works, the negotiation occurs with the literary agent specialized in the domestic market or directly with the author. Secondly, regarding the object of the contract, in the case of Italian authors, the acquisition of rights concerns a single work but may provide for an option for subsequent works; moreover, unlike other market contexts, in Italy the acquisition of copyright covers all versions of a book, including the paperback version, which elsewhere may instead be subject to transfer to publishers other than those who have handled the non-paperback edition.</w:t>
        <w:br/>
        <w:t>22. In addition to the above, it is noted that, while a foreign work has already been published and thus there are elements to assess the readers' reaction, an unpublished work by an Italian author has not, by definition, been subjected to market scrutiny.</w:t>
        <w:br/>
        <w:t>23. All this considered, it is believed that the markets for the acquisition of copyright for books should be distinguished depending on whether the work is written in Italian or in another language.</w:t>
        <w:br/>
        <w:t>24. Regarding the geographical dimension, it is believed that the markets in question are national considering that the readership of books written or translated into Italian substantially coincides with the national territory and that, therefore, the publishers competing for the acquisition of copyright related to the aforementioned books are those active in Italy.</w:t>
        <w:br/>
        <w:t>IV.2 The publishing markets</w:t>
        <w:br/>
        <w:t>25. Once the publisher has acquired the copyright related to a given work, they carry out a series of activities aimed at ensuring that the same work can reach the readership and thus find space on the shelves of bookstores (both chain and independent) and in the GDO6, in the warehouses of wholesalers7 and in the windows of online sales platforms.</w:t>
        <w:br/>
        <w:t>26. The publishing markets are thus positioned in an intermediate phase between the acquisition of copyright and the sale to the final customer. The markets in question are susceptible to influence each other: the ability of a publisher to attract the most successful authors to the public affects sales; conversely, the success of previous books published by a publisher can favor the latter's acquisition of new authors, both because it guarantees financial resources and because it increases the value of its brands.</w:t>
        <w:br/>
        <w:t>27. From a commodity perspective, in its previous decisions, the Authority has consistently distinguished school books (so-called adoption books) from so-called "various" books8. Within this latter category, further distinctions have been considered based on the content offered.</w:t>
        <w:br/>
        <w:t>Market for school book publishing (so-called adoption books)</w:t>
        <w:br/>
        <w:t>28. As deemed by the Authority in its previous decisions, the market for school book publishing concerns the production and distribution of texts used in primary and secondary schools (so-called adoption books)9.</w:t>
        <w:br/>
        <w:t>6 In this case, the publisher interfaces with intermediaries specialized in the distribution of books to the GDO.</w:t>
        <w:br/>
        <w:t>7 To which smaller bookstores and newsstands turn for the supply of books.</w:t>
        <w:br/>
        <w:t>8 See C10137 – Marsilio Editori/Log607.</w:t>
        <w:br/>
        <w:t>9 See C8578 - De Agostini Edizioni Scolastiche/Cideb Editrice.</w:t>
      </w:r>
    </w:p>
    <w:p>
      <w:r>
        <w:t>94 BULLETIN NO. 50 OF JANUARY 25, 2016</w:t>
        <w:br/>
        <w:t>29. This market is characterized by the fact that the books are adopted by teachers and not chosen by families (or, in the case of primary school books, by municipal administrations) that bear the cost. It does not include paraschool publishing, that is, books and other editorial products supporting learning (such as homework books, dictionaries, atlases, etc.), as the latter are not subject to an adoption procedure by teachers. Paraschool publishing falls within the markets of "various" books.</w:t>
        <w:br/>
        <w:t>30. Contrary to what the notifying party claims, the market in question concerns all levels of education, including primary school. In fact, regardless of the existence of different pricing mechanisms10, even for primary school texts, publishers compete for teachers to prefer their texts over those proposed by competitors.</w:t>
        <w:br/>
        <w:t>31. E-books represent still a marginal share of school book sales, so it is believed that at this stage further segmentation of the market in question is not necessary.</w:t>
        <w:br/>
        <w:t>32. From a geographical perspective, the market has dimensions coinciding with the national territory for essentially linguistic reasons and due to the existence of specific national regulations aimed, among other things, at stabilizing book prices.</w:t>
        <w:br/>
        <w:t>Markets for "various" publishing</w:t>
        <w:br/>
        <w:t>33. In certain decisions, the Authority has identified distinct markets for "various" books based on the content offered: in particular, a market for "various" books for adults that includes the segments of fiction and non-fiction11, a market for "various" books for children12, a market for art books13, a market for academic and professional works which can be further subdivided based on the subject matter14, and a market for dictionaries and encyclopedias15. Regarding the first of the markets listed, it is noted that in other previous decisions, fiction (both Italian and foreign) and non-fiction books have been considered as distinct markets16.</w:t>
        <w:br/>
        <w:t>34. From the above observations, it can be concluded that in its previous decisions, the Authority has taken into account the fact that for readers, who represent the demand for books (mediated by the assortment choices of bookstores), the different categories of books are not interchangeable.</w:t>
        <w:br/>
        <w:t>35. In light of this, since the assortment decisions of bookstores aim to satisfy the (differentiated) demand of readers, contrary to what the notifying party has suggested, it is not sufficient to identify two distinct markets, one for children's books and the other for "various" books for adults, but it is necessary to subdivide the latter according to more specific categories.</w:t>
        <w:br/>
        <w:t>10 The prices of primary school books are set by the Ministry of Education, University and Research (MIUR) by decree. For secondary school, the MIUR sets spending ceilings.</w:t>
        <w:br/>
        <w:t>11 See C3334 - Istituto Bancario San Paolo Di Torino-Istituto Mobiliare Italiano-Efibanca-Mediocredito Lombardo/UTET, C6013 - Arnoldo Mondadori Editore/Edizioni Piemme and C6724 - Marsilio Editori/Ramo di Azienda di Testo &amp; Immagine.</w:t>
        <w:br/>
        <w:t>12 See C6013 - Arnoldo Mondadori Editore/Edizioni Piemme and C10097 - Gruppo Editoriale Mauri Spagnol/La Coccinella.</w:t>
        <w:br/>
        <w:t>13 See C8153 - Il Sole 24 Ore/Arti Grafiche Motta and C6499 - RCS Libri/Società Editoria Artistica.</w:t>
        <w:br/>
        <w:t>14 C5191 - Istituto Geografico De Agostini/Unione Tipografica Editrice Torinese, C6903 - Wolters Kluwer Italia/De Agostini Professionale-Utet Professionale and C8216 - 3I Group/Rami d’azienda di VNU Business Media Europe.</w:t>
        <w:br/>
        <w:t>15 See C7712 - Pearson/Paravia Bruno Mondadori Editori and C7512 - RCS Libri/Education Management.</w:t>
        <w:br/>
        <w:t>16 See C2146 - Arnoldo Mondadori Editore/Programmi Editoriali and C2320 - New Edi/Garzanti Editore.</w:t>
      </w:r>
    </w:p>
    <w:p>
      <w:r>
        <w:t>BULLETIN NO. 50 OF JANUARY 25, 2016 95</w:t>
        <w:br/>
        <w:t>36. That said, also in light of national and community precedents17, in the case at hand, the following categories of "various" books can be identified: fiction and non-fiction books, children's books, art books, guides and manuals, academic and professional works, comics, paraschool books, dictionaries, and encyclopedias. For the purposes of the assessment in question, it does not seem necessary to subdivide academic and professional works based on the subject matter nor to define a clear separation between paraschool publishing and dictionaries and encyclopedias. This is because no competitive issues arising from the notified operation are identified in relation to these categories.</w:t>
        <w:br/>
        <w:t>37. Regarding the first category, for a correct assessment of the effects of the notified operation, it is also deemed necessary to analyze the two segments of fiction and non-fiction separately. It is also deemed necessary to distinguish books based on their format, whether paperback or non-paperback, also considering the Commission's precedents.</w:t>
        <w:br/>
        <w:t>38. The distinction regarding the format of books, despite the different position expressed by Mondadori, appears justified by the specific characteristics of the demand and supply of fiction and non-fiction books. The paperback format represents for the publisher the possibility of republishing a book; the paperback version of a title is published about 9 months after the first edition and is characterized by a lower price. Regarding this last aspect, in 2014 the average price of books was around 17 euros, while the average price of paperbacks was around 10 euros18. The highlighted circumstances allow us to conclude that the paperback edition targets a different readership from that of the first editions, consisting of readers who do not prioritize the purchase of new releases, and is broader, including also individuals with a lower spending propensity for books.</w:t>
        <w:br/>
        <w:t>39. Finally, within the "various" books, the Authority considers it appropriate to distinguish between printed books and e-books. The peculiarities of digital books, related to the absence of a physical flow of volumes, the necessity for consumers to own a reading device, and the existence of electronic infrastructures for the distribution and sale of books, mean that the related supply chain is significantly different from that of printed books and that new players operate within it, such as distribution and sales platforms. Considering that e-book sales still represent a limited percentage (about 5%) of total book sales in Italy, it is not deemed necessary to subdivide the market based on content.</w:t>
        <w:br/>
        <w:t>40. In conclusion, the relevant "various" publishing markets for the operation in question are as follows:</w:t>
        <w:br/>
        <w:t>- market for fiction and non-fiction publishing, within which the segments of non-paperback fiction, paperback fiction, non-paperback non-fiction, and paperback non-fiction are distinguished;</w:t>
        <w:br/>
        <w:t>- market for children's book publishing;</w:t>
        <w:br/>
        <w:t>- market for art book publishing;</w:t>
        <w:br/>
        <w:t>- market for guides and manuals publishing;</w:t>
        <w:br/>
        <w:t>- market for academic and professional book publishing;</w:t>
        <w:br/>
        <w:t>- market for comic book publishing;</w:t>
        <w:br/>
        <w:t>17 See among others COMP/M.2978 – Lagardère/Natexis/VUP.</w:t>
        <w:br/>
        <w:t>18 See cited AIE Report (p. 32).</w:t>
      </w:r>
    </w:p>
    <w:p>
      <w:r>
        <w:rPr>
          <w:b/>
        </w:rPr>
        <w:t>[Pages 94–96]</w:t>
      </w:r>
    </w:p>
    <w:p>
      <w:r>
        <w:t>96 BULLETIN NO. 50 OF JANUARY 25, 2016</w:t>
        <w:br/>
        <w:t>- market of supplementary education;</w:t>
        <w:br/>
        <w:t>- market of dictionary and encyclopedia publishing;</w:t>
        <w:br/>
        <w:t>- market of e-books.</w:t>
        <w:br/>
        <w:t>41. From a geographical perspective, the aforementioned markets have a national scope due to linguistic reasons and the substantial homogeneity of competitive conditions throughout the national territory.</w:t>
        <w:br/>
        <w:t>IV.3 The markets for promotion and distribution services for "general" books</w:t>
        <w:br/>
        <w:t>42. Based on the previous community decision COMP/M.2978 – Lagardère/Natexis/VUP19, the market for promotion services aimed at gaining visibility for one's books within bookstores includes activities directed at other sales intermediaries. It does not include, as claimed by Mondadori, communication activities directed at consumers due to the fact that the content, means, and methods of communication to potential book buyers differ significantly from those directed at sales channels.</w:t>
        <w:br/>
        <w:t>43. Regarding printed books, distribution activities involve the logistical management of commercial flows between publishers and intermediaries, including the delivery of books, management of returns, and invoicing. In the Authority's precedents, two markets have been identified for the distribution of "general" books: the market for the distribution to bookstores of "general" books and the market for distribution to large-scale retail trade (GDO). The latter has been considered a distinct market, albeit contiguous due to the specific characteristics of the demand for distribution services from the GDO.</w:t>
        <w:br/>
        <w:t>44. Given that in the Italian context the main publishing groups are integrated into the promotion and distribution phases of books to bookstores, also offering, to a more or less significant extent, their services to other non-integrated publishers, the corresponding markets refer to the services provided to third-party operators. The overall size of the activity carried out (including in-house services) may be relevant for assessing the competitive position of different operators, particularly regarding the potential existence of unused production capacity that could be made available to third parties20.</w:t>
        <w:br/>
        <w:t>45. From a geographical perspective, the market for promotion and the markets for the distribution of books to bookstores and to the GDO are of national size considering the increasing relevance of chain bookstores, the fact that the operators offering the services are active in the Italian territory, and therefore the substantial homogeneity that characterizes competitive conditions in Italy.</w:t>
        <w:br/>
        <w:t>46. Considering the specific characteristics of e-books, particularly the fact that their distribution requires electronic infrastructure and services, it is deemed appropriate to identify a distinct market for the distribution of e-books.</w:t>
        <w:br/>
        <w:t>47. The market for the distribution of e-books also has a national geographical dimension due to the fact that purchases of e-books in Italian are predominantly made by individuals present in the national territory.</w:t>
        <w:br/>
        <w:t>19 See also the decision of the French Competition Authority on the acquisition of the Flammarion Group by the Gallimard group (decision no. 12-DCC-126 of August 30, 2012).</w:t>
        <w:br/>
        <w:t>20 Cf. COMP/M.2978 – Lagardère/Natexis/VUP and C11957 – Emmelibri-Effe 2005 Gruppo Feltrinelli/Newco.</w:t>
      </w:r>
    </w:p>
    <w:p>
      <w:r>
        <w:t>BULLETIN NO. 50 OF JANUARY 25, 2016 97</w:t>
        <w:br/>
        <w:t>IV.4 The markets for sales to final customers</w:t>
        <w:br/>
        <w:t>48. The sale of books occurs both in physical retail outlets (mainly bookstores and stationery stores) and on online platforms where both printed books and e-books can be purchased. Corresponding to these sales methods are identified the retail market for "general" books and the online market for book sales.</w:t>
        <w:br/>
        <w:t>49. The geographical dimension of the retail market for "general" books is to be considered confined to the local area, as there is a limited mobility of consumers in purchasing editorial products. That said, the spread of chains operating with uniform commercial policies throughout the national territory, the fact that Mondadori has an extensive network of bookstores, and the consideration that the market in question is relevant for aspects of vertical integration with the publishing markets, lead to considering the national geographical dimension as well. In conclusion, for the purposes of assessing the effects of the notified operation on the market in question, both a geographical dimension confined to the province of Milan, where the only physical bookstore owned by RCS Libri is located, and the entire national territory will be considered.</w:t>
        <w:br/>
        <w:t>50. From the aforementioned retail market for "general" books, a market for the online retail sale of editorial products has previously been distinguished due to its peculiarities and different characteristics, which is relevant for the operation in question only concerning books21. Considering that the sale of e-books presents characteristics that distinctly differentiate it from the sale of printed books (absence of a physical flow, necessity for electronic infrastructure and services), it is deemed necessary to distinguish the segments of online sales of printed books and the sale of e-books within the aforementioned market. From a geographical perspective, the market coincides with the national territory, since the demand is mostly expressed by Italian consumers and the books sold are predominantly in the Italian language.</w:t>
        <w:br/>
        <w:t>51. In the landscape of bookstores, museum bookstores constitute a distinct category due to the fact that their management is assigned through concession (which may also concern other services related to the management of museum and archaeological sites, so-called "additional museum services"), the type of products sold (art books), and their location (usually at the end of the exhibition path). Therefore, a market for the management of bookshops at museum and archaeological sites can be identified22. For the purposes of assessing the competitive dynamics of this market, the provision of other museum services (such as organizing exhibitions or managing ticket sales) may be relevant, particularly in cases where the concession for managing the bookshops involves a bundle of museum services.</w:t>
        <w:br/>
        <w:t>52. The definition of the geographical dimension of the aforementioned market can be left open since, for the purposes of this operation, it may primarily be relevant for aspects of vertical integration with the art publishing market, and therefore, the national geographical scope will be considered.</w:t>
        <w:br/>
        <w:t>21 Cf. C10214 - Emmelibri-Giunti Editore/Newco and C11957 – Emmelibri-Effe 2005 Gruppo Feltrinelli/Newco.</w:t>
        <w:br/>
        <w:t>22 See also I739 – Mondadori Electa- Réunion des Musées Nationaux/JVCO.</w:t>
      </w:r>
    </w:p>
    <w:p>
      <w:r>
        <w:t>98 BULLETIN NO. 50 OF JANUARY 25, 2016</w:t>
        <w:br/>
        <w:t>V. THE POSITION OF THE PARTIES IN THE RELEVANT MARKETS</w:t>
        <w:br/>
        <w:t>V.1 The markets for the acquisition of copyright</w:t>
        <w:br/>
        <w:t>53. At this stage of the analysis, the position of the Parties in the markets for the acquisition of copyright can be assessed based on data relating to their titles present among the 100 best-selling titles. In fact, net of the time lag between the acquisition of the copyright for a work and its publication, it can be assumed that newly published titles represent a proxy for acquired copyrights.</w:t>
        <w:br/>
        <w:t>54. Table 1 lists the titles of Mondadori and RCS Libri that fall within the 100 best-selling titles during the period 2012-2014. These data do not distinguish between Italian and foreign books nor by categories of books.</w:t>
        <w:br/>
        <w:t>Table 1 - Number of titles of the Parties among the 100 best sellers</w:t>
        <w:br/>
        <w:t>2012 2013 2014</w:t>
        <w:br/>
        <w:t>Mondadori [35-40] [35-40] [40-45]</w:t>
        <w:br/>
        <w:t>RCS [10-15] [10-15] [15-20]</w:t>
        <w:br/>
        <w:t>Mondadori+RCS [50-55] [45-50] [55-60]</w:t>
        <w:br/>
        <w:t>Source: processing based on data provided by the Notifying Party</w:t>
        <w:br/>
        <w:t>55. Table 2 shows the volume and value of sales related to the top 100 titles. In 2014, these sales amounted to [5-10] million books with a cover price value of [100-492] million euros.</w:t>
        <w:br/>
        <w:t>Table 2 - Volume (thousands of books) and value (millions of euros) of sales related to the top 100 titles</w:t>
        <w:br/>
        <w:t>2012 2013 2014</w:t>
        <w:br/>
        <w:t>Volume [10,000-15,000] [5,000-10,000] [5,000-10,000]</w:t>
        <w:br/>
        <w:t>Value [100-492] [100-492] [100-492]</w:t>
        <w:br/>
        <w:t>Source: processing based on data provided by the Notifying Party</w:t>
        <w:br/>
        <w:t>56. Tables 3 and 4 show the market shares by volume and value of Mondadori and RCS Libri calculated with reference to the volume and value of sales of titles falling within the top 100.</w:t>
        <w:br/>
        <w:t>Table 3 - Market shares by volume</w:t>
        <w:br/>
        <w:t>2012 2013 2014</w:t>
        <w:br/>
        <w:t>Mondadori [45-50%] [35-40%] [35-40%]</w:t>
        <w:br/>
        <w:t>RCS [10-15%] [10-15%] [15-20%]</w:t>
        <w:br/>
        <w:t>Mondadori+RCS [55-60%] [45-50%] [55-60%]</w:t>
        <w:br/>
        <w:t>Source: processing based on data provided by the Notifying Party</w:t>
      </w:r>
    </w:p>
    <w:p>
      <w:r>
        <w:rPr>
          <w:b/>
        </w:rPr>
        <w:t>[Pages 97–99]</w:t>
      </w:r>
    </w:p>
    <w:p>
      <w:r>
        <w:t>BULLETIN NO. 50 OF JANUARY 25, 2016 99</w:t>
        <w:br/>
        <w:t>Table 4 - Market shares by value</w:t>
        <w:br/>
        <w:t>2012 2013 2014</w:t>
        <w:br/>
        <w:t>Mondadori [50-55%] [45-50%] [40-45%]</w:t>
        <w:br/>
        <w:t>RCS [10-15%] [10-15%] [20-25%]</w:t>
        <w:br/>
        <w:t>Mondadori+RCS [60-65%] [55-60%] [60-65%]</w:t>
        <w:br/>
        <w:t>Source: processing based on data provided by the Notifying Party</w:t>
        <w:br/>
        <w:t>V.2 The market for school book publishing</w:t>
        <w:br/>
        <w:t>Market for school book publishing</w:t>
        <w:br/>
        <w:t>57. The notifying company stated that to correctly analyze the school publishing market, it is necessary to refer to adoption data divided by the number of school sections in which the books are adopted, as reported in the AIE database. These data would be more representative of the market reality compared to the turnover data (net of discounts) from Cerved-Databank.</w:t>
        <w:br/>
        <w:t>58. In the following sections, the structure of the market will be described using both types of data. In particular, the data from AIE will provide an estimate of sales in volume that are not captured by the Cerved-Databank source.</w:t>
        <w:br/>
        <w:t>59. Table 5 presents the AIE data for the period 2011-2015 related to the total number of school sections that approximate, as mentioned, the size of the market in volume. In 2015, the total number of school sections amounted to [1-2] million.</w:t>
        <w:br/>
        <w:t>Table 5 - Total number of school sections</w:t>
        <w:br/>
        <w:t>2011 2012 2013 2014 2015</w:t>
        <w:br/>
        <w:t>Sections</w:t>
        <w:br/>
        <w:t>[1-2 million] [1-2 million] [1-2 million] [1-2 million] [1-2 million]</w:t>
        <w:br/>
        <w:t>Source: processing based on data provided by the Notifying Party</w:t>
        <w:br/>
        <w:t>60. The subsequent Table 6 shows the market shares of the main operators calculated based on the number of sections that adopted their books. In 2015, Zanichelli was the market leader with a share of [15-20%], followed by Pearson with [15-20%]; Mondadori and RCS Libri were the third and fourth operators with shares of [10-15%] and [10-15%], respectively; De Agostini ranked fifth with a share of [10-15%]. Following the completion of the notified operation, Mondadori will become the first market operator with a share of [20-25%].</w:t>
      </w:r>
    </w:p>
    <w:p>
      <w:r>
        <w:t>100 BULLETIN NO. 50 OF JANUARY 25, 2016</w:t>
        <w:br/>
        <w:t>Table 6 - Percentage of school sections that adopted books from the main operators</w:t>
        <w:br/>
        <w:t>2011 2012 2013 2014 2015</w:t>
        <w:br/>
        <w:t>Zanichelli [15-20%] [15-20%] [15-20%] [15-20%] [15-20%]</w:t>
        <w:br/>
        <w:t>Pearson [10-15%] [10-15%] [10-15%] [15-20%] [15-20%]</w:t>
        <w:br/>
        <w:t>Mondadori [10-15%] [10-15%] [10-15%] [10-15%] [10-15%]</w:t>
        <w:br/>
        <w:t>RCS [10-15%] [10-15%] [10-15%] [10-15%] [10-15%]</w:t>
        <w:br/>
        <w:t>De Agostini [10-15%] [5-10%] [5-10%] [10-15%] [10-15%]</w:t>
        <w:br/>
        <w:t>Other publishers [35-40%] [30-35%] [30-35%] [30-35%] [30-35%]</w:t>
        <w:br/>
        <w:t>Mondadori+RCS [35-40%] [25-30%] [25-30%] [20-25%] [20-25%]</w:t>
        <w:br/>
        <w:t>Total Market 100.0% 100.0% 100.0% 100.0% 100.0%</w:t>
        <w:br/>
        <w:t>Source: processing based on data provided by the Notifying Party</w:t>
        <w:br/>
        <w:t>61. Table 7 presents the Cerved-Databank data for the period 2010-2014 related to the value (net of discounts) of total book sales. In 2014, total sales of school books amounted to [492-700] million euros.</w:t>
        <w:br/>
        <w:t>Table 7 - Total value of sales (millions of euros)</w:t>
        <w:br/>
        <w:t>2010 2011 2012 2013 2014</w:t>
        <w:br/>
        <w:t>Sales value [492-700] [492-700] [492-700] [492-700] [492-700]</w:t>
        <w:br/>
        <w:t>Source: processing based on data provided by the Notifying Party</w:t>
        <w:br/>
        <w:t>62. The subsequent Table 8 shows the trend of market shares of the main operators calculated using data from Cerved-Databank. Zanichelli and Pearson confirm their positions as the first and second market operators with shares of [15-20%] and [15-20%], respectively, in 2014. RCS Libri and Mondadori rank third and fourth in the market with shares of [10-15%] and [10-15%]. De Agostini remains the fifth operator with a share of [5-10%]. Following the completion of the communicated operation, Mondadori will become the first market operator with a share of [25-30%].</w:t>
      </w:r>
    </w:p>
    <w:p>
      <w:r>
        <w:t>BULLETIN NO. 50 OF JANUARY 25, 2016 101</w:t>
        <w:br/>
        <w:t>Table 8 - Market shares of the top 5 operators</w:t>
        <w:br/>
        <w:t>2010 2011 2012 2013 2014</w:t>
        <w:br/>
        <w:t>Zanichelli [15-20%] [15-20%] [15-20%] [20-25%] [15-20%]</w:t>
        <w:br/>
        <w:t>Pearson [15-20%] [15-20%] [15-20%] [15-20%] [15-20%]</w:t>
        <w:br/>
        <w:t>RCS [15-20%] [15-20%] [10-15%] [10-15%] [10-15%]</w:t>
        <w:br/>
        <w:t>Mondadori [10-15%] [10-15%] [10-15%] [10-15%] [10-15%]</w:t>
        <w:br/>
        <w:t>De Agostini [5-10%] [5-10%] [5-10%] [5-10%] [5-10%]</w:t>
        <w:br/>
        <w:t>Other publishers [25-30%] [25-30%] [25-30%] [25-30%] [25-30%]</w:t>
        <w:br/>
        <w:t>Mondadori+RCS [25-30%] [25-30%] [25-30%] [25-30%] [25-30%]</w:t>
        <w:br/>
        <w:t>Total Market 100% 100% 100% 100% 100%</w:t>
        <w:br/>
        <w:t>Source: processing based on data provided by the Notifying Party</w:t>
        <w:br/>
        <w:t>V.3 The markets for "various" publishing</w:t>
        <w:br/>
        <w:t>63. For the purpose of assessing the competitive position of the Parties and the main competitors, the notifying company provided data related to sales (valued at the cover price) to final consumers (so-called sell out) for the period 2008-2014. The information provided concerns, for all markets, the main publishing groups, namely, in addition to the Parties, the Mauri Spagnol Publishing Group (hereinafter, GEMS; sub-holding publishing of the Messaggerie Italiane Group), the Feltrinelli Group, the Giunti Group, and the De Agostini Group; these operators are joined by Adelphi, which, as mentioned, does not fall within the scope of the notified operation. For the individual markets of "various" publishing, data related to publishers other than those indicated, which in some cases hold significant market shares, have also been provided.</w:t>
        <w:br/>
        <w:t>64. In the following points, the structure of the "various" publishing markets will be described by integrating data related to the main publishing groups and Adelphi with those of other publishers that are particularly relevant for the markets considered and for which data for the entire analysis period (2008-2014) are available.</w:t>
        <w:br/>
        <w:t>Market for fiction and non-fiction publishing</w:t>
        <w:br/>
        <w:t>65. Table 9 presents the size of the fiction and non-fiction publishing market in volume and value for the period 2008-2014. In the last year, over [50-55] million books were sold for a value (at cover price) of [492-700] million euros.</w:t>
        <w:br/>
        <w:t>23 While noting that the reference variables for the markets in question are the volumes and the value of sales from publishers to sales intermediaries (so-called sell in), it is considered acceptable, at this stage of the analysis, to use sell out data.</w:t>
      </w:r>
    </w:p>
    <w:p>
      <w:r>
        <w:rPr>
          <w:b/>
        </w:rPr>
        <w:t>[Pages 100–102]</w:t>
      </w:r>
    </w:p>
    <w:p>
      <w:r>
        <w:t>102 BULLETIN NO. 50 OF JANUARY 25, 2016</w:t>
        <w:br/>
        <w:t>Table 9 - Market size by volume (thousands) and value (millions of euros)</w:t>
        <w:br/>
        <w:t>2008 2009 2010 2011 2012 2013 2014</w:t>
        <w:br/>
        <w:t>[50,000- [55,000- [55,000- [55,000- [50,000- [50,000- [50,000-</w:t>
        <w:br/>
        <w:t>Volume</w:t>
        <w:br/>
        <w:t>55,000] 60,000] 60,000] 60,000] 55,000] 55,000] 55,000]</w:t>
        <w:br/>
        <w:t>Value [700-1,000] [700-1,000] [700-1,000] [700-1,000] [700-1,000] [492-700] [492-700]</w:t>
        <w:br/>
        <w:t>Source: data provided by the Notifying Party</w:t>
        <w:br/>
        <w:t>66. Tables 10 and 11 show the market shares, by volume and value, of the main market operators.</w:t>
        <w:br/>
        <w:t>Table 10 - Market shares by volume</w:t>
        <w:br/>
        <w:t>2008 2009 2010 2011 2012 2013 2014</w:t>
        <w:br/>
        <w:t>Mondadori [35-40%] [35-40%] [30-35%] [30-35%] [30-35%] [30-35%] [30-35%]</w:t>
        <w:br/>
        <w:t>GEMS [10-15%] [10-15%] [10-15%] [10-15%] [10-15%] [10-15%] [10-15%]</w:t>
        <w:br/>
        <w:t>RCS [10-15%] [10-15%] [10-15%] [10-15%] [10-15%] [10-15%] [10-15%]</w:t>
        <w:br/>
        <w:t>Newton Compton [1-5%] [1-5%] [1-5%] [1-5%] [5-10%] [10-15%] [5-10%]</w:t>
        <w:br/>
        <w:t>Feltrinelli [5-10%] [5-10%] [5-10%] [5-10%] [5-10%] [5-10%] [5-10%]</w:t>
        <w:br/>
        <w:t>Other Publishers [25-30%] [30-35%] [25-30%] [30-35%] [25-30%] [25-30%] [25-30%]</w:t>
        <w:br/>
        <w:t>Mondadori+RCS [50-55%] [45-50%] [45-50%] [45-50%] [40-45%] [40-45%] [40-45%]</w:t>
        <w:br/>
        <w:t>Total 100.0% 100.0% 100.0% 100.0% 100.0% 100.0% 100.0%</w:t>
        <w:br/>
        <w:t>Source: processing based on data provided by the Notifying Party</w:t>
        <w:br/>
        <w:t>Table 11 - Market shares by value</w:t>
        <w:br/>
        <w:t>2008 2009 2010 2011 2012 2013 2014</w:t>
        <w:br/>
        <w:t>Mondadori [35-40%] [35-40%] [35-40%] [30-35%] [35-40%] [30-35%] [30-35%]</w:t>
        <w:br/>
        <w:t>GEMS [10-15%] [10-15%] [10-15%] [10-15%] [10-15%] [10-15%] [10-15%]</w:t>
        <w:br/>
        <w:t>RCS [10-15%] [10-15%] [10-15%] [10-15%] [10-15%] [10-15%] [10-15%]</w:t>
        <w:br/>
        <w:t>Newton Compton [5-10%] [1-5%] [5-10%] [5-10%] [1-5%] [5-10%] [5-10%]</w:t>
        <w:br/>
        <w:t>Feltrinelli [1-5%] [1-5%] [1-5%] [1-5%] [1-5%] [1-5%] [1-5%]</w:t>
        <w:br/>
        <w:t>Other Publishers [30-35%] [30-35%] [30-35%] [30-35%] [30-35%] [30-35%] [30-35%]</w:t>
        <w:br/>
        <w:t>Mondadori+RCS [50-55%] [50-55%] [45-50%] [45-50%] [45-50%] [45-50%] [45-50%]</w:t>
        <w:br/>
        <w:t>Total 100.0% 100.0% 100.0% 100.0% 100.0% 100.0% 100.0%</w:t>
        <w:br/>
        <w:t>Source: processing based on data provided by the Notifying Party</w:t>
        <w:br/>
        <w:t>Segment of non-pocket fiction</w:t>
        <w:br/>
        <w:t>67. Table 12 shows the size of the market segment for non-pocket fiction publishing during the period 2008-2014. In the last year of the observation period, [15-20] million books were sold for a value (at cover price) of [100-492] million euros.</w:t>
        <w:br/>
        <w:t>Table 12 - Size in volume (thousands) and value (millions of euros) of the market segment for non-pocket fiction publishing</w:t>
        <w:br/>
        <w:t>2008 2009 2010 2011 2012 2013 2014</w:t>
        <w:br/>
        <w:t>[15,000- [20,000- [20,000- [15,000- [20,000- [15,000- [15,000-</w:t>
        <w:br/>
        <w:t>Volume</w:t>
        <w:br/>
        <w:t>20,000] 25,000] 25,000] 20,000] 25,000] 20,000] 20,000]</w:t>
        <w:br/>
        <w:t>Value [100-492] [100-492] [100-492] [100-492] [100-492] [100-492] [100-492]</w:t>
        <w:br/>
        <w:t>Source: data provided by the Notifying Party</w:t>
        <w:br/>
        <w:t>68. Tables 13 and 14 show the market shares by volume and value of the Parties and the other publishers considered as a single aggregate.</w:t>
        <w:br/>
        <w:t>Table 13 - Market shares by volume</w:t>
        <w:br/>
        <w:t>2008 2009 2010 2011 2012 2013 2014</w:t>
        <w:br/>
        <w:t>Mondadori [35-40%] [30-35%] [25-30%] [25-30%] [30-35%] [25-30%] [25-30%]</w:t>
        <w:br/>
        <w:t>RCS [10-15%] [10-15%] [10-15%] [10-15%] [5-10%] [10-15%] [10-15%]</w:t>
        <w:br/>
        <w:t>Mondadori+RCS [45-50%] [45-50%] [40-45%] [35-40%] [40-45%] [35-40%] [40-45%]</w:t>
        <w:br/>
        <w:t>Other Publishers [50-55%] [50-55%] [55-60%] [60-65%] [55-60%] [60-65%] [60-65%]</w:t>
        <w:br/>
        <w:t>Total 100.0% 100.0% 100.0% 100.0% 100.0% 100.0% 100.0%</w:t>
        <w:br/>
        <w:t>Source: data provided by the Notifying Party</w:t>
        <w:br/>
        <w:t>Table 14 - Market shares by value</w:t>
        <w:br/>
        <w:t>2008 2009 2010 2011 2012 2013 2014</w:t>
        <w:br/>
        <w:t>Mondadori [40-45%] [35-40%] [30-35%] [30-35%] [35-40%] [30-35%] [30-35%]</w:t>
        <w:br/>
        <w:t>RCS [10-15%] [15-20%] [10-15%] [5-10%] [5-10%] [10-15%] [10-15%]</w:t>
        <w:br/>
        <w:t>Mondadori+RCS [50-55%] [50-55%] [45-50%] [40-45%] [45-50%] [45-50%] [40-45%]</w:t>
        <w:br/>
        <w:t>Other Publishers [45-50%] [45-50%] [50-55%] [55-60%] [50-55%] [50-55%] [55-60%]</w:t>
        <w:br/>
        <w:t>Total 100.0% 100.0% 100.0% 100.0% 100.0% 100.0% 100.0%</w:t>
        <w:br/>
        <w:t>Source: data provided by the Notifying Party</w:t>
        <w:br/>
        <w:t>Segment of pocket fiction</w:t>
        <w:br/>
        <w:t>69. Table 15 shows the data related to the volume and value of sales (at cover price) made during the period 2008-2014 in the market segment of pocket fiction. In 2014, [15-20] million pieces were sold for a total value of [100-492] million euros.</w:t>
        <w:br/>
        <w:t>Table 15 - Size in volume (thousands) and value (millions of euros) of the market segment for pocket fiction publishing</w:t>
        <w:br/>
        <w:t>2008 2009 2010 2011 2012 2013 2014</w:t>
        <w:br/>
        <w:t>[15,000- [15,000- [15,000- [15,000- [15,000- [15,000- [15,000-</w:t>
        <w:br/>
        <w:t>Volume</w:t>
        <w:br/>
        <w:t>20,000] 20,000] 20,000] 20,000] 20,000] 20,000] 20,000]</w:t>
        <w:br/>
        <w:t>Value [100-492] [100-492] [100-492] [100-492] [100-492] [100-492] [100-492]</w:t>
        <w:br/>
        <w:t>Source: data provided by the Notifying Party</w:t>
        <w:br/>
        <w:t>70. Tables 16 and 17 show the level of market shares of the Parties by volume and value.</w:t>
        <w:br/>
        <w:t>Table 16 - Market shares by volume</w:t>
        <w:br/>
        <w:t>2008 2009 2010 2011 2012 2013 2014</w:t>
        <w:br/>
        <w:t>Mondadori [50-55%] [50-55%] [45-50%] [45-50%] [45-50%] [40-45%] [45-50%]</w:t>
        <w:br/>
        <w:t>RCS [10-15%] [10-15%] [10-15%] [10-15%] [10-15%] [5-10%] [10-15%]</w:t>
        <w:br/>
        <w:t>Mondadori+RCS [60-65%] [60-65%] [60-65%] [55-60%] [55-60%] [50-55%] [55-60%]</w:t>
        <w:br/>
        <w:t>Other Publishers [35-40%] [35-40%] [35-40%] [40-45%] [40-45%] [45-50%] [40-45%]</w:t>
        <w:br/>
        <w:t>Total 100.0% 100.0% 100.0% 100.0% 100.0% 100.0% 100.0%</w:t>
        <w:br/>
        <w:t>Source: data provided by the Notifying Party</w:t>
        <w:br/>
        <w:t>Table 17 - Market shares by value</w:t>
        <w:br/>
        <w:t>2008 2009 2010 2011 2012 2013 2014</w:t>
        <w:br/>
        <w:t>Mondadori [50-55%] [50-55%] [50-55%] [50-55%] [50-55%] [50-55%] [50-55%]</w:t>
        <w:br/>
        <w:t>RCS [10-15%] [10-15%] [10-15%] [10-15%] [10-15%] [10-15%] [10-15%]</w:t>
        <w:br/>
        <w:t>Mondadori+RCS [65-70%] [65-70%] [65-70%] [60-65%] [60-65%] [60-65%] [60-65%]</w:t>
        <w:br/>
        <w:t>Other Publishers [30-35%] [30-35%] [30-35%] [35-40%] [35-40%] [35-40%] [35-40%]</w:t>
        <w:br/>
        <w:t>Total 100.0% 100.0% 100.0% 100.0% 100.0% 100.0% 100.0%</w:t>
        <w:br/>
        <w:t>Source: data provided by the Notifying Party</w:t>
        <w:br/>
        <w:t>Segment of non-pocket non-fiction</w:t>
        <w:br/>
        <w:t>71. Table 18 shows the volume and value (at cover price) of sales of non-pocket non-fiction books made during the period 2008-2014. In that last year, [10-15] million books were purchased by readers for a value of [100-492] million euros.</w:t>
      </w:r>
    </w:p>
    <w:p>
      <w:r>
        <w:rPr>
          <w:b/>
        </w:rPr>
        <w:t>[Pages 103–105]</w:t>
      </w:r>
    </w:p>
    <w:p>
      <w:r>
        <w:t>BULLETIN NO. 50 OF JANUARY 25, 2016 105</w:t>
        <w:br/>
        <w:t>Table 18 - Size in volume (thousands) and value (millions of euros) of the non-pocket non-fiction publishing market segment</w:t>
        <w:br/>
        <w:t>2008 2009 2010 2011 2012 2013 2014</w:t>
        <w:br/>
        <w:t>[10,000- [10,000- [10,000- [10,000- [10,000- [10,000- [10,000-</w:t>
        <w:br/>
        <w:t>Volume</w:t>
        <w:br/>
        <w:t>15,000] 15,000] 15,000] 15,000] 15,000] 15,000] 15,000]</w:t>
        <w:br/>
        <w:t>Value [100-492] [100-492] [100-492] [100-492] [100-492] [100-492] [100-492]</w:t>
        <w:br/>
        <w:t>Source: data provided by the Notifying Party</w:t>
        <w:br/>
        <w:t>72. The market shares of the Parties and other publishers (considered as a single aggregate) in volume and value are shown in Tables 19 and 20. In 2014, the market share in volume of Mondadori was [15-20%], and in value [15-20%]; the corresponding shares of RCS Libri were [10-15%] and [10-15%]. The joint market share of the Parties stands at [25-30%] in volume and [30-35%] in value, so approximately [70-75%] of the market ([70-75%] in volume and [65-70%] in value) is directed to other publishers.</w:t>
        <w:br/>
        <w:t>Table 19 - Market shares in volume</w:t>
        <w:br/>
        <w:t>2008 2009 2010 2011 2012 2013 2014</w:t>
        <w:br/>
        <w:t>Mondadori [20-25%] [20-25%] [20-25%] [20-25%] [15-20%] [15-20%] [15-20%]</w:t>
        <w:br/>
        <w:t>RCS [10-15%] [5-10%] [10-15%] [5-10%] [10-15%] [5-10%] [10-15%]</w:t>
        <w:br/>
        <w:t>Mondadori+RCS [30-35%] [30-35%] [30-35%] [30-35%] [25-30%] [25-30%] [25-30%]</w:t>
        <w:br/>
        <w:t>Other Publishers [65-70%] [65-70%] [65-70%] [65-70%] [70-75%] [70-75%] [70-75%]</w:t>
        <w:br/>
        <w:t>Total 100.0% 100.0% 100.0% 100.0% 100.0% 100.0% 100.0%</w:t>
        <w:br/>
        <w:t>Source: data provided by the Notifying Party</w:t>
        <w:br/>
        <w:t>Table 20 - Market shares in value</w:t>
        <w:br/>
        <w:t>2008 2009 2010 2011 2012 2013 2014</w:t>
        <w:br/>
        <w:t>Mondadori [20-25%] [20-25%] [20-25%] [20-25%] [20-25%] [15-20%] [15-20%]</w:t>
        <w:br/>
        <w:t>RCS [10-15%] [5-10%] [5-10%] [5-10%] [10-15%] [10-15%] [10-15%]</w:t>
        <w:br/>
        <w:t>Mondadori+RCS [30-35%] [30-35%] [30-35%] [30-35%] [30-35%] [30-35%] [30-35%]</w:t>
        <w:br/>
        <w:t>Other Publishers [65-70%] [65-70%] [65-70%] [65-70%] [65-70%] [65-70%] [65-70%]</w:t>
        <w:br/>
        <w:t>Total 100.0% 100.0% 100.0% 100.0% 100.0% 100.0% 100.0%</w:t>
        <w:br/>
        <w:t>Source: data provided by the Notifying Party</w:t>
        <w:br/>
        <w:t>Pocket Non-Fiction Segment</w:t>
        <w:br/>
        <w:t>73. The size of the pocket non-fiction market segment, in terms of volume and value (at cover price) of sales, is shown in Table 21 with reference to the period 2008-2014. In the last year, sales amounted to [1-5] million books for a total value of [10-49] million euros.</w:t>
      </w:r>
    </w:p>
    <w:p>
      <w:r>
        <w:t>106 BULLETIN NO. 50 OF JANUARY 25, 2016</w:t>
        <w:br/>
        <w:t>Table 21 - Size in volume (thousands) and value (millions of euros) of the pocket non-fiction publishing market segment</w:t>
        <w:br/>
        <w:t>2008 2009 2010 2011 2012 2013 2014</w:t>
        <w:br/>
        <w:t>[1,000- [5,000- [5,000- [5,000- [1,000- [5,000- [1,000-</w:t>
        <w:br/>
        <w:t>Volume</w:t>
        <w:br/>
        <w:t>5,000] 10,000] 10,000] 10,000] 5,000] 10,000] 5,000]</w:t>
        <w:br/>
        <w:t>Value [10-49] [49-100] [49-100] [49-100] [10-49] [10-49] [10-49]</w:t>
        <w:br/>
        <w:t>Source: data provided by the Notifying Party</w:t>
        <w:br/>
        <w:t>74. The market shares in volume and value of the Parties and other publishers (considered as a whole) are shown in Tables 22 and 23.</w:t>
        <w:br/>
        <w:t>Table 22 - Market shares in volume</w:t>
        <w:br/>
        <w:t>2008 2009 2010 2011 2012 2013 2014</w:t>
        <w:br/>
        <w:t>Mondadori [40-45%] [40-45%] [35-40%] [35-40%] [40-45%] [30-35%] [30-35%]</w:t>
        <w:br/>
        <w:t>RCS [15-20%] [15-20%] [20-25%] [20-25%] [15-20%] [15-20%] [15-20%]</w:t>
        <w:br/>
        <w:t>Mondadori+RCS [60-65%] [60-65%] [60-65%] [55-60%] [55-60%] [45-50%] [50-55%]</w:t>
        <w:br/>
        <w:t>Other Publishers [35-40%] [35-40%] [35-40%] [40-45%] [40-45%] [50-55%] [45-50%]</w:t>
        <w:br/>
        <w:t>Total 100.0% 100.0% 100.0% 100.0% 100.0% 100.0% 100.0%</w:t>
        <w:br/>
        <w:t>Source: data provided by the Notifying Party</w:t>
        <w:br/>
        <w:t>Table 23 - Market shares in value</w:t>
        <w:br/>
        <w:t>2008 2009 2010 2011 2012 2013 2014</w:t>
        <w:br/>
        <w:t>Mondadori [40-45%] [40-45%] [40-45%] [40-45%] [40-45%] [40-45%] [35-40%]</w:t>
        <w:br/>
        <w:t>RCS [20-25%] [15-20%] [20-25%] [20-25%] [15-20%] [15-20%] [15-20%]</w:t>
        <w:br/>
        <w:t>Mondadori+RCS [60-65%] [60-65%] [60-65%] [60-65%] [60-65%] [55-60%] [55-60%]</w:t>
        <w:br/>
        <w:t>Other Publishers [35-40%] [35-40%] [35-40%] [35-40%] [35-40%] [40-45%] [40-45%]</w:t>
        <w:br/>
        <w:t>Total 100.0% 100.0% 100.0% 100.0% 100.0% 100.0% 100.0%</w:t>
        <w:br/>
        <w:t>Source: data provided by the Notifying Party</w:t>
        <w:br/>
        <w:t>Market for Children's Book Publishing</w:t>
        <w:br/>
        <w:t>75. Table 24 shows the volume and value of sales of children's books in the period 2008-2014. In 2014, [20-25] million books were sold for a value (at cover price) of [100-492] million euros.</w:t>
      </w:r>
    </w:p>
    <w:p>
      <w:r>
        <w:t>BULLETIN NO. 50 OF JANUARY 25, 2016 107</w:t>
        <w:br/>
        <w:t>Table 24 - Size in volume (thousands) and value (millions of euros) of the children's book publishing market</w:t>
        <w:br/>
        <w:t>2008 2009 2010 2011 2012 2013 2014</w:t>
        <w:br/>
        <w:t>[15,000- [15,000- [15,000- [15,000- [20,000- [20,000- [20,000-</w:t>
        <w:br/>
        <w:t>Volume</w:t>
        <w:br/>
        <w:t>20,000] 20,000] 20,000] 20,000] 25,000] 25,000] 25,000]</w:t>
        <w:br/>
        <w:t>Value [100-492] [100-492] [100-492] [100-492] [100-492] [100-492] [100-492]</w:t>
        <w:br/>
        <w:t>Source: data provided by the Notifying Party</w:t>
        <w:br/>
        <w:t>76. The market shares of the top 5 operators in both volume and value are shown in Tables 25 and 26.</w:t>
        <w:br/>
        <w:t>Table 25 - Market shares in volume</w:t>
        <w:br/>
        <w:t>2008 2009 2010 2011 2012 2013 2014</w:t>
        <w:br/>
        <w:t>Giunti [25-30%] [25-30%] [25-30%] [30-35%] [30-35%] [35-40%] [30-35%]</w:t>
        <w:br/>
        <w:t>Mondadori [25-30%] [30-35%] [30-35%] [25-30%] [25-30%] [20-25%] [20-25%]</w:t>
        <w:br/>
        <w:t>GEMS [10-15%] [5-10%] [5-10%] [5-10%] [5-10%] [5-10%] [5-10%]</w:t>
        <w:br/>
        <w:t>RCS [5-10%] [5-10%] [1-5%] [1-5%] [1-5%] [1-5%] [5-10%]</w:t>
        <w:br/>
        <w:t>De Agostini [1-5%] [1-5%] [1-5%] [1-5%] [1-5%] [1-5%] [1-5%]</w:t>
        <w:br/>
        <w:t>Other Publishers [20-25%] [25-30%] [25-30%] [20-25%] [25-30%] [25-30%] [25-30%]</w:t>
        <w:br/>
        <w:t>Mondadori+RCS [35-40%] [35-40%] [30-35%] [30-35%] [30-35%] [25-30%] [30-35%]</w:t>
        <w:br/>
        <w:t>Total 100.0% 100.0% 100.0% 100.0% 100.0% 100.0% 100.0%</w:t>
        <w:br/>
        <w:t>Source: processing based on data provided by the Notifying Party</w:t>
        <w:br/>
        <w:t>Table 26 - Market shares in value</w:t>
        <w:br/>
        <w:t>2008 2009 2010 2011 2012 2013 2014</w:t>
        <w:br/>
        <w:t>Mondadori [30-35%] [30-35%] [30-35%] [30-35%] [30-35%] [30-35%] [25-30%]</w:t>
        <w:br/>
        <w:t>Giunti [20-25%] [20-25%] [20-25%] [25-30%] [25-30%] [25-30%] [25-30%]</w:t>
        <w:br/>
        <w:t>GEMS [10-15%] [5-10%] [5-10%] [5-10%] [5-10%] [5-10%] [5-10%]</w:t>
        <w:br/>
        <w:t>RCS [5-10%] [5-10%] [1-5%] [1-5%] [1-5%] [1-5%] [5-10%]</w:t>
        <w:br/>
        <w:t>De Agostini [1-5%] [1-5%] [1-5%] [1-5%] [1-5%] [1-5%] [5-10%]</w:t>
        <w:br/>
        <w:t>Other Publishers [20-25%] [25-30%] [25-30%] [20-25%] [20-25%] [20-25%] [20-25%]</w:t>
        <w:br/>
        <w:t>Mondadori+RCS [35-40%] [35-40%] [35-40%] [35-40%] [35-40%] [35-40%] [35-40%]</w:t>
        <w:br/>
        <w:t>Total 100.0% 100.0% 100.0% 100.0% 100.0% 100.0% 100.0%</w:t>
        <w:br/>
        <w:t>Source: processing based on data provided by the Notifying Party</w:t>
        <w:br/>
        <w:t>Market for Art Book Publishing</w:t>
        <w:br/>
        <w:t>77. Table 27 indicates the size of the market in volume (number of books) and in value (sales valued at the cover price of the books) of the art publishing market in the period</w:t>
      </w:r>
    </w:p>
    <w:p>
      <w:r>
        <w:rPr>
          <w:b/>
        </w:rPr>
        <w:t>[Pages 106–108]</w:t>
      </w:r>
    </w:p>
    <w:p>
      <w:r>
        <w:t>BULLETIN NO. 50 OF JANUARY 25, 2016</w:t>
        <w:br/>
        <w:t>2008-2014. In 2014, the volume of sales of art books amounted to approximately [1-5] million for a total value of [10-49] million euros.</w:t>
        <w:br/>
        <w:t>Table 27 – Size of the art publishing market by volume (thousands) and value (millions of euros)</w:t>
        <w:br/>
        <w:t>2008 2009 2010 2011 2012 2013 2014</w:t>
        <w:br/>
        <w:t>[1,000-5- [1,000-5- [1,000-5- [1,000-5- [1,000-5- [1,000-5- [1,000-</w:t>
        <w:br/>
        <w:t>Volume</w:t>
        <w:br/>
        <w:t>000] 000] 000] 000] 000] 000] 5-000]</w:t>
        <w:br/>
        <w:t>Value [45-50%] [45-50%] [45-50%] [50-55%] [45-50%] [45-50%] [45-50%]</w:t>
        <w:br/>
        <w:t>Source: data provided by the Notifying Party</w:t>
        <w:br/>
        <w:t>78. Table 28 shows the market shares of the main operators calculated based on sales volumes. The subsequent Table 29 shows the corresponding shares calculated on the value (at cover price) of sales. In 2014, RCS Libri and Mondadori were respectively the first and second operators with shares of [10-15%] and [10-15%] by volume and [10-15%] and [10-15%] by value. The main competitors are Taschen, with [5-10%] by volume and [5-10%] by value, and Giunti with market shares of [5-10%] by volume and [1-5%] by value.</w:t>
        <w:br/>
        <w:t>Table 28 – Market shares by volume</w:t>
        <w:br/>
        <w:t>2008 2009 2010 2011 2012 2013 2014</w:t>
        <w:br/>
        <w:t>RCS [5-10%] [5-10%] [5-10%] [5-10%] [10-15%] [10-15%] [10-15%]</w:t>
        <w:br/>
        <w:t>Mondadori [15-20%] [15-20%] [10-15%] [10-15%] [10-15%] [10-15%] [10-15%]</w:t>
        <w:br/>
        <w:t>Taschen [1-5%] [1-5%] [1-5%] [5-10%] [5-10%] [5-10%] [5-10%]</w:t>
        <w:br/>
        <w:t>Giunti [10-15%] [10-15%] [5-10%] [5-10%] [5-10%] [5-10%] [5-10%]</w:t>
        <w:br/>
        <w:t>Feltrinelli [5-10%] [1-5%] [1-5%] [5-10%] [5-10%] [1-5%] [1-5%]</w:t>
        <w:br/>
        <w:t>Other Publishers [50-55%] [55-60%] [55-60%] [55-60%] [55-60%] [55-60%] [55-60%]</w:t>
        <w:br/>
        <w:t>Mondadori+RCS [25-30%] [20-25%] [20-25%] [20-25%] [20-25%] [20-25%] [20-25%]</w:t>
        <w:br/>
        <w:t>Total 100.0% 100.0% 100.0% 100.0% 100.0% 100.0% 100.0%</w:t>
        <w:br/>
        <w:t>Source: processing based on data provided by the Notifying Party</w:t>
      </w:r>
    </w:p>
    <w:p>
      <w:r>
        <w:t>BULLETIN NO. 50 OF JANUARY 25, 2016</w:t>
        <w:br/>
        <w:t>Table 29 - Market shares by value</w:t>
        <w:br/>
        <w:t>2008 2009 2010 2011 2012 2013 2014</w:t>
        <w:br/>
        <w:t>RCS [5-10%] [5-10%] [10-15%] [5-10%] [10-15%] [10-15%] [10-15%]</w:t>
        <w:br/>
        <w:t>Mondadori [15-20%] [15-20%] [15-20%] [10-15%] [10-15%] [10-15%] [10-15%]</w:t>
        <w:br/>
        <w:t>Taschen [1-5%] [1-5%] [1-5%] [5-10%] [5-10%] [5-10%] [5-10%]</w:t>
        <w:br/>
        <w:t>Giunti [5-10%] [5-10%] [5-10%] [1-5%] [1-5%] [1-5%] [1-5%]</w:t>
        <w:br/>
        <w:t>Feltrinelli [1-5%] [1-5%] [1-5%] [1-5%] [1-5%] [1-5%] [1-5%]</w:t>
        <w:br/>
        <w:t>Other Publishers [55-60%] [60-65%] [60-65%] [60-65%] [60-65%] [60-65%] [60-65%]</w:t>
        <w:br/>
        <w:t>Mondadori+RCS [25-30%] [25-30%] [25-30%] [20-25%] [20-25%] [25-30%] [25-30%]</w:t>
        <w:br/>
        <w:t>Total 100.0% 100.0% 100.0% 100.0% 100.0% 100.0% 100.0%</w:t>
        <w:br/>
        <w:t>Source: processing based on data provided by the Notifying Party</w:t>
        <w:br/>
        <w:t>79. The market share of the entity resulting from the aggregation of Mondadori and RCS Libri is equal to [20-25%] by volume and [25-30%] by value.</w:t>
        <w:br/>
        <w:t>Market of guide and manual publishing</w:t>
        <w:br/>
        <w:t>80. Table 30 shows the volumes and value of sales of guides and manuals in the period 2008-2014. In the last year, [5-10] million of the aforementioned books were sold for a total value of [100-492] million euros.</w:t>
        <w:br/>
        <w:t>Table 30 - Size of the guide and manual publishing market by volume (thousands) and value (millions of euros)</w:t>
        <w:br/>
        <w:t>2008 2009 2010 2011 2012 2013 2014</w:t>
        <w:br/>
        <w:t>[5,000- [5,000- [5,000- [5,000- [5,000- [5,000- [5,000-</w:t>
        <w:br/>
        <w:t>Volume</w:t>
        <w:br/>
        <w:t>10,000] 10,000] 10,000] 10,000] 10,000] 10,000] 10,000]</w:t>
        <w:br/>
        <w:t>Value [100-492] [100-492] [100-492] [100-492] [100-492] [100-492] [100-492]</w:t>
        <w:br/>
        <w:t>Source: data provided by the Notifying Party</w:t>
        <w:br/>
        <w:t>81. Table 31 shows the market shares by volume of the main operators. In 2014, the leading operator in the market was Giunti with a share of approximately [10-15%] slightly above that of Mondadori [10-15%]; the third operator in the market was EDT with a share of [5-10%].</w:t>
      </w:r>
    </w:p>
    <w:p>
      <w:r>
        <w:t>BULLETIN NO. 50 OF JANUARY 25, 2016</w:t>
        <w:br/>
        <w:t>Table 31 - Market shares by volume</w:t>
        <w:br/>
        <w:t>2008 2009 2010 2011 2012 2013 2014</w:t>
        <w:br/>
        <w:t>Giunti [20-25%] [20-25%] [15-20%] [15-20%] [15-20%] [15-20%] [10-15%]</w:t>
        <w:br/>
        <w:t>Mondadori [10-15%] [10-15%] [5-10%] [10-15%] [15-20%] [10-15%] [10-15%]</w:t>
        <w:br/>
        <w:t>EDT [5-10%] [5-10%] [5-10%] [5-10%] [5-10%] [5-10%] [5-10%]</w:t>
        <w:br/>
        <w:t>RCS [1-5%] [1-5%] [5-10%] [5-10%] [5-10%] [5-10%] [5-10%]</w:t>
        <w:br/>
        <w:t>Feltrinelli [1-5%] [1-5%] [1-5%] [1-5%] [5-10%] [5-10%] [5-10%]</w:t>
        <w:br/>
        <w:t>Other Publishers [50-55%] [50-55%] [55-60%] [50-55%] [45-50%] [45-50%] [50-55%]</w:t>
        <w:br/>
        <w:t>Mondadori+RCS [10-15%] [10-15%] [10-15%] [15-20%] [20-25%] [20-25%] [20-25%]</w:t>
        <w:br/>
        <w:t>Total 100.0% 100.0% 100.0% 100.0% 100.0% 100.0% 100.0%</w:t>
        <w:br/>
        <w:t>Source: processing based on data provided by the Notifying Party</w:t>
        <w:br/>
        <w:t>82. The market shares by value of the main operators are shown in Table 32. In 2014, Mondadori was the leading market operator with a share of [10-15%], followed by EDT with [10-15%], and Giunti with [10-15%].</w:t>
        <w:br/>
        <w:t>Table 32 - Market shares by value</w:t>
        <w:br/>
        <w:t>2008 2009 2010 2011 2012 2013 2014</w:t>
        <w:br/>
        <w:t>Mondadori [10-15%] [15-20%] [10-15%] [10-15%] [15-20%] [15-20%] [10-15%]</w:t>
        <w:br/>
        <w:t>EDT [10-15%] [10-15%] [5-10%] [10-15%] [10-15%] [10-15%] [10-15%]</w:t>
        <w:br/>
        <w:t>Giunti [15-20%] [15-20%] [10-15%] [10-15%] [10-15%] [10-15%] [10-15%]</w:t>
        <w:br/>
        <w:t>RCS [1-5%] [1-5%] [5-10%] [5-10%] [5-10%] [5-10%] [5-10%]</w:t>
        <w:br/>
        <w:t>Touring [5-10%] [5-10%] [5-10%] [5-10%] [1-5%] [5-10%] [5-10%]</w:t>
        <w:br/>
        <w:t>Other Publishers [45-50%] [45-50%] [50-55%] [50-55%] [45-50%] [45-50%] [45-50%]</w:t>
        <w:br/>
        <w:t>Mondadori+RCS [15-20%] [15-20%] [15-20%] [15-20%] [25-30%] [20-25%] [20-25%]</w:t>
        <w:br/>
        <w:t>Total 100.0% 100.0% 100.0% 100.0% 100.0% 100.0% 100.0%</w:t>
        <w:br/>
        <w:t>Source: processing based on data provided by the Notifying Party</w:t>
        <w:br/>
        <w:t>83. Following the completion of the notified operation, Mondadori will hold a share of [20-25%] by value and [20-25%] by value.</w:t>
        <w:br/>
        <w:t>Market of academic and professional book publishing</w:t>
        <w:br/>
        <w:t>84. Table 33 shows the sizes, in volume and value, of the academic and professional book publishing market in the period 2008-2014. In 2014, [1-5] million books were sold for a total turnover of [49-100] million euros.</w:t>
      </w:r>
    </w:p>
    <w:p>
      <w:r>
        <w:rPr>
          <w:b/>
        </w:rPr>
        <w:t>[Pages 109–111]</w:t>
      </w:r>
    </w:p>
    <w:p>
      <w:r>
        <w:t>BULLETIN NO. 50 OF JANUARY 25, 2016 111</w:t>
        <w:br/>
        <w:t>Table 33 - Size of the market for academic and professional book publishing</w:t>
        <w:br/>
        <w:t>2008 2009 2010 2011 2012 2013 2014</w:t>
        <w:br/>
        <w:t>[1,000- [1,000- [1,000- [1,000- [1,000- [1,000- [1,000-</w:t>
        <w:br/>
        <w:t>Volume</w:t>
        <w:br/>
        <w:t>5,000] 5,000] 5,000] 5,000] 5,000] 5,000] 5,000]</w:t>
        <w:br/>
        <w:t>Value [49-100] [49-100] [49-100] [49-100] [49-100] [49-100] [49-100]</w:t>
        <w:br/>
        <w:t>Source: data provided by the Notifying Party</w:t>
        <w:br/>
        <w:t>85. The data regarding the market shares by volume of the main operators, shown in Table 34, indicate that these held shares that were quite close to each other in 2014: Mondadori and RCS are the top two operators with shares of [5-10%] and [5-10%], respectively, followed by GEMS with a share of [5-10%], and then by Alpha Test with [5-10%].</w:t>
        <w:br/>
        <w:t>Table 34 - Market shares by volume</w:t>
        <w:br/>
        <w:t>2008 2009 2010 2011 2012 2013 2014</w:t>
        <w:br/>
        <w:t>Mondadori [15-20%] [10-15%] [10-15%] [5-10%] [5-10%] [5-10%] [5-10%]</w:t>
        <w:br/>
        <w:t>RCS [5-10%] [5-10%] [5-10%] [5-10%] [5-10%] [5-10%] [5-10%]</w:t>
        <w:br/>
        <w:t>GEMS [5-10%] [10-15%] [5-10%] [5-10%] [5-10%] [5-10%] [5-10%]</w:t>
        <w:br/>
        <w:t>Alpha Test [5-10%] [1-5%] [1-5%] [1-5%] [5-10%] [5-10%] [5-10%]</w:t>
        <w:br/>
        <w:t>Feltrinelli [5-10%] [5-10%] [5-10%] [5-10%] [5-10%] [5-10%] [1-5%]</w:t>
        <w:br/>
        <w:t>Other Publishers [55-60%] [55-60%] [55-60%] [60-65%] [65-70%] [65-70%] [65-70%]</w:t>
        <w:br/>
        <w:t>Mondadori+RCS [20-25%] [20-25%] [20-25%] [15-20%] [10-15%] [10-15%] [15-20%]</w:t>
        <w:br/>
        <w:t>Total 100.0% 100.0% 100.0% 100.0% 100.0% 100.0% 100.0%</w:t>
        <w:br/>
        <w:t>Source: processing based on data provided by the Notifying Party</w:t>
        <w:br/>
        <w:t>86. Table 35 shows the market shares by value of the top 5 competitors. Again, in 2014 the operators held shares that were close to each other: Mondadori and RCS held the highest shares, respectively [5-10%] and [5-10%], followed by Alpha Test with [5-10%].</w:t>
      </w:r>
    </w:p>
    <w:p>
      <w:r>
        <w:t>112 BULLETIN NO. 50 OF JANUARY 25, 2016</w:t>
        <w:br/>
        <w:t>Table 35 - Market shares by value</w:t>
        <w:br/>
        <w:t>2008 2009 2010 2011 2012 2013 2014</w:t>
        <w:br/>
        <w:t>Mondadori [10-15%] [10-15%] [10-15%] [5-10%] [5-10%] [5-10%] [5-10%]</w:t>
        <w:br/>
        <w:t>RCS [5-10%] [5-10%] [5-10%] [5-10%] [5-10%] [5-10%] [5-10%]</w:t>
        <w:br/>
        <w:t>Alpha Test [1-5%] [1-5%] [1-5%] [1-5%] [5-10%] [5-10%] [5-10%]</w:t>
        <w:br/>
        <w:t>Hoepli [1-5%] [1-5%] [5-10%] [5-10%] [5-10%] [1-5%] [1-5%]</w:t>
        <w:br/>
        <w:t>Legal Editions [5-10%] [5-10%] [5-10%] [5-10%] [5-10%] [1-5%] [1-5%]</w:t>
        <w:br/>
        <w:t>Simone</w:t>
        <w:br/>
        <w:t>Other Publishers [65-70%] [65-70%] [65-70%] [65-70%] [70-75%] [70-75%] [70-75%]</w:t>
        <w:br/>
        <w:t>Mondadori+RCS [15-20%] [15-20%] [15-20%] [10-15%] [10-15%] [10-15%] [10-15%]</w:t>
        <w:br/>
        <w:t>Total 100.0% 100.0% 100.0% 100.0% 100.0% 100.0% 100.0%</w:t>
        <w:br/>
        <w:t>Source: processing based on data provided by the Notifying Party</w:t>
        <w:br/>
        <w:t>87. Following the completion of the notified operation, Mondadori will hold a share of [15-20%] by volume and [10-15%] by value.</w:t>
        <w:br/>
        <w:t>Market for comic book publishing</w:t>
        <w:br/>
        <w:t>88. The data contained in Table 36 show the size of the comic book publishing market by volume and value for the period 2008-2014. In 2014, the number of volumes sold amounted to approximately [less than 1 million] for a value of [1-10] million euros.</w:t>
        <w:br/>
        <w:t>Table 36 - Size of the market in volume (thousands) and in value (millions of euros)</w:t>
        <w:br/>
        <w:t>2008 2009 2010 2011 2012 2013 2014</w:t>
        <w:br/>
        <w:t>[less than [less than [less than [less than [less than [less than [less than</w:t>
        <w:br/>
        <w:t>Volume</w:t>
        <w:br/>
        <w:t>1,000] 1,000] 1,000] 1,000] 1,000] 1,000] 1,000]</w:t>
        <w:br/>
        <w:t>Value [1-10] [1-10] [1-10] [1-10] [1-10] [1-10] [1-10]</w:t>
        <w:br/>
        <w:t>Source: data provided by the Notifying Party</w:t>
        <w:br/>
        <w:t>89. Table 37 shows the market shares by volume of the top 5 operators.</w:t>
      </w:r>
    </w:p>
    <w:p>
      <w:r>
        <w:t>BULLETIN NO. 50 OF JANUARY 25, 2016 113</w:t>
        <w:br/>
        <w:t>Table 37 - Market shares by volume</w:t>
        <w:br/>
        <w:t>2008 2009 2010 2011 2012 2013 2014</w:t>
        <w:br/>
        <w:t>Mondadori [30-35%] [20-25%] [20-25%] [20-25%] [20-25%] [15-20%] [15-20%]</w:t>
        <w:br/>
        <w:t>GEMS [10-15%] [10-15%] [10-15%] [10-15%] [10-15%] [5-10%] [10-15%]</w:t>
        <w:br/>
        <w:t>Panini [5-10%] [10-15%] [10-15%] [10-15%] [10-15%] [10-15%] [10-15%]</w:t>
        <w:br/>
        <w:t>RCS [20-25%] [10-15%] [5-10%] [5-10%] [5-10%] [10-15%] [5-10%]</w:t>
        <w:br/>
        <w:t>[less than</w:t>
        <w:br/>
        <w:t>Giunti [1-5%] [1-5%] [1-5%] [1-5%] [1-5%] [1-5%]</w:t>
        <w:br/>
        <w:t>1%]</w:t>
        <w:br/>
        <w:t>Other Publishers [25-30%] [40-45%] [40-45%] [40-45%] [45-50%] [45-50%] [45-50%]</w:t>
        <w:br/>
        <w:t>Mondadori+RCS [50-55%] [30-35%] [25-30%] [25-30%] [25-30%] [25-30%] [25-30%]</w:t>
        <w:br/>
        <w:t>Total 100.0% 100.0% 100.0% 100.0% 100.0% 100.0% 100.0%</w:t>
        <w:br/>
        <w:t>Source: processing based on data provided by the Notifying Party</w:t>
        <w:br/>
        <w:t>90. The market shares by value of the top 5 competitors are shown in Table 38.</w:t>
        <w:br/>
        <w:t>Table 38 - Market shares by value</w:t>
        <w:br/>
        <w:t>2008 2009 2010 2011 2012 2013 2014</w:t>
        <w:br/>
        <w:t>Mondadori [35-40%] [25-30%] [25-30%] [20-25%] [20-25%] [20-25%] [20-25%]</w:t>
        <w:br/>
        <w:t>GEMS [5-10%] [15-20%] [15-20%] [15-20%] [10-15%] [10-15%] [10-15%]</w:t>
        <w:br/>
        <w:t>RCS [20-25%] [10-15%] [5-10%] [5-10%] [5-10%] [10-15%] [10-15%]</w:t>
        <w:br/>
        <w:t>Panini [5-10%] [5-10%] [5-10%] [10-15%] [5-10%] [5-10%] [5-10%]</w:t>
        <w:br/>
        <w:t>[less than [less than</w:t>
        <w:br/>
        <w:t>Giunti [1-5%] [1-5%] [1-5%] [1-5%] [1-5%]</w:t>
        <w:br/>
        <w:t>1%] 1%]</w:t>
        <w:br/>
        <w:t>Other Publishers [20-25%] [35-40%] [40-45%] [35-40%] [35-40%] [40-45%] [40-45%]</w:t>
        <w:br/>
        <w:t>Mondadori+RCS [55-60%] [40-45%] [30-35%] [30-35%] [30-35%] [30-35%] [30-35%]</w:t>
        <w:br/>
        <w:t>Total 100.0% 100.0% 100.0% 100.0% 100.0% 100.0% 100.0%</w:t>
        <w:br/>
        <w:t>Source: processing based on data provided by the Notifying Party</w:t>
        <w:br/>
        <w:t>Market for para-school publishing</w:t>
        <w:br/>
        <w:t>91. Regarding para-school publishing, the Notifying Party provided data for the period 2010-2014, sourced from Cerved-Databank, related to the revenue generated by the main publishing houses; therefore, the information regarding the total value of sales made in the examined market is missing.</w:t>
        <w:br/>
        <w:t>92. The total revenue values related to the main operators are shown in Table 39. In 2014, the value of sales made by the main publishing houses amounted to [10-49] million euros.</w:t>
      </w:r>
    </w:p>
    <w:p>
      <w:r>
        <w:rPr>
          <w:b/>
        </w:rPr>
        <w:t>[Pages 112–114]</w:t>
      </w:r>
    </w:p>
    <w:p>
      <w:r>
        <w:t xml:space="preserve">BULLETIN NO. 50 OF JANUARY 25, 2016  </w:t>
        <w:br/>
        <w:t xml:space="preserve">Table 39 - Revenues of the main operators (millions of euros)  </w:t>
        <w:br/>
        <w:t xml:space="preserve">2010 2011 2012 2013 2014  </w:t>
        <w:br/>
        <w:t xml:space="preserve">Revenues Main Operators [10-49] [10-49] [10-49] [10-49] [10-49]  </w:t>
        <w:br/>
        <w:t xml:space="preserve">Source: processing based on data provided by the Notifying Party  </w:t>
        <w:br/>
        <w:t xml:space="preserve">93. Table 40 contains the market shares of the top 5 operators calculated by relating their revenues to the total sales made by the main publishers as recorded by Cerved-Databank; these are therefore estimates that overstate the position of the companies.  </w:t>
        <w:br/>
        <w:t xml:space="preserve">Table 40 - Market shares of the top 5 operators  </w:t>
        <w:br/>
        <w:t xml:space="preserve">2010 2011 2012 2013 2014  </w:t>
        <w:br/>
        <w:t xml:space="preserve">De Agostini [25-30%] [20-25%] [20-25%] [20-25%] [25-30%]  </w:t>
        <w:br/>
        <w:t xml:space="preserve">Zanichelli [25-30%] [25-30%] [25-30%] [20-25%] [20-25%]  </w:t>
        <w:br/>
        <w:t xml:space="preserve">RCS [10-15%] [15-20%] [10-15%] [15-20%] [15-20%]  </w:t>
        <w:br/>
        <w:t xml:space="preserve">Giunti [5-10%] [10-15%] [10-15%] [10-15%] [10-15%]  </w:t>
        <w:br/>
        <w:t xml:space="preserve">Mondadori [10-15%] [10-15%] [10-15%] [10-15%] [10-15%]  </w:t>
        <w:br/>
        <w:t xml:space="preserve">Other Operators [5-10%] [5-10%] [10-15%] [5-10%] [5-10%]  </w:t>
        <w:br/>
        <w:t xml:space="preserve">Mondadori+RCS [25-30%] [25-30%] [25-30%] [25-30%] [25-30%]  </w:t>
        <w:br/>
        <w:t xml:space="preserve">Revenues Main Operators 100% 100% 100% 100% 100%  </w:t>
        <w:br/>
        <w:t xml:space="preserve">Source: processing based on data provided by the Notifying Party  </w:t>
        <w:br/>
        <w:t xml:space="preserve">94. De Agostini and Zanichelli are respectively the first and second operators with shares equal in 2014 to [25-30%] and [20-25%]. RCS Libri and Mondadori are the third and fifth operators with shares equal to [15-20%] and [10-15%] respectively. Following the completion of the notified operation, Mondadori will become the first operator with a share of [25-30%] slightly above those of De Agostini ([25-30%]) and Zanichelli ([20-25%]).  </w:t>
        <w:br/>
        <w:t xml:space="preserve">Market for dictionary and encyclopedia publishing  </w:t>
        <w:br/>
        <w:t xml:space="preserve">95. As noted above, the market for dictionary and encyclopedia publishing is partially overlapping with that of supplementary education publishing. For this market, as well as for the remaining markets of "various" publishing, the Notifying Party has provided data, collected and processed by GFK, relating to sales to final consumers (so-called sell out).  </w:t>
        <w:br/>
        <w:t xml:space="preserve">96. The data contained in Table 41 show the total volume and amount of sales of dictionaries and encyclopedias in the period 2010-2014. In 2014, sales volume amounted to just over [less than 1 million] for a total value of [10-49] million euros.  </w:t>
        <w:br/>
        <w:t xml:space="preserve">BULLETIN NO. 50 OF JANUARY 25, 2016  </w:t>
        <w:br/>
        <w:t xml:space="preserve">Table 41 - Market size in volume (thousands) and value (millions of euros)  </w:t>
        <w:br/>
        <w:t xml:space="preserve">2010 2011 2012 2013 2014  </w:t>
        <w:br/>
        <w:t xml:space="preserve">[less than [less than [less than [less than [less than  </w:t>
        <w:br/>
        <w:t xml:space="preserve">Volume 1 million] 1 million] 1 million] 1 million] 1 million]  </w:t>
        <w:br/>
        <w:t xml:space="preserve">Value [10-49] [10-49] [10-49] [10-49] [10-49]  </w:t>
        <w:br/>
        <w:t xml:space="preserve">Source: data provided by the Notifying Party  </w:t>
        <w:br/>
        <w:t xml:space="preserve">97. The market shares of the 5 main operators and RCS Libri are reported in Table 42 (volume shares) and in Table 43 (value shares). The ranking of operators changes depending on whether volumes or the value of sales are considered. In terms of quantity, the leading operator in the market is De Agostini with a share of [30-35%] followed by Zanichelli with [15-20%]; Mondadori is the fourth operator with a share of [10-15%]; while RCS Libri represents less than 1% of the market ([less than 1%]). When looking at the value of sales, the leading operator is Zanichelli with a share of [35-40%] followed by De Agostini with [20-25%] and Mondadori with [10-15%]; the share of RCS Libri stands at [less than 1%].  </w:t>
        <w:br/>
        <w:t xml:space="preserve">Table 42 - Market shares by volume  </w:t>
        <w:br/>
        <w:t xml:space="preserve">2010 2011 2012 2013 2014  </w:t>
        <w:br/>
        <w:t xml:space="preserve">De Agostini [20-25%] [20-25%] [20-25%] [20-25%] [30-35%]  </w:t>
        <w:br/>
        <w:t xml:space="preserve">Zanichelli [20-25%] [15-20%] [15-20%] [15-20%] [15-20%]  </w:t>
        <w:br/>
        <w:t xml:space="preserve">GEMS [10-15%] [10-15%] [10-15%] [10-15%] [10-15%]  </w:t>
        <w:br/>
        <w:t xml:space="preserve">Mondadori [10-15%] [10-15%] [10-15%] [10-15%] [10-15%]  </w:t>
        <w:br/>
        <w:t xml:space="preserve">Giunti [10-15%] [10-15%] [10-15%] [5-10%] [5-10%]  </w:t>
        <w:br/>
        <w:t xml:space="preserve">Other Publishers [15-20%] [20-25%] [20-25%] [20-25%] [15-20%]  </w:t>
        <w:br/>
        <w:t xml:space="preserve">[less than [less than [less than [less than [less than  </w:t>
        <w:br/>
        <w:t xml:space="preserve">of which RCS all’1%] all’1%] all’1%] all’1%] all’1%]  </w:t>
        <w:br/>
        <w:t xml:space="preserve">Mondadori+RCS [10-15%] [10-15%] [10-15%] [10-15%] [10-15%]  </w:t>
        <w:br/>
        <w:t xml:space="preserve">Total 100.0% 100.0% 100.0% 100.0% 100.0%  </w:t>
        <w:br/>
        <w:t xml:space="preserve">Source: processing based on data provided by the Notifying Party  </w:t>
        <w:br/>
        <w:t xml:space="preserve">Table 43 - Market shares by value  </w:t>
        <w:br/>
        <w:t xml:space="preserve">2010 2011 2012 2013 2014  </w:t>
        <w:br/>
        <w:t xml:space="preserve">Zanichelli [40-45%] [35-40%] [35-40%] [35-40%] [35-40%]  </w:t>
        <w:br/>
        <w:t xml:space="preserve">De Agostini [15-20%] [15-20%] [15-20%] [15-20%] [20-25%]  </w:t>
        <w:br/>
        <w:t xml:space="preserve">Mondadori [10-15%] [10-15%] [10-15%] [10-15%] [10-15%]  </w:t>
        <w:br/>
        <w:t xml:space="preserve">GEMS [5-10%] [10-15%] [10-15%] [5-10%] [5-10%]  </w:t>
        <w:br/>
        <w:t xml:space="preserve">Hoepli [1-5%] [1-5%] [1-5%] [1-5%] [1-5%]  </w:t>
        <w:br/>
        <w:t xml:space="preserve">Other Publishers [15-20%] [15-20%] [15-20%] [15-20%] [15-20%]  </w:t>
        <w:br/>
        <w:t xml:space="preserve">[less than [less than [less than [less than [less than  </w:t>
        <w:br/>
        <w:t xml:space="preserve">of which RCS all’1%] all’1%] all’1%] all’1%] all’1%]  </w:t>
        <w:br/>
        <w:t xml:space="preserve">Mondadori+RCS [10-15%] [10-15%] [10-15%] [10-15%] [10-15%]  </w:t>
        <w:br/>
        <w:t xml:space="preserve">Total 100.0% 100.0% 100.0% 100.0% 100.0%  </w:t>
        <w:br/>
        <w:t xml:space="preserve">Source: processing based on data provided by the Notifying Party  </w:t>
        <w:br/>
        <w:t xml:space="preserve">98. As a result of the notified operation, Mondadori will marginally increase its market share ([less than 1%] in volume and 0.3% [less than 1%] in value) remaining below [15-20%] and not changing its position in the market.  </w:t>
        <w:br/>
        <w:t xml:space="preserve">Market for e-book publishing  </w:t>
        <w:br/>
        <w:t xml:space="preserve">99. Table 44 shows the AIE estimate of the value of e-book sales in the period 2011-2014. The market has grown from 12.6 million euros in 2011 to 40.5 million euros in 2014.  </w:t>
        <w:br/>
        <w:t xml:space="preserve">Table 44 - Size of the e-book publishing market by value (millions of euros)  </w:t>
        <w:br/>
        <w:t xml:space="preserve">2011 2012 2013 2014  </w:t>
        <w:br/>
        <w:t xml:space="preserve">Value of sales 12.6 23.8 32.1 40.5  </w:t>
        <w:br/>
        <w:t xml:space="preserve">Source: AIE estimates  </w:t>
        <w:br/>
        <w:t xml:space="preserve">100. Table 45 shows the market shares of Mondadori and RCS Libri estimated based on the AIE data described above.  </w:t>
        <w:br/>
        <w:t xml:space="preserve">Table 45 - Market shares by value  </w:t>
        <w:br/>
        <w:t xml:space="preserve">2011 2012 2013 2014  </w:t>
        <w:br/>
        <w:t xml:space="preserve">Mondadori [10-15%] [25-30%] [35-40%] [30-35%]  </w:t>
        <w:br/>
        <w:t xml:space="preserve">RCS [5-10%] [5-10%] [10-15%] [10-15%]  </w:t>
        <w:br/>
        <w:t xml:space="preserve">Mondadori + RCS [15-20%] [35-40%] [45-50%] [45-50%]  </w:t>
        <w:br/>
        <w:t xml:space="preserve">Source: processing based on data provided by the Parties and AIE estimates  </w:t>
        <w:br/>
        <w:t xml:space="preserve">V.4 The market for book promotion services of "various"  </w:t>
        <w:br/>
        <w:t>101. Table 46 shows the overall level of promotion services provided by Mondadori and RCS Libri (measured in number of books) in the period 2010-2014, highlighting the services provided to third-party publishers. The subsequent Table 47 reports for the same period the value of the total services provided.</w:t>
      </w:r>
    </w:p>
    <w:p>
      <w:r>
        <w:rPr>
          <w:b/>
        </w:rPr>
        <w:t>[Pages 115–117]</w:t>
      </w:r>
    </w:p>
    <w:p>
      <w:r>
        <w:t>BULLETIN NO. 50 OF JANUARY 25, 2016 117</w:t>
        <w:br/>
        <w:t>the promotional services carried out by the Parties (cover price of the books) distinguishing those provided to third-party publishers.</w:t>
        <w:br/>
        <w:t>Table 46 - Volume (thousands of books) of promotional services carried out by the Parties</w:t>
        <w:br/>
        <w:t>2010 2011 2012 2013 2014</w:t>
        <w:br/>
        <w:t>Mondadori [30,000-35,000] [30,000-35,000] [30,000-35,000] [25,000-30,000] [25,000-30,000]</w:t>
        <w:br/>
        <w:t>of which third parties [1,000-5,000] [1,000-5,000] [1,000-5,000] [1,000-5,000] [1,000-5,000]</w:t>
        <w:br/>
        <w:t>of which third parties (%) [1-5%] [1-5%] [1-5%] [5-10%] [5-10%]</w:t>
        <w:br/>
        <w:t>RCS Libri [15,000-20,000] [15,000-20,000] [15,000-20,000] [15,000-20,000] [15,000-20,000]</w:t>
        <w:br/>
        <w:t>of which third parties [1,000-5,000] [1,000-5,000] [1,000-5,000] [1,000-5,000] [1,000-5,000]</w:t>
        <w:br/>
        <w:t>of which third parties (%) [10-15%] [10-15%] [10-15%] [10-15%] [10-15%]</w:t>
        <w:br/>
        <w:t>Source: elaborations based on data provided by the Parties</w:t>
        <w:br/>
        <w:t>Table 47 - Value (millions of euros) of promotional services carried out by the Parties</w:t>
        <w:br/>
        <w:t>2010 2011 2012 2013 2014</w:t>
        <w:br/>
        <w:t>Mondadori [100-492] [100-492] [100-492] [100-492] [100-492]</w:t>
        <w:br/>
        <w:t>of which third parties [10-49] [10-49] [10-49] [10-49] [10-49]</w:t>
        <w:br/>
        <w:t>of which third parties (%) [1-5%] [1-5%] [1-5%] [1-5%] [1-5%]</w:t>
        <w:br/>
        <w:t>RCS Libri [100-492] [100-492] [100-492] [100-492] [100-492]</w:t>
        <w:br/>
        <w:t>of which third parties [10-49] [10-49] [10-49] [10-49] [10-49]</w:t>
        <w:br/>
        <w:t>of which third parties (%) [15-20%] [15-20%] [10-15%] [10-15%] [10-15%]</w:t>
        <w:br/>
        <w:t>Source: elaborations based on data provided by the Parties</w:t>
        <w:br/>
        <w:t>102. In 2014, the promotional services carried out by Mondadori concerned [25-30] million books for a value of [100-492] million euros; the services provided by RCS Libri concerned [15-20] million copies for a value of [100-492] million euros. Mondadori's activity was directed [5-10%] in volume and [1-5%] in value to third-party publishers. [10-15%] of the volume of RCS Libri's activity and [10-15%] of the value concerned services provided to third-party publishers.</w:t>
        <w:br/>
        <w:t>V.5 Markets for book distribution services of "various"</w:t>
        <w:br/>
        <w:t>Market for the distribution to bookstores of "various" books</w:t>
        <w:br/>
        <w:t>103. Tables 48 and 49 show the size, in volume and value, of the activity carried out by the Parties in the market for distribution services of "various" books during the period 2010-2014; the services provided to third-party publishers are highlighted.</w:t>
      </w:r>
    </w:p>
    <w:p>
      <w:r>
        <w:t>118 BULLETIN NO. 50 OF JANUARY 25, 2016</w:t>
        <w:br/>
        <w:t>Table 48 - Volume (thousands of books) of distribution services carried out by the Parties</w:t>
        <w:br/>
        <w:t>2010 2011 2012 2013 2014</w:t>
        <w:br/>
        <w:t>Mondadori [35,000-40,000] [35,000-40,000] [30,000-35,000] [25,000-30,000] [25,000-30,000]</w:t>
        <w:br/>
        <w:t>of which third parties [1,000-5,000] [1,000-5,000] [1,000-5,000] [1,000-5,000] [1,000-5,000]</w:t>
        <w:br/>
        <w:t>of which third parties (%) [5-10%] [5-10%] [5-10%] [1-5%] [5-10%]</w:t>
        <w:br/>
        <w:t>RCS [15,000-20,000] [15,000-20,000] [15,000-20,000] [15,000-20,000] [15,000-20,000]</w:t>
        <w:br/>
        <w:t>of which third parties [1,000-5,000] [1,000-5,000] [1,000-5,000] [1,000-5,000] [1,000-5,000]</w:t>
        <w:br/>
        <w:t>of which third parties (%) [10-15%] [10-15%] [10-15%] [10-15%] [10-15%]</w:t>
        <w:br/>
        <w:t>Source: elaborations based on data provided by the Parties</w:t>
        <w:br/>
        <w:t>Table 49 - Value (millions of euros) of distribution services carried out by the Parties</w:t>
        <w:br/>
        <w:t>2010 2011 2012 2013 2014</w:t>
        <w:br/>
        <w:t>Mondadori [492-700] [100-492] [100-492] [100-492] [100-492]</w:t>
        <w:br/>
        <w:t>of which third parties [10-49] [10-49] [10-49] [1-10] [10-49]</w:t>
        <w:br/>
        <w:t>of which third parties (%) [5-10%] [5-10%] [5-10%] [1-5%] [5-10%]</w:t>
        <w:br/>
        <w:t>RCS [100-492] [100-492] [100-492] [100-492] [100-492]</w:t>
        <w:br/>
        <w:t>of which third parties [10-49] [10-49] [10-49] [10-49] [10-49]</w:t>
        <w:br/>
        <w:t>of which third parties (%) [15-20%] [15-20%] [10-15%] [10-15%] [10-15%]</w:t>
        <w:br/>
        <w:t>Source: elaborations based on data provided by the Parties</w:t>
        <w:br/>
        <w:t>104. In 2014, the distribution services carried out by Mondadori amounted to [25-30] million books for a value of [100-492] million euros; the services provided by RCS Libri25 corresponded to [15-20] million books for a value of [100-492] million euros. [5-10%] of the volume of Mondadori's activity, corresponding to [5-10%] of the total value, was directed to third-party publishers. Regarding RCS Libri, [10-15%] of the volumes and [10-15%] of the value concerned services provided to third-party publishers.</w:t>
        <w:br/>
        <w:t>Market for the distribution to large-scale retail of "various" books</w:t>
        <w:br/>
        <w:t>105. In the market for distribution to large-scale retail of "various" books, Mondadori and RCS Libri are active through the subsidiary Mach2 Libri.</w:t>
        <w:br/>
        <w:t>106. The market in question is substantially divided between Mach2 Libri and Opportunity S.p.A. (hereinafter, Opportunity), the latter subject to joint control by Messaggerie and Feltrinelli26. Based on the available information27, Mach2 Libri's market share can be estimated at 50%.</w:t>
        <w:br/>
        <w:t>25 For RCS Libri, the promotional and distribution activities carried out for third-party publishers coincide.</w:t>
        <w:br/>
        <w:t>26 See C11957 - Emmelibri-Effe 2005 Feltrinelli Group/Newco.</w:t>
        <w:br/>
        <w:t>27 See C11898 - Emmelibri/Giunti &amp; Messaggerie where Opportunity's share is indicated as 44.5%.</w:t>
      </w:r>
    </w:p>
    <w:p>
      <w:r>
        <w:t>BULLETIN NO. 50 OF JANUARY 25, 2016 119</w:t>
        <w:br/>
        <w:t>Market for the distribution of e-books</w:t>
        <w:br/>
        <w:t>107. In the current market context, Mondadori is the only publisher capable of managing the distribution of e-books to sales platforms within its own organization. As shown in Table 45, [30-35%] of the books sold (and distributed) are from Mondadori.</w:t>
        <w:br/>
        <w:t>108. Following the completion of the notified operation, Mondadori will take over from RCS Libri in the share capital of Edigita, a company currently controlled by RCS Libri together with Messaggerie and Feltrinelli.</w:t>
        <w:br/>
        <w:t>109. Table 50 shows the shares (in value) of Edigita in the e-book distribution market to sales platforms during the period 2011-2014. These shares were calculated using the value of e-book sales as an estimate of the overall market size, as calculated by AIE (see Table 44), also considering that in the case of digital books, a precise correspondence can be established between distribution and sales.</w:t>
        <w:br/>
        <w:t>Table 50 - Market shares in value of Edigita</w:t>
        <w:br/>
        <w:t>2011 2012 2013 2014</w:t>
        <w:br/>
        <w:t>Edigita [10-15%] [30-35%] [40-45%] [45-50%]</w:t>
        <w:br/>
        <w:t>Source: elaborations based on data provided by the Company and on AIE estimates</w:t>
        <w:br/>
        <w:t>V.6 The markets for the sale of books to end customers</w:t>
        <w:br/>
        <w:t>Retail market for the sale of "various" books</w:t>
        <w:br/>
        <w:t>110. With reference to the national territory, the size of the market for the sale of "various" books is reported in Table 51, both regarding the volume of sales and the corresponding value (at cover price). In 2014, [85-90] million books were sold for a value of approximately [1-2] billion euros.</w:t>
        <w:br/>
        <w:t>Table 51 - Size of the market in volume (thousands) and in value (millions of euros)</w:t>
        <w:br/>
        <w:t>2010 2011 2012 2013 2014</w:t>
        <w:br/>
        <w:t>Volume [95,000-100,000] [95,000-100,000] [95,000-100,000] [90,000-95,000] [85,000-90,000]</w:t>
        <w:br/>
        <w:t>Value [1,000-2,000] [1,000-2,000] [1,000-2,000] [1,000-2,000] [1,000-2,000]</w:t>
        <w:br/>
        <w:t>Source: data provided by the Notifying Party</w:t>
        <w:br/>
        <w:t>111. In Tables 52 and 53 below, the levels of market shares in volume and value of Mondadori and RCS Libri, which owns a single bookstore located in Milan, are represented for the period 2010-2014.</w:t>
      </w:r>
    </w:p>
    <w:p>
      <w:r>
        <w:rPr>
          <w:b/>
        </w:rPr>
        <w:t>[Pages 118–120]</w:t>
      </w:r>
    </w:p>
    <w:p>
      <w:r>
        <w:t>120 BULLETIN NO. 50 OF JANUARY 25, 2016</w:t>
        <w:br/>
        <w:t>Table 52 - Market shares by volume</w:t>
        <w:br/>
        <w:t>2010 2011 2012 2013 2014</w:t>
        <w:br/>
        <w:t>Mondadori [10-15%] [10-15%] [10-15%] [10-15%] [15-20%]</w:t>
        <w:br/>
        <w:t>[less than [less than [less than [less than [less than</w:t>
        <w:br/>
        <w:t>RCS</w:t>
        <w:br/>
        <w:t>1%] 1%] 1%] 1%] 1%]</w:t>
        <w:br/>
        <w:t>Mondadori+RCS [10-15%] [10-15%] [10-15%] [10-15%] [15-20%]</w:t>
        <w:br/>
        <w:t>Other operators [85-90%] [85-90%] [85-90%] [85-90%] [80-85%]</w:t>
        <w:br/>
        <w:t>Market 100.0% 100.0% 100.0% 100.0% 100.0%</w:t>
        <w:br/>
        <w:t>Source: elaborations based on data provided by the Parties</w:t>
        <w:br/>
        <w:t>Table 53 - Market shares by value</w:t>
        <w:br/>
        <w:t>2010 2011 2012 2013 2014</w:t>
        <w:br/>
        <w:t>Mondadori [10-15%] [10-15%] [10-15%] [10-15%] [10-15%]</w:t>
        <w:br/>
        <w:t>[less than [less than [less than [less than [less than</w:t>
        <w:br/>
        <w:t>RCS</w:t>
        <w:br/>
        <w:t>1%] 1%] 1%] 1%] 1%]</w:t>
        <w:br/>
        <w:t>Mondadori+RCS [10-15%] [10-15%] [10-15%] [10-15%] [15-20%]</w:t>
        <w:br/>
        <w:t>Other operators [85-90%] [85-90%] [85-90%] [85-90%] [80-85%]</w:t>
        <w:br/>
        <w:t>Market 100.0% 100.0% 100.0% 100.0% 100.0%</w:t>
        <w:br/>
        <w:t>Source: elaborations based on data provided by the Parties</w:t>
        <w:br/>
        <w:t>112. In 2014, Mondadori's market share was [15-20%] by volume and [10-15%] by value, while RCS Libri's share was [less than 1%] both by volume and by value. Following the completion of the notified operation, Mondadori will therefore hold an estimated share of [15-20%] by volume and [15-20%] by value.</w:t>
        <w:br/>
        <w:t>113. As for the territorial scope of the province of Milan, where there will be an overlap of the activities of Mondadori and RCS Libri, in the absence of information regarding the volume and value of total sales made there, the position of the Parties will be assessed using data related to the number of bookstores. That said, the structure of the market in the province of Milan is shown in Table 54 below.</w:t>
        <w:br/>
        <w:t>Table 54 - Number of bookstores in the province of Milan</w:t>
        <w:br/>
        <w:t>Number of bookstores Number of bookstores (%)</w:t>
        <w:br/>
        <w:t>Mondadori 23 10.7%</w:t>
        <w:br/>
        <w:t>RCS 1 0.5%</w:t>
        <w:br/>
        <w:t>Mondadori+RCS 24 11.2%</w:t>
        <w:br/>
        <w:t>Other Operators 190 88.8%</w:t>
        <w:br/>
        <w:t>Total 214 100.0%</w:t>
        <w:br/>
        <w:t>Source: elaborations based on data provided by the Parties</w:t>
        <w:br/>
        <w:t>114. The bookstores under the Mondadori brand, including those in franchised sales points, are 23 out of a total of 214. Following the completion of the notified operation, the bookstores attributable to Mondadori will rise to 24 – as mentioned, RCS Libri owns a single bookstore – accounting for 11.2% of the total.</w:t>
        <w:br/>
        <w:t>Market for online retail sales of editorial products</w:t>
        <w:br/>
        <w:t>115. Preliminary observations indicate that the market for online retail sales of editorial products is relevant for the assessment concerning only the sale of books, both printed and e-books, given that Mondadori and RCS Libri are primary publishers and for both, sales of products other than books, in the managed bookstores (both physical and digital) constitute ancillary activities.</w:t>
        <w:br/>
        <w:t>116. RCS Libri and Mondadori are active in the online sale of books, both printed and e-books, through the websites “libreriarizzoli.it” and “mondadoristore.it”.</w:t>
        <w:br/>
        <w:t>For the purposes of this assessment, it is not necessary to examine the position of the Parties in the distinct segments of online sales of printed books and the sale of e-books, also considering the presence in the market of qualified competitors such as Amazon and IBS.</w:t>
        <w:br/>
        <w:t>117. Table 55 provides an estimate of the market size expressed in terms of sales value for the period 2011-2014, based on data related to online sales of “varia” printed books from GFK and data from AIE related to the sale of e-books. In 2014, online sales of “varia” books amounted to [100-492] million euros.</w:t>
        <w:br/>
        <w:t>Table 55 - Size in value (millions of euros) of online sales of “varia” books</w:t>
        <w:br/>
        <w:t>2011 2012 2013 2014</w:t>
        <w:br/>
        <w:t>Sales [100-492] [100-492] [100-492] [100-492]</w:t>
        <w:br/>
        <w:t>Source: data provided by the Notifying Party</w:t>
        <w:br/>
        <w:t>118. In 2014, Mondadori held a share of [1-5%], while RCS Libri held a share of [10-15%]. Following the completion of the notified operation, Mondadori will hold a share of [15-20%].</w:t>
        <w:br/>
        <w:t>Market for the management of bookshops at museum and archaeological sites</w:t>
        <w:br/>
        <w:t>119. Information provided by the Parties indicates that currently Mondadori Electa, a subsidiary of Mondadori, holds [omitted] concessions related to museum services that also include the management of bookshops; of these, [omitted] are in ATI with other parties but see Mondadori Electa as the lead and responsible for managing the bookshops.</w:t>
        <w:br/>
        <w:t>120. Venezia Accademia, which Mondadori will acquire exclusive control over as a result of the notified operation, holds [omitted] concession in ATI with Mondadori Electa, which is responsible for managing the bookstore; [omitted].</w:t>
        <w:br/>
        <w:t>121. Marsilio, a subsidiary of RCS Libri, does not manage, nor has it managed in the last 5 years, museum bookstores. The only related activity is management, [omitted].</w:t>
        <w:br/>
        <w:t>VI. EVALUATIONS</w:t>
        <w:br/>
        <w:t>122. In order to fully assess the effects of the notified operation, it is deemed appropriate to make some preliminary considerations on the Parties and on the competitive dynamics that characterize the Italian publishing sector.</w:t>
      </w:r>
    </w:p>
    <w:p>
      <w:r>
        <w:t>122 BULLETIN NO. 50 OF JANUARY 25, 2016</w:t>
        <w:br/>
        <w:t>123. The Italian publishing sector has been experiencing a phase of decline since 2010, which adds to an intrinsic limitation due to the linguistic constraint. In this context, about 60% of the “varia” publishing market is represented by the five main publishing groups present in the Italian landscape (Mondadori, RCS, GEMS, Feltrinelli, and Giunti), all characterized, albeit to varying degrees, by vertical integration throughout the entire publishing chain. This characteristic differentiates them from the remaining independent publishers, mostly medium-small, who need to maintain contractual relationships with the aforementioned groups in order to be distributed and reach the end consumer.</w:t>
        <w:br/>
        <w:t>124. The market shares of the five cited groups have remained almost stable over the years, with the exception of some slight fluctuations due to the increase in market shares of some smaller operators such as Newton Compton and Sellerio. The remaining approximately 40% of the “varia” publishing market is quite fragmented, being attributable to hundreds of medium and small publishers with limited growth opportunities.</w:t>
        <w:br/>
        <w:t>125. In the context just described, the competitive constraint represented by new entrants appears to be negligible considering that (i) the market size is necessarily limited to national borders due to the linguistic factor; (ii) historically, the new entrants that have occurred have not substantially affected the market shares of the main publishing groups; (iii) any new entrants, due to the vertical integration of the main operators, would necessarily need to seek synergies with them in order to be distributed, promoted, and disseminated to the public.</w:t>
        <w:br/>
        <w:t>126. It is therefore deemed necessary to frame and examine the present operation taking into account the specific characteristics and peculiarities of the Italian publishing sector in order to fully grasp the cumulative effect of this further concentration, along with the vertical integration of the main operators. In light of such peculiarities, the mere assessment of the market shares held by the Parties in the various markets of the chain – already sufficient in itself to require a more in-depth analysis of the competitive impact of the concentration – could even underestimate the potential competitive impact of the operation itself on the markets in question.</w:t>
        <w:br/>
        <w:t>127. In the described market context, Mondadori and RCS Libri present themselves as the closest mutual substitutes. They are the two main publishers of “varia” books in Italy, ranking among the top five operators in practically all markets of “varia” publishing; moreover, both hold significant positions in the markets of fiction and non-fiction as well as e-books. Likewise, Mondadori and RCS Libri are among the main operators in the school publishing sector, which presents itself as a concentrated and decidedly stable market in terms of market shares.</w:t>
        <w:br/>
        <w:t>128. Both companies currently belong to integrated groups in various media markets: Mondadori is also active in periodical publishing and belongs to the Fininvest Group, which is present in the television, radio, and film sectors; RCS Libri is part of the RCS Group, a major player in the daily and periodical publishing sector, as well as, until 2014, in the radio sector. The presence in the daily and periodical publishing sectors, as well as in the television and radio sectors, represents an undeniable competitive advantage in order to make known to readers the published books and promote their purchase. This makes the brands of RCS and Mondadori more appealing to authors who may be inclined to prefer them over others due to the services and additional advantages that “belonging” to the aforementioned publishing groups can potentially guarantee them. No other publisher presents the characteristics just highlighted.</w:t>
      </w:r>
    </w:p>
    <w:p>
      <w:r>
        <w:rPr>
          <w:b/>
        </w:rPr>
        <w:t>[Pages 121–123]</w:t>
      </w:r>
    </w:p>
    <w:p>
      <w:r>
        <w:t>BULLETIN NO. 50 OF JANUARY 25, 2016 123</w:t>
        <w:br/>
        <w:t>with the consequence that Mondadori, as a result of the operation, would eliminate the only other operator that possesses similar potential to its own, thereby freeing itself from an important competitive constraint.</w:t>
        <w:br/>
        <w:t>129. Additionally, it must be noted that Mondadori owns the most substantial chain of bookstores (approximately 600 sales points) among those present in the market and is constantly expanding. Regardless of the distinction between owned bookstores and franchised bookstores, the sales network attributable to Mondadori ensures it greater visibility in its own bookstores for its editorial products compared to those of third-party publishers. This greater visibility results in the share of Mondadori's book sales in the bookstores belonging to the chain being higher (by over 40%) than the sales share recorded in the market, a fact noted by Mondadori itself in the 2014 Financial Statement. In light of this observation, the acquisition of RCS Libri, resulting in an increase in the brands attributable to Mondadori, is likely to further limit the visibility of competing publishers in the bookstores owned by Mondadori.</w:t>
        <w:br/>
        <w:t>130. Having established this, we will now examine in detail the possible anticompetitive effects that the operation in question appears likely to produce in the relevant markets.</w:t>
        <w:br/>
        <w:t>VI.1 Horizontal Effects</w:t>
        <w:br/>
        <w:t>Markets for the acquisition of copyright</w:t>
        <w:br/>
        <w:t>131. As a preliminary matter, it should be noted that for the markets in question, data relating to the 100 best-selling books were used as a proxy for the size of the activity. The available data do not distinguish between Italian and foreign authors nor by category of books. Regarding the first aspect, it is deemed appropriate at this stage of evaluation to extend the results obtained to both Italian and foreign books; this is to ensure a full assessment of the notified operation in the future. As for the second aspect, it is noted that in the context of the Italian market, the best-selling titles are typically those of fiction and non-fiction; therefore, the data analyzed below will refer to these categories of books.</w:t>
        <w:br/>
        <w:t>132. Tables 1, 3, and 4 above indicate that Mondadori holds, in the markets for the acquisition of Italian and foreign copyright relating to fiction and non-fiction books, a market share of approximately [40-45%] (in 2014, [40-45] titles corresponding to [35-40%] of sales in volume and [40-45%] in value); RCS holds a share of approximately [20-25%] (in 2014, [15-20] titles corresponding to [15-20%] of sales in volume and [20-25%]).</w:t>
        <w:br/>
        <w:t>133. Therefore, following the realization of the notified operation, Mondadori will hold a share of approximately [60-65%] (in 2014, [55-60] titles, [55-60%] of sales in volume and [60-65%] of sales in value). This percentage is significantly above half of the market, clearly relevant, allowing us to conclude that Mondadori will have market power with respect to which the competitive constraint constituted by other publishers (which collectively represent [35-40%] of the market) appears to be ineffective.</w:t>
        <w:br/>
        <w:t>134. This assessment is supported by the analysis of the evolution of the Herfindahl-Hirschman concentration index (HHI) values reported in Table 56 below. These values refer to the market shares of the Parties in 2014 in terms of the number of titles among the top 100 and the volume and value of the corresponding sales.</w:t>
        <w:br/>
        <w:t>Table 56 - Values of the Herfindahl-Hirschman Index</w:t>
        <w:br/>
        <w:t>HHI pre-merger HHI post-merger Delta</w:t>
        <w:br/>
        <w:t>No. Titles 2,005 3,481 1,476</w:t>
        <w:br/>
        <w:t>Sales Volume 1,909 3,421 1,513</w:t>
        <w:br/>
        <w:t>Sales Value 2,264 4,069 1,805</w:t>
        <w:br/>
        <w:t>Source: processing based on data provided by the Notifying Party</w:t>
        <w:br/>
        <w:t>135. The HHI index values are already very high in the current market context, exceeding 1,900 regardless of the reference variable (2,005 in terms of number of titles, 1,909 for sales volumes, 2,264 for sales values). The notified operation will result in these values rising to levels above 3,400 (3,481 in terms of number of titles, 3,421 for sales volumes, 4,069 for sales values) with increases above 1,400 (1,476 in terms of number of titles, 1,513 for sales volumes, 1,805 for sales values).</w:t>
        <w:br/>
        <w:t>136. Considering all of this, it can be concluded that the notified operation will lead to the establishment or strengthening of a dominant position in the markets for the acquisition of copyright relating to Italian and foreign fiction and non-fiction books. The market power that Mondadori will possess is likely to produce effects both in these markets, reducing the choices available to authors and potentially leading to a deterioration of the contractual conditions applied to the same authors, and in the downstream market of fiction and non-fiction publishing, as will be seen below.</w:t>
        <w:br/>
        <w:t>Market for fiction and non-fiction publishing</w:t>
        <w:br/>
        <w:t>137. As shown by the data contained in Tables 10 and 11, in the market for fiction and non-fiction publishing, Mondadori is the market leader with shares of [30-35%] in volume and [30-35%] in value, followed by GEMS ([10-15%] in volume and [10-15%] in value) and RCS Libri ([10-15%] in volume, [10-15%] in value). The concentration thus involves the first and third market operators, reinforcing Mondadori's leadership.</w:t>
        <w:br/>
        <w:t>138. As a result of the realization of the notified operation, Mondadori will indeed hold a share exceeding 40%, specifically [40-45%] in volume and [45-50%] in value. This share will be more than three times that of the first competitor, GEMS ([10-15%] in volume and [10-15%] in value) and more than 6 times that of the second competitor, Newton Compton ([5-10%] in volume and [5-10%] in value). The strength of the relationship with the two main competitors allows us to exclude that they and, even more so, the remaining publishers, will be able to exert competitive pressure sufficient to regulate Mondadori's conduct.</w:t>
        <w:br/>
        <w:t>139. To support this conclusion, Table 57 presents the values of the HHI concentration index in the current market context and in the post-merger scenario calculated using both volume and value market shares. The index rises from values just below 1,500 (1,428 and 1,484 respectively for volume and value shares) to values above 2,000 (2,117 and 2,275); the increases are 690 (volume shares) and 791 (value shares).</w:t>
        <w:br/>
        <w:t>Table 57 - Values of the Herfindahl-Hirschman Index</w:t>
        <w:br/>
        <w:t>HHI pre-merger HHI post-merger Delta</w:t>
        <w:br/>
        <w:t>Volume 1,428 2,117 690</w:t>
        <w:br/>
        <w:t>Value 1,484 2,275 791</w:t>
        <w:br/>
        <w:t>Source: processing based on data provided by the Notifying Party</w:t>
        <w:br/>
        <w:t>140. Therefore, the notified operation will result in the emergence of an operator with significant market power and will increase the degree of concentration in an already concentrated market.</w:t>
        <w:br/>
        <w:t>141. The examination of data relating to the various segments that make up the fiction and non-fiction market reveals that the outcome described above is particularly attributable to the segments of fiction, both paperback and non-paperback, and to the segment of paperback non-fiction.</w:t>
        <w:br/>
        <w:t>Non-paperback fiction segment</w:t>
        <w:br/>
        <w:t>142. As illustrated in Tables 13 and 14, in 2014 Mondadori held a market share in the non-paperback fiction segment of [25-30%] in volume and [30-35%] in value; the corresponding shares of RCS Libri were [10-15%] and [10-15%]. Following the notified operation, Mondadori will hold a share of [40-45%] in volume and [40-45%] in value.</w:t>
        <w:br/>
        <w:t>143. Table 58 presents the HHI index values, both for volume shares and for value shares relative to 2014, in the current scenario and in the one following the realization of the concentration operation. Considering the volume shares, the index rises from 974 to 1,598 with an increase of 624. Using the value shares, the index rises from 1,241 to 2,020, showing an increase of 779.</w:t>
        <w:br/>
        <w:t>Table 58 - Values of the Herfindahl-Hirschman Index</w:t>
        <w:br/>
        <w:t>HHI pre-merger HHI post-merger Delta</w:t>
        <w:br/>
        <w:t>Volume 974 1,598 624</w:t>
        <w:br/>
        <w:t>Value 1,241 2,020 779</w:t>
        <w:br/>
        <w:t>Source: processing based on data provided by the Notifying Party</w:t>
        <w:br/>
        <w:t>Paperback fiction segment</w:t>
        <w:br/>
        <w:t>144. As represented in Tables 16 and 17, Mondadori holds, in the paperback fiction segment, a share of [45-50%] in volume and [50-55%] in value; RCS Libri holds a share of [10-15%] in volume and [10-15%] in value.</w:t>
      </w:r>
    </w:p>
    <w:p>
      <w:r>
        <w:rPr>
          <w:b/>
        </w:rPr>
        <w:t>[Pages 124–126]</w:t>
      </w:r>
    </w:p>
    <w:p>
      <w:r>
        <w:t>126 BULLETIN NO. 50 OF JANUARY 25, 2016</w:t>
        <w:br/>
        <w:t>shares equal to [10-15%] by volume and [10-15%] by value. Following the acquisition of RCS Libri, Mondadori will hold a share of [55-60%] by volume and [60-65%] by value.</w:t>
        <w:br/>
        <w:t>145. Table 59 shows the values of the HHI concentration index, corresponding to the market shares by volume and by value for 2014, in the current market context and in the one that will be realized following the completion of the notified operation31. The HHI index starts from values above 2,000 (2,181 by volume, 2,714 by value) and settles at levels above 3,000 (3,091 by volume and 3,853 by value), recording increases of 910 (by volume) and 1,140 (by value).</w:t>
        <w:br/>
        <w:t>Table 59 - Values of the Herfindahl-Hirschman index</w:t>
        <w:br/>
        <w:t>HHI pre-merger HHI post-merger Delta</w:t>
        <w:br/>
        <w:t>Volume 2,181 3,091 910</w:t>
        <w:br/>
        <w:t>Value 2,714 3,853 1,140</w:t>
        <w:br/>
        <w:t>Source: processing based on data provided by the Notifying Party</w:t>
        <w:br/>
        <w:t>Segment of pocket non-fiction</w:t>
        <w:br/>
        <w:t>146. As can be seen in Tables 22 and 23, in 2014 Mondadori held, in the pocket non-fiction segment, a market share of [30-35%] by volume and [35-40%] by value; RCS Libri held a market share of [15-20%] by volume and [15-20%] by value. Following the completion of the notified operation, Mondadori will hold a share of [50-55%] by volume and [55-60%] by value.</w:t>
        <w:br/>
        <w:t>147. Table 60 shows the values of the HHI index, calculated using the market shares by volume and by value for 2014, in the current market scenario and in the one that will result from the concentration. Considering the market shares by volume, the index starts from a value of 1,447, increases by 1,149, and settles at a value of 2,595. Using the market shares by value, the index is 1,879 in the pre-merger scenario and 3,387 in the post-merger scenario, recording an increase of 1,509.</w:t>
        <w:br/>
        <w:t>Table 60 - Values of the Herfindahl-Hirschman index</w:t>
        <w:br/>
        <w:t>HHI pre-merger HHI post-merger Delta</w:t>
        <w:br/>
        <w:t>Volume 1,447 2,596 1,149</w:t>
        <w:br/>
        <w:t>Value 1,879 3,387 1,509</w:t>
        <w:br/>
        <w:t>Source: processing based on data provided by the Notifying Party</w:t>
        <w:br/>
        <w:t>148. In conclusion, in the market for fiction and non-fiction publishing, the notified operation appears likely to create a dominant position for Mondadori capable of significantly hindering effective competition. This effect may be reinforced by the preeminence in which Mondadori will find itself in the upstream markets for acquiring copyright for Italian and foreign books, given that ownership of a broad and/or prestigious rights portfolio can contribute to increasing sales and thus market share.</w:t>
        <w:br/>
        <w:t>149. The market power that the operator resulting from the concentration will hold, amplified by the high number of bestsellers that are essential for any sales operator, could translate into the imposition of reduced margins for independent bookstores and for chain bookstores other than its own, and in general into a deterioration of the contractual and commercial conditions applied to various sales channels.</w:t>
        <w:br/>
        <w:t>150. Mondadori's dominant position in the examined market is also likely to produce effects in the vertically connected markets of selling "various" books in bookstores and online book sales.</w:t>
        <w:br/>
        <w:t>E-book publishing market</w:t>
        <w:br/>
        <w:t>151. As can be seen from the data contained in Table 45, in 2014 Mondadori held a share of [30-35%] in the e-book publishing market, while RCS Libri held a share of [10-15%]. Therefore, following the completion of the notified operation, Mondadori will hold a share of approximately [45-50%].</w:t>
        <w:br/>
        <w:t>152. Table 61 shows the values of the HHI index, calculated based on the market shares of the Parties in 2014, in the current market context and in the one that will result from the notified operation. The index will increase from 1,165 to 2,025, with an increase of 860.</w:t>
        <w:br/>
        <w:t>Table 61 - Values of the Herfindahl-Hirschman index</w:t>
        <w:br/>
        <w:t>HHI pre-merger HHI post-merger Delta</w:t>
        <w:br/>
        <w:t>Market shares</w:t>
        <w:br/>
        <w:t>1,165 2,025 860</w:t>
        <w:br/>
        <w:t>2014</w:t>
        <w:br/>
        <w:t>Source: processing based on data provided by the Parties and on AIE estimates</w:t>
        <w:br/>
        <w:t>153. In the e-book publishing market, the notified operation appears likely to create a dominant position as, following the acquisition of RCS Libri, Mondadori will increase its sales percentage by approximately [10-15%], reaching a share of approximately [45-50%]. The fact that Mondadori will hold significant market power is confirmed by the values of the HHI index, which will settle at a level above 2,000 (2,025) with an increase of 860.</w:t>
        <w:br/>
        <w:t>154. The market power that the operator resulting from the concentration will hold, even in this market amplified by the high number of bestsellers that are essential for any sales platform, could translate into a deterioration of the contractual and commercial conditions applied to platforms, if not even a refusal to contract with some of them. The likelihood of such an effect is supported by the fact, noted by public sources, that Mondadori has previously terminated commercial relationships with the Simplicissimus Book Farm platform, refusing to allow the sale of its e-books.</w:t>
        <w:br/>
        <w:t>155. Mondadori's dominant position in the examined market is also likely to produce effects in the vertically connected market of e-book sales.</w:t>
      </w:r>
    </w:p>
    <w:p>
      <w:r>
        <w:t>128 BULLETIN NO. 50 OF JANUARY 25, 2016</w:t>
        <w:br/>
        <w:t>Children's book publishing market</w:t>
        <w:br/>
        <w:t>156. Regarding the children's book publishing market, the data contained in Table 26 highlight that in 2014 Mondadori was the market leader in terms of sales value with a share of [25-30%]; the second operator was Giunti with [25-30%] of sales, followed by GEMS with a share of [5-10%]; RCS Libri ranked fourth with a share of [5-10%]. Looking at sales volumes (Table 25), in 2014 the leading market operator was Giunti with a share of [30-35%], followed by Mondadori with [20-25%], then GEMS with [5-10%] and RCS Libri with [5-10%].</w:t>
        <w:br/>
        <w:t>157. Following the completion of the notified operation, Mondadori's market share will rise to [35-40%] by value and [30-35%]. Mondadori will therefore strengthen its leadership in terms of sales value.</w:t>
        <w:br/>
        <w:t>158. The level of market share that Mondadori will hold appears significant, so it is deemed appropriate to further investigate the effects of the operation in the children's book publishing market. This assessment is also prompted by the analysis of the values of the HHI concentration index, calculated with regard to the market shares by volume and by value for 2014 and reported in Table 6232. In fact, the operation will result in an increase in the index value of over 250 (309 considering the volume shares, 460 considering the value shares), bringing it to levels above 2,000 (2,046 by volume, 2,176 by value).</w:t>
        <w:br/>
        <w:t>Table 62 - Values of the Herfindahl-Hirschman index</w:t>
        <w:br/>
        <w:t>HHI pre-merger HHI post-merger Delta</w:t>
        <w:br/>
        <w:t>Volume 1,737 2,046 309</w:t>
        <w:br/>
        <w:t>Value 1,716 2,176 460</w:t>
        <w:br/>
        <w:t>Source: processing based on data provided by the Notifying Party</w:t>
        <w:br/>
        <w:t>Comic book publishing market</w:t>
        <w:br/>
        <w:t>159. As shown in Table 37, in the comic book publishing market in 2014, Mondadori was the leading market operator with a share of approximately [20-25%] ([15-20%] by volume and [20-25%] by value), followed by GEMS ([10-15%] by volume, [10-15%] by value), Panini ([10-15%] by volume, [5-10%] by value), and RCS Libri ([5-10%] by volume, [10-15%] by value).</w:t>
        <w:br/>
        <w:t>160. Following the notified operation, Mondadori will hold a market share of approximately [30-35%] ([25-30%] by volume and [30-35%] by value). The level of this share makes it necessary to conduct further investigations into the effects of the notified operation in the examined market.</w:t>
        <w:br/>
        <w:t>161. This assessment is supported by the analysis of the trend of the HHI concentration index, the values of which, calculated using the market shares by volume and by value for 2014, are reported in Table 6333. Following the completion of the operation, the HHI index will increase.</w:t>
      </w:r>
    </w:p>
    <w:p>
      <w:r>
        <w:rPr>
          <w:b/>
        </w:rPr>
        <w:t>[Pages 127–129]</w:t>
      </w:r>
    </w:p>
    <w:p>
      <w:r>
        <w:t>BULLETIN NO. 50 OF JANUARY 25, 2016 129</w:t>
        <w:br/>
        <w:t>concentration will be positioned at values above 1,000 (1,070 in volume, 1,288 in value) registering increases exceeding 250 (347 in volume, 433 in value).</w:t>
        <w:br/>
        <w:t>Table 63 - Values of the Herfindahl-Hirschman Index</w:t>
        <w:br/>
        <w:t>HHI pre-merger HHI post-merger Delta</w:t>
        <w:br/>
        <w:t>Volume 723 1,070 347</w:t>
        <w:br/>
        <w:t>Value 852 1,286 433</w:t>
        <w:br/>
        <w:t>Source: processing based on data provided by the Notifying Party</w:t>
        <w:br/>
        <w:t>E-book distribution market</w:t>
        <w:br/>
        <w:t>162. Following the realization of the notified operation, Mondadori will acquire joint control of Edigita (together with Messaggerie and Feltrinelli), thus finding itself in a position to direct the entire activity of said company. As shown in Table 50, in the e-book distribution market to sales platforms, Edigita held a share of [45-50%].</w:t>
        <w:br/>
        <w:t>163. The level of this market share is indicative of significant market power, being close to [45-50%]. Additionally, Mondadori alone already distributes approximately [30-35%] of e-books, being, as noted above, the only publisher in the Italian landscape capable of managing the distribution phase of its digital books within its own structure (corresponding to the aforementioned percentage of total sales). Therefore, by acquiring control of Edigita, Mondadori will manage approximately [80-85%] of e-book distribution, becoming a practically indispensable counterpart for all sales platforms.</w:t>
        <w:br/>
        <w:t>164. From the above observations, it must be concluded that as a result of the notified operation, the establishment or strengthening of a dominant position in the e-book distribution market to sales platforms will occur. The effects of this outcome appear worthy of further investigation both in relation to the aforementioned market and with regard to the upstream market of e-book publishing and the downstream market of e-book sales. By acquiring control of Edigita, in fact, Mondadori will be in a position to influence the activities of competing publishers, of which it may condition access to distribution and the conditions applied; Mondadori may also influence the activities of sales platforms, at least those of smaller size, potentially worsening the negotiated conditions applied as well as limiting e-retailers' access to a wide catalog of e-books.</w:t>
        <w:br/>
        <w:t>VI.2 Vertical effects</w:t>
        <w:br/>
        <w:t>Market for the sale of "general" books to end customers</w:t>
        <w:br/>
        <w:t>165. In the retail market for the sale of "general" books (in bookstores and stationery stores), the notified operation does not appear capable of substantially altering competitive dynamics: RCS Libri owns a single bookstore in Milan and Mondadori's market share will be at non-relevant levels ([15-20%] approximately with reference to the entire national territory, 11.2% within the territorial area of the province of Milan).</w:t>
      </w:r>
    </w:p>
    <w:p>
      <w:r>
        <w:t>130 BULLETIN NO. 50 OF JANUARY 25, 2016</w:t>
        <w:br/>
        <w:t>166. As noted above, the market in question may, however, be affected by vertical effects arising from Mondadori's dominant position in the markets for the publishing of fiction and non-fiction books, children's books, and comics, since the market power held there may constitute a competitive advantage in sales activities as it ensures Mondadori access to a catalog, its own, which represents a significant part of readers' purchases.</w:t>
        <w:br/>
        <w:t>167. Furthermore, as mentioned in the introduction, Mondadori's integration into sales is likely to produce effects on the upstream markets of publishing. In fact, the availability of an extensive chain of bookstores is likely to limit the visibility of third-party publishers in the aforementioned points of sale due to the fact that Mondadori would be able to occupy almost all display spaces with its own editorial products, relegating competitors' books to reduced spaces (or increasing the potential costs of such spaces) with evident repercussions also on the plurality of the editorial offer proposed to the final consumer.</w:t>
        <w:br/>
        <w:t>Online retail market for editorial products</w:t>
        <w:br/>
        <w:t>168. Remembering that the market in question is relevant for the operation under consideration solely for the sale of books, both printed and e-books, it is noted that the level of the market share that will be held by Mondadori following the operation ([15-20%] in value) allows us to exclude that the notified operation will lead to the establishment of a dominant position also considering the presence of significant competitors such as Amazon. For these reasons, it is also deemed unnecessary to proceed with an assessment for the two segments of the market, relating to the online sale of printed books and the sale of e-books.</w:t>
        <w:br/>
        <w:t>169. Like the previous market, also in relation to the online retail sale of "general" books, it will be necessary to evaluate the effects of the market power of the dominant operator in the upstream markets of publishing fiction and non-fiction books, children's books, comics, and e-books and the distribution of e-books to sales platforms. In fact, Mondadori may benefit from the market position it will hold in these markets as it will have secure access to its own catalog which, as seen, represents a significant share of the aforementioned publishing markets and, in addition, will be in a position to influence the distribution of e-books from a significant portion of other publishers.</w:t>
        <w:br/>
        <w:t>Market for the distribution of "general" books to large-scale distribution</w:t>
        <w:br/>
        <w:t>170. In the market for the distribution of "general" books to large-scale distribution, following the realization of the notified operation, Mondadori will become the relative majority shareholder of Mach2 Libri (increasing its stake from 34.9% to 44.9%); the second shareholder in terms of stakes will be De Agostini with 36%; the remaining 19.1% of the share capital will be held by RCS Mediagroup which, after the sale of RCS Libri, will no longer be active in the book publishing sector.</w:t>
        <w:br/>
        <w:t>171. The high concentration of this market, characterized essentially by a duopoly between Opportunity and Mach2 Libri, along with the peculiarities of the services required and the demand expressed in the large-scale distribution channel and the fact that in this channel mainly bestsellers and paperbacks are sold, in relation to which Mondadori would hold, as noted above, a dominant position, makes it necessary to further investigate the potential anti-competitive effects that the creation of a dominant position of Mondadori in the market for fiction and non-fiction publishing and the strengthening of Mondadori's stake in Mach2 Libri may determine.</w:t>
        <w:br/>
        <w:t>The effects of the operation in other relevant markets</w:t>
        <w:br/>
        <w:t>Market for school publishing</w:t>
        <w:br/>
        <w:t>172. In the market for school publishing, the notified operation will involve the integration between the third and fourth operator. Mondadori will become the first market operator with a share (sales value) slightly above [25-30%].</w:t>
        <w:br/>
        <w:t>173. The level of this market share and the presence of important operators such as Zanichelli, Pearson, and De Agostini allow us to exclude that the operation will lead to the establishment of a dominant position.</w:t>
        <w:br/>
        <w:t>Market for art book publishing</w:t>
        <w:br/>
        <w:t>174. In the market for art publishing, the size of the share that Mondadori will hold ([20-25%] in volume, [25-30%] in value), combined with the presence of established operators (Taschen and Giunti), leads to the belief that the notified operation is not capable of prejudicing the competitive dynamics of the market.</w:t>
        <w:br/>
        <w:t>Market for guide and manual publishing</w:t>
        <w:br/>
        <w:t>175. The level of market shares that Mondadori will hold ([20-25%] in value and [20-25%] in volume) and the fact that it will compete with established operators such as Giunti and EDT, which also hold significant market shares ([10-15%] in volume and [10-15%] in value for the first, [5-10%] in volume and [10-15%] in value for the second) leads to the conclusion that in the market for guide and manual publishing, the communicated operation will not result in the establishment or strengthening of a dominant position.</w:t>
        <w:br/>
        <w:t>Market for academic and professional book publishing</w:t>
        <w:br/>
        <w:t>176. Regarding the market for academic and professional book publishing, the level of the joint market share of Mondadori and RCS Libri ([15-20%] in volume and [10-15%] in value) leads to the belief that the communicated operation is not capable of prejudicing competitive dynamics.</w:t>
        <w:br/>
        <w:t>Market for para-school publishing</w:t>
        <w:br/>
        <w:t>177. As for the market for para-school publishing, although Mondadori will become the market leader (with a share of [25-30%]), it will be subject to competition from important operators, particularly De Agostini and Zanichelli, who hold comparable market shares (respectively, [25-30%] and [20-25%]).</w:t>
        <w:br/>
        <w:t>The management of the book department is entrusted to third-party operators. Therefore, the management of the book department is delegated to wholesale distribution companies, which, using a network of merchandisers or rack jobbers, perform various functions ranging from selecting the most suitable titles to be introduced into this distribution channel, to defining the composition of titles to be put on sale given the characteristics of the individual point of sale, to packaging and labeling the books, to the physical arrangement of the product on the counter, to deciding which products to return. In practice, the book department is managed by the supplier, while the point of sale is limited to determining the space to be allocated for the sale of books and indicating to the supplier the profitability objectives of the department.</w:t>
      </w:r>
    </w:p>
    <w:p>
      <w:r>
        <w:rPr>
          <w:b/>
        </w:rPr>
        <w:t>[Pages 130–132]</w:t>
      </w:r>
    </w:p>
    <w:p>
      <w:r>
        <w:t>132 BULLETIN NO. 50 OF JANUARY 25, 2016</w:t>
        <w:br/>
        <w:t>Market of dictionary and encyclopedia publishing</w:t>
        <w:br/>
        <w:t>178. In the market of dictionary and encyclopedia publishing, as a result of the notified operation, Mondadori will marginally increase its market share ([less than 1%] in volume and [less than 1%] in value), remaining below 15% ([10-15%] in volume and [10-15%] in value) and not changing its position in the market, behind Zanichelli and De Agostini (with value shares of [35-40%] and [20-25%], respectively).</w:t>
        <w:br/>
        <w:t>Market of promotion services</w:t>
        <w:br/>
        <w:t>179. The notified operation is not likely to raise competitive concerns in the promotion services markets as both Mondadori and RCS Libri's activities are substantially dedicated to meeting internal needs, as well as considering the presence of qualified operators in the market such as PDE Promozione. However, the overall size of the activities carried out by the Parties, including self-production, may contribute to providing indications on the market power that Mondadori will have.</w:t>
        <w:br/>
        <w:t>Markets for the distribution of "general" books to bookstores</w:t>
        <w:br/>
        <w:t>180. Similarly to what was observed for the previous market, in the market for the distribution of "general" books to bookstores, the notified operation is not likely to raise competitive concerns as the activities carried out by the Parties on behalf of third-party publishers are limited and important operators such as EmmeEffe Libri are present in the market. However, the overall level of activity carried out, as mentioned, primarily aimed at domestic demand, may provide useful elements to qualify the market power of the operator resulting from the concentration.</w:t>
        <w:br/>
        <w:t>Market for the management of bookshops at museum and archaeological sites</w:t>
        <w:br/>
        <w:t>181. In the market for the management of bookshops at museum and archaeological sites, the implementation of the notified operation will not lead to an increase in Mondadori's activity as Marsilio [omitted] and in [omitted] the concession held by Venezia Accademia Mondadori is already present (in ATI) as the manager of museum bookstores. The fact that Mondadori and Venezia Accademia are already collaborating also leads to the belief that their integration will not eliminate a potential competitor for participation in tenders for the awarding of concessions for museum services.</w:t>
        <w:br/>
        <w:t>CONSIDERING, therefore, that the operation in question is likely to create or strengthen a dominant position in the markets (i) for the acquisition of copyright for Italian narrative and non-fiction books, (ii) for the acquisition of copyright for foreign narrative and non-fiction books, (iii) for the publishing of narrative and non-fiction books, (iv) for the publishing of children's books, (v) for the publishing of comics, (vi) for the publishing of e-books, and (vii) for the e-book distribution market, such as to eliminate or substantially and durably reduce competition in the same markets as well as in downstream markets (a) for the distribution of "general" books to large-scale distribution, (b) for the retail sale of "general" books, (c) for the online retail sale of publishing products;</w:t>
      </w:r>
    </w:p>
    <w:p>
      <w:r>
        <w:t>BULLETIN NO. 50 OF JANUARY 25, 2016 133</w:t>
        <w:br/>
        <w:t>RESOLUTION</w:t>
        <w:br/>
        <w:t>a) the initiation of the investigation, pursuant to Article 16, paragraph 4, of Law No. 287/90, against the companies Arnoldo Mondadori Editore S.p.A., RCS Libri S.p.A., Consorzio Scuola Digitale, Venezia Accademia Soc. for museum services S.c. a r.l. and Edigita S.r.l.;</w:t>
        <w:br/>
        <w:t>b) the setting of a ten-day deadline, starting from the date of notification of this provision, for the exercise by the legal representatives of the Parties, or by persons delegated by them, of the right to be heard, pursuant to Article 14, paragraph 1, of Law No. 287/90, specifying that the request for a hearing must be received by the Communications Directorate of the Directorate General for Competition of this Authority at least three days before the expiration of the above-mentioned deadline;</w:t>
        <w:br/>
        <w:t>c) that the person responsible for the procedure is Dr. Livia Calabrese;</w:t>
        <w:br/>
        <w:t>d) that the documents of the procedure can be viewed at the Communications Directorate of the Directorate General for Competition of this Authority by the legal representatives of the Parties, as well as by persons with a legally relevant interest or by persons delegated by them;</w:t>
        <w:br/>
        <w:t>e) that the procedure must be concluded within forty-five days from the date of the resolution of this provision.</w:t>
        <w:br/>
        <w:t>This provision will be notified to the interested parties and published in the Bulletin of the Antitrust Authority.</w:t>
      </w:r>
    </w:p>
    <w:p>
      <w:r>
        <w:t>THE SECRETARY GENERAL THE PRESIDENT</w:t>
        <w:br/>
        <w:t>Roberto Chieppa Giovanni Pitruzzella</w:t>
      </w:r>
    </w:p>
    <w:p>
      <w:r>
        <w:t>134 BULLETIN NO. 50 OF JANUARY 25, 2016</w:t>
        <w:br/>
        <w:t>UNFAIR COMMERCIAL PRACTICES</w:t>
        <w:br/>
        <w:t>PS9916 - ACEA ATO 2-BILLING AND COLLECTION PROBLEMS</w:t>
        <w:br/>
        <w:t>Provision No. 25789</w:t>
        <w:br/>
        <w:t>THE ANTITRUST AUTHORITY</w:t>
        <w:br/>
        <w:t>IN ITS MEETING of December 16, 2015;</w:t>
        <w:br/>
        <w:t>HEARD the Rapporteur Dr. Gabriella Muscolo;</w:t>
        <w:br/>
        <w:t>VIEWED Part II, Title III, of Legislative Decree No. 206 of September 6, 2005, containing the "Consumer Code" and subsequent amendments (hereinafter, Consumer Code);</w:t>
        <w:br/>
        <w:t>VIEWED the "Regulation on investigative procedures regarding misleading and comparative advertising, unfair commercial practices, violation of consumer rights in contracts, unfair clauses" (hereinafter, Regulation), adopted by the Authority with resolution of June 5, 2014, subsequently replaced by the "Regulation on investigative procedures regarding misleading and comparative advertising, unfair commercial practices, violation of consumer rights in contracts, violation of the prohibition of discrimination and unfair clauses" (hereinafter, New Regulation), adopted by the Authority with resolution of April 1, 2015;</w:t>
        <w:br/>
        <w:t>VIEWED the memorandum of understanding on consumer protection between the Antitrust Authority and the Authority for Electricity, Gas and Water Services, signed on October 29, 2014;</w:t>
        <w:br/>
        <w:t>VIEWED its provision of April 22, 2015, which ordered the inspection, pursuant to Article 27, paragraphs 2 and 3, of the Consumer Code, at the offices of Acea Ato 2 S.p.A. and Acea8Cento S.r.l.;</w:t>
        <w:br/>
        <w:t>VIEWED its provisions of July 22, 2015 and September 3, 2015, which, pursuant to Article 7, paragraph 3, of the Regulation, ordered the extension of the deadline for concluding the procedure, for specific investigative needs;</w:t>
        <w:br/>
        <w:t>VIEWED the documents of the procedure;</w:t>
        <w:br/>
        <w:t>I. THE PARTIES</w:t>
        <w:br/>
        <w:t>1. Acea Ato 2 S.p.A. (hereinafter, also Acea), as a professional pursuant to Article 18, letter b), of the Consumer Code. The company, belonging to the Acea Group, has been managing the integrated water service in the Optimal Territorial Area 2 Central Lazio - Rome since 1999. From the last filed financial statement, it appears that the professional, as of December 31, 2014, achieved revenues from sales and services amounting to [400,000,000 – 600,000,000] €1*, with a profit for the year of [60,000,000 – 80,000,000] €.</w:t>
        <w:br/>
        <w:t>1 Source: Business Register, Official Archive of the Chamber of Commerce Industry Handicrafts and Agriculture of Rome.</w:t>
        <w:br/>
        <w:t>* In this version, some data are omitted, as elements of confidentiality or secrecy of the information were deemed to exist.</w:t>
      </w:r>
    </w:p>
    <w:p>
      <w:r>
        <w:rPr>
          <w:b/>
        </w:rPr>
        <w:t>[Pages 133–135]</w:t>
      </w:r>
    </w:p>
    <w:p>
      <w:r>
        <w:t>BULLETIN NO. 50 OF JANUARY 25, 2016 135</w:t>
        <w:br/>
        <w:t>2. The Consumer Associations Federconsumatori - Rome and Cittadinanzattiva Onlus - National Headquarters, CODICI Onlus as reporters; the Municipality of Fara in Sabina (RI), CODICI Onlus and Ms. [omitted] as interveners.</w:t>
        <w:br/>
        <w:t>II. COMMERCIAL PRACTICES</w:t>
        <w:br/>
        <w:t>3. The procedure concerns the behaviors carried out by the professional towards consumers and small businesses in the context of the management and provision of the integrated water service (SII) 2.</w:t>
        <w:br/>
        <w:t>4. In particular, according to numerous reports in the records transmitted by the Authority for Electricity, Gas and Water System (hereinafter, AEEGSI)3, from consumer associations, condominium administrators, and individual consumers, during the period from November 2012 to December 20154, Acea has engaged in the following material conduct:</w:t>
        <w:br/>
        <w:t>1) Billing of amounts differing from those actually and intentionally consumed, with methods and timing detrimental to the user, with threats of suspension of the SII supply without adequate notice.</w:t>
        <w:br/>
        <w:t>5. Acea has issued numerous invoices based on estimated consumption that have sometimes proven to be incorrect or significantly different, in excess, from the actual amounts and in any case not consistent with the historical data of the user due to the failure or delay in reading the meters and the failure to update the estimates, without ensuring clear, precise, and timely information to users: (i) on the discrepancies of self-readings regularly communicated; (ii) on the methods of refunding credit amounts, in case of advance billing and subsequent adjustments/corrections of billing as well as (iii) on the criteria and methods of installment payments for high amounts; (iv) on the necessity to replace the meters, an operation carried out without guarantees for the user. Once the invoices were issued, Acea did not deliver them in a timely manner concerning the payment deadline for different billing cycles; in many cases, delivery did not occur, resulting in the user's material impossibility to proceed with payment, thus exposing them to the risk of disconnection of the supply.</w:t>
        <w:br/>
        <w:t>6. The professional has issued invoices even after the request for cancellation of the user as well as after the communication of "completion of work" for "construction site" users, continuing to bill as if the users were still active and without issuing the final bill.</w:t>
        <w:br/>
        <w:t>7. In the presence of hidden leaks, Acea has billed for anomalous consumption not intentionally used by users, without alerting them in time about the presence of such issues and without taking timely action in case of user complaints.</w:t>
        <w:br/>
        <w:t>8. In order to recover the amounts thus billed, Acea has relied on the threat of disconnection of the SII supply, sending the related letter/registered mail of reminder and formal notice immediately after the payment deadline, without adopting measures suitable to exclude and/or interrupt the initiation of said procedure in case of: (i) delays or failure to deliver the bills; (ii) payment of the bill by the user; (iii) sending of the payment receipt by the user; (iv) existence of any errors by Acea in the accounting of amounts regularly paid by the user, including through credit institutions, in cases of direct debit of the bills.</w:t>
        <w:br/>
        <w:t>9. In the disconnection notices delivered to the mailboxes of the condominiums, or by posting in the condominium hall, Acea often considered the delivery to the administrator of the registered letter – indicating the arrears – as having occurred, relying on the data, resulting in its database, of the mere sending of the communication; it also provided generic information on the alleged arrears of the condominium, without specifying which invoices were outstanding and suggesting the existence of other arrears through phrases such as "subject to any supply suspension actions already taken for previous arrears."</w:t>
        <w:br/>
        <w:t>2) Failure, late, or non-definitive response to user requests and complaints, obstacles to the exercise of contractual rights, initiation or failure to suspend the credit recovery procedure and disconnection of the supply pending a complaint.</w:t>
        <w:br/>
        <w:t>10. Acea has not ensured a correct and timely management of user requests and complaints, in disregard of the quality standards imposed by the Supply Conditions, the Service Charter, and the User Regulation. In some cases, Acea did not respond to user requests (requests for performance or information, complaints, etc.) or responded by sending interim communications even in the presence of straightforward requests and – only much later – sent a response prejudicing the rights of the user, including the right to receive a refund for delays in processing. Sometimes, the contents of the responses to complaints are non-definitive or exhaustive, often ambiguous or contradictory, especially when the user contacts different channels (call center, physical counter, written request).</w:t>
        <w:br/>
        <w:t>11. In many cases, during the processing of user requests and complaints or the resolution of the issues they reported, Acea has initiated or otherwise not halted the billing and credit recovery procedures, insisting on sending payment reminders/disconnection notices to the affected users. Sometimes the professional has executed disconnections in the presence of complaints accompanied by the relevant proof of payment as well as pending civil proceedings, which concluded with the recognition of the validity of the right claimed by the user.</w:t>
        <w:br/>
        <w:t>3) Charging of previous arrears upon activation of a new user or transfer of an active user, delays in user activation.</w:t>
        <w:br/>
        <w:t>12. Some users have complained that Acea has conditioned the activation of a new user or the requests for transfer of active users – coming from third parties compared to the previous account holder – on the prior payment of previous arrears accrued by the terminated user5.</w:t>
        <w:br/>
        <w:t>5 For example, reports transmitted by AEEGSI prot. no. 015891 of June 6, 2014 and prot. no. 025931 of September 23, 2014, as well as doc.30.</w:t>
      </w:r>
    </w:p>
    <w:p>
      <w:r>
        <w:t>BULLETIN NO. 50 OF JANUARY 25, 2016 137</w:t>
        <w:br/>
        <w:t>III. THE OUTCOMES OF THE PROCEDURE</w:t>
        <w:br/>
        <w:t>1) The procedure process.</w:t>
        <w:br/>
        <w:t>13. Considering the numerous reports transmitted by AEEGSI and the many other reports in the records, regarding the aforementioned conduct, with act of April 22, 2015, prot. 0030334, Acea was notified of the initiation of the PS9916 investigative procedure for possible violation of Articles 20, paragraphs 2 and 3, 21, paragraph 1, letters b), c), d), e) and g), 22 paragraphs 1 and 2, 24 and 25, of the Consumer Code6.</w:t>
        <w:br/>
        <w:t>14. On February 25, 2015, in order to acquire useful elements for the assessment of the contested conduct, the Authority decided to authorize the conduct of inspection checks, pursuant to Article 27, paragraphs 2 and 3, of the Consumer Code, at the offices of the professional Acea Ato 2 S.p.A. and Acea8Cento S.r.l. These checks were carried out on April 27, 2015, at the offices of the professional located in Rome7.</w:t>
        <w:br/>
        <w:t>15. With the initiation communication, the professional was requested to provide some information useful for the assessment of the commercial practices subject to contestation, to which the professional provided an initial response on June 8, 20158.</w:t>
        <w:br/>
        <w:t>16. On June 5, 2015, Acea submitted a proposal for commitments, rejected by the Authority in its meeting of July 9, 2015, on the grounds of the interest in ascertaining any infringement as well as due to their partiality, as they referred only to some of the commercial practices subject to the initiation communication, which pertained to conduct that, if ascertained, could constitute cases of "manifestly unfair and serious commercial practices," for which Article 27, paragraph 7, of the Consumer Code cannot be applied. On September 25, 2015, the professional requested a review of the commitments in question. This request was rejected by the Authority in its meeting of October 7, 2015, confirming the previously made decision9.</w:t>
        <w:br/>
        <w:t>17. On July 22, 2015, the Authority decided to extend the deadline for concluding the procedure due to specific investigative needs, with related communication to the Parties10. Further extension of the deadline for concluding the procedure was decided by the Authority on September 3, 2015, in acceptance of the professional's request made on August 6, 2015, notifying the Parties11.</w:t>
        <w:br/>
        <w:t>18. On July 29, 2015, in acceptance of the professional's request, Acea was heard in a hearing. On this occasion, certain informative elements were requested from the professional, better specified in the request for information attached to the hearing minutes, to which a response was provided in the defensive memorandum of September 24, 201512.</w:t>
        <w:br/>
        <w:t>6 Doc.103.</w:t>
        <w:br/>
        <w:t>7 Docc. 110 and 111.</w:t>
        <w:br/>
        <w:t>8 Doc. 137.</w:t>
        <w:br/>
        <w:t>9 Doc.192.</w:t>
        <w:br/>
        <w:t>10 Doc. 162.</w:t>
        <w:br/>
        <w:t>11 Doc. 93.</w:t>
        <w:br/>
        <w:t>12 Doc. 187.</w:t>
      </w:r>
    </w:p>
    <w:p>
      <w:r>
        <w:rPr>
          <w:b/>
        </w:rPr>
        <w:t>[Pages 136–138]</w:t>
      </w:r>
    </w:p>
    <w:p>
      <w:r>
        <w:t>138 BULLETIN NO. 50 OF JANUARY 25, 2016</w:t>
        <w:br/>
        <w:t>19. Throughout the course of the proceedings, Acea had access to all documentation acquired in the investigative file as well as copies of the reports and related attachments received up to the date of the last consultation of the documents carried out by it13.</w:t>
        <w:br/>
        <w:t>20. On October 9, 2015, the date of conclusion of the investigative phase was communicated to the Parties pursuant to Article 16, paragraph 1, of the Regulation, setting the related deadline for the following October 29, 201514, and at the same time, the aspects subject to dispute were specified15. The deadline for closing the investigation, having heard the Authority, was subsequently extended to November 9, 201516, in acceptance of the extension request submitted by Acea on October 14, 201517.</w:t>
        <w:br/>
        <w:t>21. On November 10, 2015, the opinion was requested from the Authority for Electricity, Gas and Water System (hereinafter AEEGSI) pursuant to Article 27, paragraph 1 bis of the Consumer Code, opinion18 received on December 11, 2015.</w:t>
        <w:br/>
        <w:t>2) The evidence acquired</w:t>
        <w:br/>
        <w:t>i) Detection, acquisition, and billing of consumption in prejudicial ways for users</w:t>
        <w:br/>
        <w:t>22. From the documentation acquired during the proceedings, it emerges that the billing of consumption occurs downstream of the phases provided in the underlying scheme19.</w:t>
        <w:br/>
        <w:t>13 See docs. 121, 152, 183, 201, 211, and 216 containing access reports to the documents and copies of the documents made by Acea.</w:t>
        <w:br/>
        <w:t>14 Doc. 193.</w:t>
        <w:br/>
        <w:t>15 In particular, in the communication of the deadline for closing the investigation, the behaviors subject to dispute were specified, hypothesizing the related profiles of unfairness, as briefly indicated below: A) making the activation of a user, or the transfer/change of active users, conditional on the payment of past due amounts accrued by the previous account holder, could constitute an unfair commercial practice in violation of Articles 20, paragraph 2, 24, and 25 of the Consumer Code; B) detecting actual consumption late compared to the time frame provided by the supply contract or failing to detect them for long periods along with not considering the self-readings communicated by the user – without clearly indicating and adequately highlighting in the billing documents the methods by which self-readings can be communicated – could constitute an unfair commercial practice in violation of Articles 20, paragraph 2, and 21, paragraph 1, letters d) and g) of the Consumer Code; furthermore, the repeated billing of amounts for estimated consumption in excess without accounting for the self-readings communicated by the user according to the channels provided by the operator could violate Articles 24 and 25 of the Consumer Code; C) the failure to comply with the procedures, times, and billing criteria as governed by the Supply Conditions, the Integrated Water Service Charter, and the User Regulation, the failure or late deactivation of the user requested by the customer with the charge of consumption no longer legitimately attributable to them, along with aggressive behaviors in the collection phase could constitute an unfair commercial practice in violation of Articles 20, paragraph 2, 21, paragraph 1 letters c), d), and g), 22 paragraphs 1 and 2, 24 and 25, of the Consumer Code; D) the lack of diligence of the operator in the presence of abnormally high consumption due to hidden leaks, regularly reported, of which the operator could become aware if it detected consumption regularly, along with charging consumers for such consumption without respecting the criteria and procedures of so-called tariff decriminalization could constitute an unfair commercial practice in violation of Articles 20, paragraph 2, 21, paragraph 1 letters c), d), and g), 22 paragraphs 1 and 2, 24 and 25, of the Consumer Code; E) informational omissions, obstacles to access to complaint and conciliation procedures, lack of resolution of the same, disconnection of the supply pending a complaint, due to their articulation, could constitute an unfair commercial practice in violation of Article 20, paragraph 2, 24, and 25 of the Consumer Code.</w:t>
        <w:br/>
        <w:t>16 Doc. 204.</w:t>
        <w:br/>
        <w:t>17 Doc. 196.</w:t>
        <w:br/>
        <w:t>18 Doc. 230</w:t>
        <w:br/>
        <w:t>19 See “Get media procedure readings and billing 2014”, November 2014, doc. isp., folder [omitted].</w:t>
      </w:r>
    </w:p>
    <w:p>
      <w:r>
        <w:t>BULLETIN NO. 50 OF JANUARY 25, 2016 139</w:t>
        <w:br/>
        <w:t>Phase 1 - detection and acquisition of consumption</w:t>
        <w:br/>
        <w:t>23. The methods and frequency of consumption detection as well as the consequent billing are governed by the Supply Conditions of the Integrated Water Service prepared by Acea, where it is stated that “invoices are issued quarterly based on consumption detected directly by Acea Ato 2 or communicated by the customer in the methods provided in the invoice. In the absence of direct detection or communication of actual consumption, Acea ATO 2 is authorized to issue advance invoices whose amount will be determined based on the historical consumption of the user.” (art. 15); the adjustment invoices “will normally be issued with the billing of the period immediately following the one in which the detection was made or the self-reading was communicated. (…)”. Similarly, the User Regulation of Acea states that measuring devices are “read and verified (…) normally at least once every quarter”20. The contractual provisions therefore place the detection of consumption carried out by the operator and that communicated by the user on the same level.</w:t>
        <w:br/>
        <w:t>24. In this regard, the evidence in the documents shows, first of all, that the scheduling21 of readings established by Acea is quarterly only for the municipalities of Rome, Guidonia, and Monterotondo – where it follows “a general calendar relating to the commitments of the following quarter with an approximate indication of the number of readings to be carried out” – while in other municipalities, it is semi-annual – whereas the “assignments” of readings that the external readers22, appointed by Acea, must carry out are “of variable consistency and assigned in a scattered and non-consecutive manner”23.</w:t>
        <w:br/>
        <w:t>25. Secondly, from the information provided by Acea during the proceedings, the following percentage values of readings of consumption carried out by the readers are evident:</w:t>
        <w:br/>
        <w:t>20 See art. 27 of the User Regulation Acea Ato 2 S.p.A. Similarly, the DPCM of March 4, 1996, containing “Provisions regarding water resources” establishes “the minimum levels of services that must be guaranteed in each optimal area”, at point “8.4.9. Reading and billing” it provides that “the reading of meters is carried out at least twice a year, before and after the summer period or maximum consumption. The billing deadline cannot exceed six months. The user is ensured the possibility of self-reading.”; in the same sense, the subsequent DPCM of April 29, 1999, regarding the management of the contractual relationship of the Integrated Water Service, provides (Sheet no. 3) that “The reading of meters must be carried out at least twice a year. The user is ensured at least in cases of placement of the meter in private property, the possibility of self-reading.”</w:t>
        <w:br/>
        <w:t>21 See “Get media procedure readings and billing 2014”, cited isp. doc.</w:t>
        <w:br/>
        <w:t>22 These are companies that carry out the service of detection and acquisition of consumption data resulting from the meters following the assignment of the service through a public tender issued by Acea. The relationship with the readers is governed by the contract of assignment which has a duration of two years.</w:t>
        <w:br/>
        <w:t>23 See the specifications of the “Contract for periodic readings of water consumption, for repeated readings and for the census of water users managed by Acea Ato2 S.p.A.”, January 8, 2013, isp. doc., folder [omitted].</w:t>
      </w:r>
    </w:p>
    <w:p>
      <w:r>
        <w:t>140 BULLETIN NO. 50 OF JANUARY 25, 2016</w:t>
        <w:br/>
        <w:t>Year ROMA Other Municipalities</w:t>
        <w:br/>
        <w:t>2012 [80-90]% [60-70] %</w:t>
        <w:br/>
        <w:t>2013 [80-90]% [60-70] %</w:t>
        <w:br/>
        <w:t>2014 [90-100] % [70-80] %</w:t>
        <w:br/>
        <w:t>2015 [90-100] % [70-80] %</w:t>
        <w:br/>
        <w:t>26. Based on what was stated by the professional, the missing readings would be attributable to the placement of the meters in private areas, otherwise inaccessible in the absence of the user and, in any case, concerning users located in municipalities other than Rome.</w:t>
        <w:br/>
        <w:t>27. These data must be compared with the provisions of the service reading contract where, first of all, it is indicated that the attempt to read must be carried out on the day established by Acea24, while the repetitions of the readings are subject to an express and separate request by the professional. The reader fulfills the obligation also by indicating the reason for the missed reading25. In the case of an inaccessible meter, in addition to taking a photographic record (e.g. meter located in inaccessible private property), the reader is required to leave a “postcard” that allows the user to contact for a subsequent appointment for the reading; in this regard, the contract of assignment provides that for “each user of each single reading group only the first appointment will be compensated26. Acea reserves the “right to carry out, at any time and without obligation of prior notice, official checks, on a sample basis, on the appointments transmitted by the Company. (…)”. The violation of the provisions contained in the contract specifications (in terms of “non-truthfulness of the activity carried out”, “errors and/or non-compliance”) entails the application of penalties, with a predefined tolerance threshold equal to “[0-1%] of the single workload delivered”.</w:t>
        <w:br/>
        <w:t>28. For the purpose of compensating the companies entrusted with the service, it is provided that Acea, after acquiring the data from the readers, may carry out checks to determine “the number of services deemed valid for accounting and compensation purposes”.</w:t>
        <w:br/>
        <w:t>24 In particular, the contract of assignment provides: “visit, on the days provided by the calendar, of all customers indicated in the analytical file of the assigned group and reading of the meters, by all the reading personnel employed in the assignment, with electronic equipment capable of performing optical-digital detection and certifying the matching of the reading with the serial number of the meter” as well as “Repetition of the visit, at the request of the Client, for further detection of the consumption resulting anomalous” and the “delivery of a daily agenda containing the appointments with the customers for whom it was not possible to carry out the reading in the normal round of readings provided by the calendar.”. The contract also specifies that: “The reading workloads will be communicated to the contracting company, according to operational calendars established by the Client, while the activities of repeated readings and information gathering on the served users, of variable consistency based on the verification needs established by ATO2, will be subject to specific assignments”.</w:t>
        <w:br/>
        <w:t>25 For example, among others, “user not found”, “meter unreadable”, and “user not on the list” are included.</w:t>
        <w:br/>
        <w:t>26 See Article 8 “User Appointments” of the aforementioned contract specifications, where it is provided that in the case of an inaccessible meter, in addition to taking the environmental photographic record documenting the impediment (i.e. meter located in private property and in the absence of the user), the reader is required to leave a written communication (postcard), containing all the useful information for the user to make an appointment with the company. If the appointment is missed by the user, the reader must make another attempt, communicating to Acea the list of the established daily appointments. Regarding this type of activity, the contract of assignment provides that: “For each user of each single reading group only the first appointment will be compensated”.</w:t>
      </w:r>
    </w:p>
    <w:p>
      <w:r>
        <w:rPr>
          <w:b/>
        </w:rPr>
        <w:t>[Pages 139–141]</w:t>
      </w:r>
    </w:p>
    <w:p>
      <w:r>
        <w:t>BULLETIN NO. 50 OF JANUARY 25, 2016 141</w:t>
        <w:br/>
        <w:t>29. The Investigative Findings reveal that such checks on the activities carried out by the readers27 were not actually performed by Acea, nor were penalties applied for the failure to carry out or delays in the execution of scheduled reading attempts or for the communication of incorrect or incongruent data (see, infra points 40 and following). In fact, on one hand, the measurement data processed and produced by the readers are directly uploaded28 into Acea's IT platform (SICOL29); on the other hand, Acea did not provide any feedback to the Authority's request for information regarding the control measures that may have been implemented to verify the correct operation of the readers30.</w:t>
        <w:br/>
        <w:t>30. In light of the data and information provided by Acea along with the stated reasons for the cases of non-reading, the evidence in the documents shows that: (i) in April 2015, there were numerous readings to be carried out in the Municipality of Rome, as indicated in an internal communication stating that “Readings in Rome are [500-1000] to be done immediately, in any case by May”31; (ii) numerous users - mainly condominium users located in the Municipality of Rome - are found to be without actual consumption data (readings) for periods exceeding 9 months32; (iii) many users show actual consumption data prior to 2011. Regarding this last circumstance, an internal communication from April 201533 states: “I am forwarding the results of the investigations on the [50-100] customers found WITHOUT actual readings dated after 01/01/2011 (…) I remind you that at [omissis] [500-1,000] were given” while the total number of users affected by the problem appears to exceed [500-1000] given that in another communication, recorded in the chronology of the one under examination, it is stated: “From [500-1,000] we have moved to [1,000-1,500] in Bands F1 –F2 – F3. How is this possible?”.</w:t>
        <w:br/>
        <w:t>31. The IT platform for managing users allows for the identification of those for which Acea does not have actual consumption data. This control34, that is, to verify “any users for whom no reading has been received for three quarters,” is carried out “every nine months”35, thus with a frequency different from the billing timing (monthly, bimonthly, quarterly36) “based on an extraction carried out by the SICOL system.” Previously - that is, in 2012 - it appears that: “the control over unrecorded/delayed readings, that is, on users who have not received a reading for at least three quarters, and the verification of the reasons for the lack of reading, was not performed. The company communicated that the Sicol option for alerts in case of no reading for more than 9 months was disabled”37.</w:t>
        <w:br/>
        <w:t>32. Furthermore, the documentation acquired during the inspection investigations shows high percentages of “discard” of the consumption readings communicated by users (so-called self-readings) according to the methods established by the professional (e.g.: web, telephone keypad-IVR, call center). In the event of non-acceptance of the self-reading, the user is not always informed at the time of data communication. In fact, this is only possible if they contact the call center, while in other cases the reading, although apparently “registered” by the system, can, at a later time, be automatically discarded without this information being conveyed to the consumer.</w:t>
        <w:br/>
        <w:t>33. In this regard, the operational guide of Acea's call center explains that “Entering a reading lower than the previous (actual) indicates the presence of an error.” that is to say “Incorrect reading by the customer (current). - Incorrect reading present in the system (the error was made in the previous reading). - Meter that has cycled. - Meter change not recorded. - Fault in the meter or meter not installed correctly (…)”. The call center operator cannot enter the self-reading communicated by the user if it deviates from that present in the system38, since Acea's instructions on this point expressly state: “Even if we were sure that the measurement is correct, the system is unable to distinguish it. In these cases, DO NOT enter the reading and inform the Customer of the anomaly. Check the readings in the system and the photographs, if available. If the error cannot be traced, then the customer must send a written complaint contesting the bill.”</w:t>
        <w:br/>
        <w:t>34. The professional is aware of the “cancellations” of users' self-readings - automatically executed by the IT system - due to the complaints received39. In the minutes of the hearing, the party stated that it had a technical problem in acquiring the self-readings, lasting about three months. Indeed, the inspection investigations have revealed a broader extent of the phenomenon. In fact, from an internal communication dated October 6, 2014, it appears that: “From a preliminary analysis carried out in the last months (August and September) we can verify: a significant increase in canceled self-readings; in September [2,000-3,000] accounting for [70-90%] of the self-readings made against an average of other months that saw canceled readings around [60-70%]. It should be noted that September is the month in which there were the most self-readings,” while the attached file reports that in the period from January to September 2014, out of a total of [10,000-20,000] self-readings communicated by users, as many as [10,000-20,000] were discarded by the system. Furthermore, in a subsequent communication dated January 19, 2015, it appears that the problem of the failure to acquire self-readings would have reoccurred in the months of October, November, and December 2014 with percentages reaching [90-100%]40.</w:t>
        <w:br/>
        <w:t>35. The evidence in the documents shows that the phenomenon of discarded self-readings has also affected the web channel, as indicated in an internal communication41 stating: “I am sending you the file of self-readings from the web for the month of September, as you can see out of [3,000-4,000] readings, [2,000-3,000] were canceled and [500-1000] registered, we can analyze why, in the file I have also included the type of error given by the system. I confirm that this problem of the percentage of canceled readings persists every month, albeit to a lesser extent, and in any case, if you want, I can send you all the files from the beginning of the year for a more complete analysis.”; in the file attached to the subsequent communication in the chronology, it appears that, in December 2014, out of [4,000-5,000] entries by users via the web, only [50-100] were successful.</w:t>
        <w:br/>
        <w:t>36. From the examination of certain internal communications from 2014, it emerges that Acea is also aware of the causes that led to the failure to acquire the consumption data communicated by users, indicating that: “Regarding the canceled self-readings, the main error is precisely that encountered by the user who wrote, it is AD ERR016 Verify consumption reading against the minimum committed service in September; as much as [70-80%] of the self-readings was canceled due to this error, while in August this error led to the cancellation of [50-60%] of self-readings. The other error that led to the cancellation of a considerable number of self-readings is ERR012 Verify consumption reading against an estimated consumption based on the average annual consumption (CBC) of the service with cancellation percentages of [40-50] and [20-30] in the months of August and September”42.</w:t>
        <w:br/>
        <w:t>37. The very chronology of the events described above also reveals that Acea did not promptly activate to resolve the issues underlying the automatic discard of the measurement data; similarly, the cause of the failures to acquire the self-readings communicated by users via the web in 2014, as of January 20, 2015, had not yet been initiated towards a solution, as inferred from the internal communications circulated among the involved offices43. Moreover, at the end of 2014, following a meeting with Acea8Cento, one of the objectives to be achieved was to “Improve the success rate of web self-readings”44 given that: “If we are talking about IVR self-readings (i.e.</w:t>
      </w:r>
    </w:p>
    <w:p>
      <w:r>
        <w:rPr>
          <w:b/>
        </w:rPr>
        <w:t>[Pages 142–144]</w:t>
      </w:r>
    </w:p>
    <w:p>
      <w:r>
        <w:t>144 BULLETIN NO. 50 OF JANUARY 25, 2016</w:t>
        <w:br/>
        <w:t>communicated by the user via telephone keypad, n.d.r.) only very recently has the issue become of interest to ATO2, which has begun to request reports and usage statistics of the service, active for years but never refined with business oversight from ATO2 for the analysis of discrepancies and reasons.".</w:t>
        <w:br/>
        <w:t>38. In its defense submissions, the professional limited himself to stating that it was appropriate to raise user awareness – also through specific campaigns – to carry out self-readings of consumption, without providing any evidence regarding the definitive resolution of the critical issues highlighted above.</w:t>
        <w:br/>
        <w:t>39. Regarding the adequacy or correctness of the measurement data, the procedure used by Acea since November 2014 - summarized in the scheme below - provides the possibility to verify certain anomalies regarding consumption data45, whether they come from meter readers or are communicated by users, before proceeding to billing.</w:t>
        <w:br/>
        <w:t>40. In particular, the Billing Unit should verify:</w:t>
        <w:br/>
        <w:t>(i) "objective anomalies, that is, errors that do not allow the correct acquisition of the reading data," arising from an "evident typing error" for which "manual correction" is provided. Where instead "anomalies are found for which it is not possible to trace back to the actual value," the company in charge may be asked to regenerate a "new complete file" of data, without requesting the so-called repetition of readings. This latter activity, in fact, may be subject to subsequent ad hoc assignments by Acea if the communicated readings are not consistent with those contained in the computer archives46;</w:t>
        <w:br/>
        <w:t>(ii) "subjective anomalies," identified through an extraction from the SICOL system that considers a consumption value as anomalous: (a) very high, that is, "greater than 2.5 times the average consumption of the user and greater than 2.5 times the user's commitment"; (b) very low, that is, "less than half of the average consumption of the user and less than half of the user's commitment."</w:t>
        <w:br/>
        <w:t>41. From the Corrective Intervention Plan (PIC)47 of June 2014, it appears that this control has not been implemented. Indeed, this document explains that: "the SICOL application highlights the readings that differ by ±50% from the average consumption (calculated as the weighted average of the summer and winter consumption of the last three years)" with respect to which the Billing and Credit Unit is required to: "investigate the causes and propose the necessary checks (any checks and rechecks of the reading are arranged if the extent of the variation and the possible causes make it appropriate) and that: "As evidence of the control, the [omissis] prints, signs, and dates the report relating to the anomalous readings subject to verification. The archiving of the produced documentation is the responsibility of the Billing Unit." Regarding these checks, the Plan in question highlights as a "gap" the absence of documentation certifying the "control related to the analysis and resolution of any anomalous readings detected following the loading of data from the SICOL application," identifying a "risk for the Company" consisting of "the detection of inaccurate credits and revenues," which it proposes to remedy through the "production of a report from SICOL with evidence of the number of acquired, discarded, and used readings for billing." This is because: "In the SICOL system, there is evidence, for each detection group, of the total number of detected readings, with details of the processing. It cannot be determined whether all readings have been used for billing."</w:t>
        <w:br/>
        <w:t>42. In any case, "in the presence of unresolved anomalies, periodic billing must be based on the average consumption provided by the historical data (automatically determined by the management system NETA-SIU) and not on the new reading."48. Consequently, the subsequent invoice will be issued based on estimated consumption.</w:t>
        <w:br/>
        <w:t>43. If, however, the actual consumption data is acquired in the system, the evidence in the records shows that the professional does not perform the automatic update of the estimates of the consumption present, in order to have available for subsequent billing consumption "close" to the actual consumption of the user (so-called plausible average), where the updated real data continues to be missing49. As indicated by Acea in the defense submissions, the update of the estimates is not automatic but occurs after the "launch" of specific update procedures that would have a frequency of twice a year, taking as a reference the "actual consumption of the user, billed in the last year." In addition to the procedure, the reports in the records highlight the issuance of adjustment invoices after the acquisition of real data without the simultaneous proportional redefinition of the consumption in the system. This occurred in one case50 where the user complained (on January 8, 2015) about multi-year adjustments, to which Acea, after confirming that "the issuance of the adjustment invoice did not take into account the need to provide for a proportional redefinition of the consumption," stated that it had proceeded - in acceptance of the complaint - to the "official correction of the initial reading of the meter" and to re-invoice the consumption starting from 2003.</w:t>
        <w:br/>
        <w:t>44. More generally, considering that invoices can be issued monthly, bi-monthly, or quarterly51, to ensure compliance with this timing in the absence of actual data (acquired from meter readers or communicated by users), Acea issues advance invoices based on the historical consumption of the user in the corresponding period of the previous year (that is, based on the actual consumption detected and validated by the manager during that period); the Supply Conditions provide that adjustment invoices "will normally be issued with the billing of the period immediately following the one in which the detection was made or the self-reading was communicated (...)"52. The scheme below53 highlights significant data on adjustment invoices concerning periods exceeding 13 months.</w:t>
        <w:br/>
        <w:t>Number of invoices Invoices with adjustments exceeding 13</w:t>
        <w:br/>
        <w:t>Year of invoice issuance</w:t>
        <w:br/>
        <w:t>issued months</w:t>
        <w:br/>
        <w:t>2013 [2-3 million] [200-300 thousand]</w:t>
        <w:br/>
        <w:t>2014 [2-3 million] [100-200 thousand]</w:t>
        <w:br/>
        <w:t>2015 [1-2 million] [10-50 thousand]</w:t>
        <w:br/>
        <w:t>45. Related to the detection and acquisition of consumption is also the conduct regarding the replacement of meters.</w:t>
        <w:br/>
        <w:t>46. In this regard, from the documentation in the records and the feedback provided by the professional, it appears that, until 2012, Acea implemented massive campaigns for the replacement of meters both in the Municipality of Rome and during the acquisition of new Municipalities (so-called cleansing of meter registries). Currently, the replacement of meters would be carried out - according to Acea's statements - only when necessary, ex officio or at the request of the customer. Internal documentation has shown that Acea receives about [50,000-60,000] requests for technical intervention per year for damage to the meter, regarding which the head of the Complaints Unit has represented to the other involved Offices: “(...) I was wondering if, within such a large branched intervention in the territory, we could make the trip more fruitful by also having meter readings reported, exact street and house number, and everything needed to cleanse a registry (before the transition to Sap), consulting Operation, which will know better than anyone if – for example – when a meter is lost, we can get in touch with a meter on private property; contact that is often denied to us in the commercial department (...)”54.</w:t>
        <w:br/>
        <w:t>47. In cases where technicians operate on Acea's initiative (so-called "ex officio replacement"), the practice provides that the meter change can be executed even in the absence of the account holder or their representative, and there are no sufficient guarantees to protect the user from subsequent undue charges such as, for example, a communication aimed at informing the user of the subsequent replacement, the date on which the intervention will be carried out, as well as the issuance of a copy of the report of the completed replacement, as provided for by the User Regulation55. The latter specifically states: "In the event of removal and replacement of the meter, a related report will be drawn up in two copies which, signed by Acea agents and the user, must contain the following indications: the type, the caliber, and the number</w:t>
        <w:br/>
        <w:t>52 Article 15 of the Supply Conditions.</w:t>
        <w:br/>
        <w:t>53 Cf. Acea memorandum of September 25, 2015.</w:t>
        <w:br/>
        <w:t>54 Cf. email "I'm throwing it out there" of January 19, 2015, Folder [omissis].</w:t>
        <w:br/>
        <w:t>55 Art. 15 User Regulation.</w:t>
      </w:r>
    </w:p>
    <w:p>
      <w:r>
        <w:rPr>
          <w:b/>
        </w:rPr>
        <w:t>[Pages 145–147]</w:t>
      </w:r>
    </w:p>
    <w:p>
      <w:r>
        <w:t>BULLETIN NO. 50 OF JANUARY 25, 2016 147</w:t>
        <w:br/>
        <w:t>of the meter, the results of the reading, the reason for the replacement or removal, and any irregularities found."</w:t>
        <w:br/>
        <w:t>48. In this regard, from the reports in the records, it emerges that Acea has not always followed this practice, with users often complaining that they were informed of the replacement of the meter only due to the amounts billed or in response to their complaints. The professional, on the other hand, stated that the removed meter remains available at Acea for a certain period of time to allow users who request it to inspect it. An internal communication reveals that the professional is aware that the replacement of meters impacts billing adjustments: "since the beginning of the year, we have tracked in an Excel file all those complaints whose resolution involves changing the meter. I am attaching the file asking you to forward it to [omissis] so that he can urge his collaborators to take action. As you know, in most cases, a meter change impacts billing adjustments"; the attached file reports approximately [omissis] requests received from 2011 to 2015.</w:t>
        <w:br/>
        <w:t>56 Thus, for example, reports doc. 184, 185, and 195. In the latter case, the reporter complains of having undergone the replacement of the meter without any prior notice and without any guarantee regarding the correctness of the removal and replacement operations, given that, upon his request to verify the consumption reported by the meter at the physical Counter, Acea would have simply responded that "the application does not load the photos"; moreover, after the replacement, Acea would have continued to bill based on estimated excessive consumption for over a year. Furthermore, report Federconsumatori - Rome prot.040879 of December 24, 2013, transmitted by AEEGSI.</w:t>
        <w:br/>
        <w:t>57 Cf. email of March 16, 2015, "Complaints - Meter Changes," doc. isp., folder [omissis].</w:t>
      </w:r>
    </w:p>
    <w:p>
      <w:r>
        <w:t>148 BULLETIN NO. 50 OF JANUARY 25, 2016</w:t>
        <w:br/>
        <w:t>Phase 2 - Issuance and verification of invoices</w:t>
        <w:br/>
        <w:t>49. The process of issuing consumption invoices is divided into the phases outlined in the following scheme:</w:t>
        <w:br/>
        <w:t>50. As can be seen from the scheme, bills that present a credit for the customer greater than 300 euros, or a debt greater than 2,500 €, for a "quarterly commitment" up to 1000m³, as well as those with a debt up to 25,000 €, with a "quarterly commitment" exceeding 1000 m³, are automatically excluded from the billing cycle. The procedure provides that excluded invoices are checked and issued individually.</w:t>
        <w:br/>
        <w:t>51. The "quarterly commitment" provided by Acea for the purposes of the "alerts" of the billing system, compared to the consumption brackets considered by the Authority of the Area for the various consumption bands - for the purpose of tariff structuring - appears different and higher than the expected consumption for domestic users in a year: the tariffs are indeed structured to foresee annual consumptions varying from 92m³ (reduced rate) to 368 m³ and beyond (third consumption band).</w:t>
        <w:br/>
        <w:t>52. Furthermore, these consumption thresholds, deemed anomalous ("alert") by Acea, also apply in the event of hidden water leaks occurring in the section of the system pertaining to the consumer. In fact, there do not appear to be any other mechanisms for the automatic control of the amounts to be billed generated by the system where these are objectively and abnormally high compared to those previously billed for that user and in any case such as to raise suspicion of the existence of a hidden leak.</w:t>
        <w:br/>
        <w:t>53. Moreover, upon the occurrence of the above-described hypotheses, there is no automatic "block" of the invoice nor is there a communication to the user in this regard. The procedure indeed only provides that the Billing Unit performs checks "by consulting the IT system" and, if it deems the amount generated by the system to be correct, proceeds directly to the issuance of the invoice; only where a "malfunction of the meter" is suspected can a verification be requested from the Operational Management Unit for Users. Even in this latter case, no communication is sent to the user to warn them of the possible existence of a hidden leak and invite them to intervene with the necessary promptness. In fact, from the internal documentation of September 2014 - acquired during the inspection investigations - it appears that no communication is sent to the user "for high consumption" as it is "currently not provided for ATO2."</w:t>
        <w:br/>
        <w:t>54. These are particularly high consumptions regarding which the operator sometimes cannot trace the cause that actually determined them. Thus, for example, in an internal communication regarding the consumption charged to a condominium for a hidden leak, it emerges that: "(...) first two invoices for the amount of 46,923.95 euros, subsequently another invoice for the amount of 10,143.30 euros and finally another invoice for the amount of 18,621.57 euros, amounts that are very much higher than those due according to the historical average of consumption typical of the user." In this case, the Acea Legal Office represented to the Complaints, Billing, and Customer Care Offices that: "the Court has invited ACEA to produce the replaced measuring group following the measurement that affected a significant part of the Municipality of Rome. I would need to know if it is possible in some way to trace this meter, given that the charge to the condominium is absolutely exorbitant and we are unable to suggest the cause."</w:t>
        <w:br/>
        <w:t>55. The examination of the evidence in the records shows that, as these are hidden leaks, therefore not immediately visible, users often become aware of them only upon receiving the invoices; moreover, in response to subsequent complaints and requests for intervention from consumers, Acea does not follow up promptly. Thus, for example, in a complaint from a consumer residing in the Municipality of Rome, sent by registered mail on November 26, 2014, there is a charge for consumption of over 2400€ due to a broken pipe; the operator would have only responded on January 20, 2015, stating that "the repeated failures of the valves of the meter serving your user" would have led him to accept the dispute and rectify the invoice. From another case reported by a condominium in Rome, it emerges that the "alert" thresholds are</w:t>
        <w:br/>
        <w:t>58 From the reports in the records, it appears that it is always the user who notices the water leak due to the amounts billed by Acea, even exceeding the thresholds indicated above, as no communication from the operator has intervened to timely warn - that is, at the time of detecting the consumption and entering it into the system - of its anomaly, reasonably linked to a hidden water leak.</w:t>
        <w:br/>
        <w:t>59 Cf. slides "Acea20_Ato2_IS-U GAP Process Mapping," dated September 25, 2014, doc. isp., folder [omissis].</w:t>
        <w:br/>
        <w:t>60 Cf. email "Condominium Via [omissis]," January 29, 2015, and related correspondence in the chronology and attachments (doc. isp., folder LITIGATION) related to a lawsuit filed by a Condominium on Via [omissis] in Rome against Acea following the charge of very high consumption (about 68,000 euros) for a hidden leak.</w:t>
        <w:br/>
        <w:t>61 Cf. email "Decriminalization" of April 29, 2015, doc. isp., folder LITIGATION.</w:t>
        <w:br/>
        <w:t>62 Thus, among others, report doc. 188.</w:t>
      </w:r>
    </w:p>
    <w:p>
      <w:r>
        <w:rPr>
          <w:b/>
        </w:rPr>
        <w:t>[Pages 148–150]</w:t>
      </w:r>
    </w:p>
    <w:p>
      <w:r>
        <w:t>150 BULLETIN NO. 50 OF JANUARY 25, 2016</w:t>
        <w:br/>
        <w:t>on which the billing system of Acea is based did not produce either the exclusion of the invoices from the relevant billing cycle, nor the subsequent individual verification by the designated Units which – in cases like this – could have requested a technical intervention or notified the user. In fact, the complainant contests the issuance of three consecutive invoices (last quarter of 2014, first and second quarters of 2015) with amounts varying from approximately 4,000 to 9,000 euros, which are reported to "exceed four times the usual averages" of consumption of the condominium; the cause of these charges was a hidden leak, detected by the condominium itself during the works carried out in June 2015.</w:t>
        <w:br/>
        <w:t>56. According to the data provided by the professional – during the period under investigation – Acea would have received over [5000-6000] requests for tariff reduction (so-called "depenalization") for hidden leaks.</w:t>
        <w:br/>
        <w:t>57. It is also noted the absence of a typification of the cases of "hidden malfunction," adequately made known to the user, in the presence of which the benefit of depenalization can be requested and obtained. In particular, the professional stated that the application of the benefit follows the provisions dictated by resolutions no. 2496/97 and no. 1544/98 of the City Council of Rome. These resolutions are not published on the professional's website.</w:t>
        <w:br/>
        <w:t>58. From the inspection findings, it also appears that – starting from April 2014 – Acea deemed it appropriate to extend the "cases" of situations that can benefit from depenalization by developing internal guidelines "following some cases of requests for 'tariff depenalization for hidden malfunctions' rejected and which then led to legal disputes (...), it is believed that it is possible to extend the possibility of requesting the benefit provided by the resolutions of the City of Rome on the matter"63 applying it "also to certain types of hidden malfunctions concerning devices placed on private pipelines that are also part of the internal system." By way of example, the classic case of a malfunction of an underground tank." that is to say cases that "while they can be considered 'hidden malfunctions' have so far been excluded from the possibility of accessing the benefit of depenalization." Such cases of hidden malfunction are also not known to users, not even through the professional's website, as they are contained in an internally circulated document.</w:t>
        <w:br/>
        <w:t>59. With regard to the methods of charging for consumption related to the hidden leak (tariff depenalization), it appears that Acea requires payment: (i) in full for consumption exceeding four times the usual averages, invoiced with the application of the current base tariff; (ii) of the fee due for purification services64 which, with respect to the dispersed water, are not provided.</w:t>
        <w:br/>
        <w:t>60. Regarding the effects of hidden leaks, it appears that: “(...) it is considered more useful and correct to apply a more open and less severe interpretation of the regulations, as the granting of the benefit: 1) does not constitute a damage to the company, since the water supplied is still paid at the base tariff; 2) is 'dispositive': it is subject to the user's request, who may also consider reserving its use for a more useful circumstance, and takes place 'one time' (only once in the commercial life of the user); 3) reduces verification and control activities; 4) reduces complaints and judicial disputes; 5) lowers bad debts on the balance sheet”65.</w:t>
        <w:br/>
        <w:t>61. As for the adjustment invoices that generate a credit in favor of the user, the IT system in use at Acea provides for the exclusion from the billing cycle of bills that show a credit exceeding 300 €. In these cases, from the reports on file, it appears that Acea does not refund the credit in the first useful invoice, nor are compensations made between any debts and credits of the user.</w:t>
        <w:br/>
        <w:t>62. From the model of the Acea bill acquired in the course of the inspection, it appears that the existence of a credit of the user towards the professional is highlighted with the wording “ATTENTION THIS BILL MUST NOT BE PAID” (original emphasis) while the amount resulting from a positive adjustment is preceded by a minus sign, without indicating to the user that the refund will occur upon request and how it can be requested.</w:t>
        <w:br/>
        <w:t>63. Furthermore, the internal procedure shows that refund requests do not have priority treatment, being managed individually and in the absence of measures that ensure simultaneous verification regarding the presence of complaints or reminders from consumers. Thus, for example, in an email dated December 2014, a consumer represented to Acea: “on 10/11/2014 you sent me a letter in which you apologize for the delay in the refund owed to me by Acea Ato 2 (over 1,000 euros) and inform me that you have initiated the process for the refund following complaint no. 4640737 (Ref. Prot. 36921 of 25.10.2014). I wonder how long and complicated this process is, given that to date I have not received any refund!!”66. Furthermore, in the case reported by a Condominium in Rome67, from the documentation produced it emerges that Acea, in recognition of a credit of over 2500€ (indicated in the invoice with the methods described above) in the invoice dated July 8, 2015, sent on July 13, 2015, a registered letter containing a payment reminder for an amount of €2143.80 without making any compensation, nor returning the excess amount beyond the debt. In another case68 the administrator of the reporting condominium, while contesting the billing by Acea of estimated consumption for three years, documents having requested the refund of the excess amount paid on March 12, 2015, by submitting the form provided by the operator at the Acea counter, and subsequently having urged, on August 11, 2015, to return the credit. Nevertheless, as of the date of the report (September 8, 2015), the refund had not yet been made.</w:t>
        <w:br/>
        <w:t>64. The professional is aware of the complaints of consumers both due to the complaints and the related internal communications, which account for the existence of unresolved refund requests, and following the judgments of the Ordinary Judge. In this regard, there is an internal communication from 2014 – relating to the execution of what was ordered by the judge with the ruling – where it is stated: “I am forwarding the attached ruling with which we are condemned to pay € 4,280.56 as well as to cancel the invoice (...). From what I see, the invoice has already been canceled for some time. As for the payment of € 4,280.56, it refers to the credit note 65 See previous note. 66 See email “Re: Refund user [omissis]” of December 29, 2014, doc. isp., Folder [omissis]. 67 Doc.165. 68 Doc. 182.</w:t>
      </w:r>
    </w:p>
    <w:p>
      <w:r>
        <w:t>152 BULLETIN NO. 50 OF JANUARY 25, 2016</w:t>
        <w:br/>
        <w:t>2010/446217 of which the complainant claims to have never received payment. It is therefore necessary to proceed with the refund of this amount.”69.</w:t>
        <w:br/>
        <w:t>65. Another conduct subject to contestation that finds confirmation in the reports on file and in the inspection documentation is represented by the issuance of invoices subsequent to the request for termination of the user relationship.</w:t>
        <w:br/>
        <w:t>66. In this regard, it is noted that the conditions of supply of the SII and the User Regulation provide that the supply contract is resolved if: (i) the user requests termination with written communication sent by registered mail or delivered at the physical counter; (ii) at the time of communication of the end of works, in the case of a user activated for "construction site use"70.</w:t>
        <w:br/>
        <w:t>67. The evidence on file shows that in both cases Acea does not follow up on the users' requests promptly or within the timeframes provided by the Service Charter, continuing to bill amounts without issuing the final account. In this regard, the professional stated, on one hand, that in 2014 the number of terminations carried out within the timeframes provided by the SII Charter, in the municipalities of Rome and Fiumicino, is equal to [50-90%] of the requests received; on the other hand, that he cannot "quantify the number of interventions carried out within 30 days since these are not data tracked by the company"71.</w:t>
        <w:br/>
        <w:t>68. The evidence on file reveals that as of April 2015 there would be a significant delay in executing terminations, as an internal communication72 from the professional reports the following: “[3,000-4,000] terminations belonging to the period 2004-2015 for which [1,000-1,500] blocked terminations have been identified and therefore [2,000-2,500] to be executed”; and again, from a monitoring carried out on terminations, attached to another communication73 of April 8, 2015, it can be inferred what is reported in the following table regarding the “Intervention Orders - ODI”.</w:t>
        <w:br/>
        <w:t>69 See email “I: Cond. v [omissis] / Acea Ato 2 user 930157201”, December 16, 2013, doc. isp., folder CONTROVERSY. 70 In this regard, the User Regulation (art.5) and the Supply Conditions (art.13) provide that the supply contract ceases at the time of communication of termination or is “resolved by law by Acea at the end of the construction of the property” communicated to the operator. In both cases, the user is required to send a written communication by registered mail with return receipt or to deliver it at the Acea counters. 71 Thus Acea's memorandum of September 25, 2015. 72 Email of April 7 “CONNECTIONS DISCONNECTIONS TERMINATIONS READINGS”, doc. isp, Folder [omissis]; in another email of April 2, 2015, on the same issue (doc. isp, Folder [omissis]), it is indicated “Terminations requested by user (about [3500-4000]) [omissis] carries out verification of suspended ODIs and the reasons. Subsequently, a request will be made to CC for the official execution of the interventions. The remaining unsuspended terminations must be executed by the units”. 73 See email of April 8, 2015 “Situation of orders in charge to operation”, doc. isp. Folder [omissis].</w:t>
      </w:r>
    </w:p>
    <w:p>
      <w:r>
        <w:rPr>
          <w:b/>
        </w:rPr>
        <w:t>[Pages 151–153]</w:t>
      </w:r>
    </w:p>
    <w:p>
      <w:r>
        <w:t>BULLETIN NO. 50 OF JANUARY 25, 2016 153</w:t>
        <w:br/>
        <w:t>Count of Number</w:t>
        <w:br/>
        <w:t>ODI</w:t>
        <w:br/>
        <w:t>Total</w:t>
        <w:br/>
        <w:t>Blocked Executed Printed</w:t>
        <w:br/>
        <w:t>overall</w:t>
        <w:br/>
        <w:t>MUNICIPALITIES [1,000-1,500] [100-150] [1,000-1,500] [2,500-3,000]</w:t>
        <w:br/>
        <w:t>ROME [200-250] [20-50] [500-1,000] [500-1,500]</w:t>
        <w:br/>
        <w:t>Total overall [omitted] [omitted] [omitted] [omitted]</w:t>
        <w:br/>
        <w:t>69. Regarding the requests for termination of construction site utility services, it is noted that the continuation of the contractual relationship results in the billing of high amounts operating – in this case – the criterion of "minimum contractual commitment, that is, a quantity of water that must be paid even if not consumed, equal to 250 m³ quarterly"74. This circumstance occurred in the case of the consumer75 who became part of the proceedings, holder of a "construction site" supply contract, who communicated to Acea on November 19, 2013 - at the physical office of the professional76 - the completion of the works (renovation of a property) and the simultaneous request for a change of use from construction site to domestic, producing the requested documentation, expecting the consequent "de jure" termination of the related contract77 and the issuance of the final bill. On the contrary, from the documentation in the records, it appears that, with a communication dated January 17, 2014, Acea indicated to the notifier that "on 15/01/2014 the estimate 2013/15990 was defined (...)" and that "The continuation of the same practice is subject to the payment of the sum of € 0 including VAT as a contribution for works (...)", reporting the related payment methods, without indicating that it was nevertheless necessary to formulate an express acceptance of this "estimate." The final bill – which was incorrect – was instead issued by Acea on April 14, 201578, and from the related detail it appears that the billing object is "a consumption equal to 1 mc for the consumption recorded from 12/11/2012 to 08/10/2014." To the total consumption are added fixed fees and other charges for a total of 426.59 euros” while the consumptions already billed “as an advance in previous bills” amount to “1123 mc.” Regarding the failure to execute the termination and the related further charge of consumption equal to the "minimum committed," the professional did not provide any indication, limiting himself to emphasizing that the change of use from construction site to domestic would have occurred late, having the notifier signed the above-mentioned "cost estimate" – although bearing no amount to be paid – "seven months after" receiving it. Furthermore, another consumer obtained the "construction site" use three years after his request and, specifically, after communicating the conclusion of the construction works and requesting the change of use to "domestic," which had not yet been obtained by the date of the notification despite numerous complaints79.</w:t>
        <w:br/>
        <w:t>70. The events just described, concerning the untimely processing of termination requests as well as changes in use, are confirmed by two factual circumstances. The first, deducible from the same statements of the professional who, on the one hand, declared that in the utility management IT system (CRM) all requests, complaints, measurement data, etc., related to the individual user would be indicated and tracked; on the other hand, in response to the Authority's request to indicate for the activated construction site utilities the activation date and the date on which the termination/completion request was received, he replied that Acea "does not possess all the requested data but exclusively the personal data (address, named utility) and the data relating to the start and end date of supply. The data relating to the closure communication of the construction site is not available."80, thereby revealing that such requests are not entered into the customer database (CRM).</w:t>
        <w:br/>
        <w:t>71. The second factual circumstance is deducible from the documentation81 acquired during the inspection where it appears that, as of March 31, 2015, [20,000-30,000] terminated utilities still appeared without a final bill.</w:t>
        <w:br/>
        <w:t>Phase 3 – invoice delivery</w:t>
        <w:br/>
        <w:t>72. The procedure provided by Acea for the processing (invoice layout bearing the date of issue, data control, print spool) and subsequent delivery of invoices requires medium-long times, as stated by the head of the billing office in the minutes of the inspection82, requiring two to three days for the "invoice layout, print spool" (before sending to the printing and delivery service provider), to which are added another four or five days for printing activities after which "the invoices are materially available for delivery to users" whose times are not expressly dictated by Acea which does not always have complete reports of successful/unsuccessful delivery. The times required by the procedure described so far are not separated from the 30 days within which the user is required to pay the bill. The payment term, in fact, begins to run from the date of issue of the invoice.</w:t>
        <w:br/>
        <w:t>73. The professional is aware of the existence of phenomena of non-delivery or late delivery of bills both due to the disputes received from Acea8Cento and from written complaints. On the first point, from the documentation acquired during the inspection, it emerges that the phenomenon has occurred several times83. In particular, it appears that Acea8cento, in the period between March and April 2015, recorded an increase in the daily percentage of complaints concerning the non-delivery of invoices, which rose from [1-5%] to [5-10%]84.</w:t>
        <w:br/>
        <w:t>79 Cf. doc.172.</w:t>
        <w:br/>
        <w:t>80 Thus Acea's memorandum of September 25, 2015.</w:t>
        <w:br/>
        <w:t>81 Cf. "Acea Group – Acea 2.0 Steering Committee Program – Rome 31.3.2015", doc. isp., Folder "Operation".</w:t>
        <w:br/>
        <w:t>82 Doc.110.</w:t>
        <w:br/>
        <w:t>83 Cf. e-mail "R: 11-04-201 ACEA ATO2 - April works - DELIVERIES [omitted]" of April 13, 2015 and related correspondence in chronology, doc. isp., folder [omitted].</w:t>
        <w:br/>
        <w:t>84 Thus it can be inferred from a report relating to the reasons for daily contact of the Acea8cento call center, in the period March - April 2015, where a daily percentage of users complaining about the non-delivery of invoices is reported, varying from [2-4%] to [omitted], doc. isp., Folder Acea8Cento.</w:t>
      </w:r>
    </w:p>
    <w:p>
      <w:r>
        <w:t>BULLETIN NO. 50 OF JANUARY 25, 2016 155</w:t>
        <w:br/>
        <w:t>74. On the second point, Acea is aware of the existence of serious service disruptions in the delivery of bills that occurred at the end of 2014 and the first quarter of 2015, such as to induce the professional to revoke the delivery assignment to the entrusted company in favor of [omitted] and to evaluate the opportunity to take measures against the company responsible for delivery. Thus, from a document dated November 11, 2014, it appears that "the service, entrusted to the company [omitted], highlights a situation of strong service disruption. It is necessary to verify the possibility of applying penalties or in any case the feasibility of other ways to obtain an effective service." Acea also specified – in its memoranda – that in these cases there would have been no prejudice to users as it would have arranged for the suspension and postponement "of the calculation of late payment interest," while on the professional's website an announcement would have been published informing users that "the invoices issued in April 2015 may be delivered with a slight delay compared to the due date"85. In these cases, Acea stated that it had warned the company [omitted] on December 3, 2014, and that "it will undertake any protective actions or recovery actions concerning those credits that, following an individual examination, result from the described service disruptions, taking into account the related delay." In this regard, it is recalled that the system for delivering invoices to users, in use by Acea, does not provide for tracking the date of delivery of the billing document.</w:t>
        <w:br/>
        <w:t>75. Furthermore, from an internal communication dated November 14, 2014, addressed to the Head of the Complaints Office of Acea, it emerges that: "in the month of October there is a significant increase in volumes [of complaints, ed.], mainly related to the non-delivery of invoices and a blockage of invoice correction activities due to a service disruption of Neta H2O" (emphasis added). The following complaint is relevant, from which it appears that: "Mrs. (...) [omitted], a customer residing at (...) received on December 29, 2014 invoice 2014/2116563 (with a due date of 18-12-2014!!!!!!) with the related adjustment of consumption from 4-11 2010 to 9-9-2014 (well four years!!!!!) for the amount of 722.07 euros"86.</w:t>
        <w:br/>
        <w:t>76. The non-delivery or late delivery of invoices is linked to further issues of installment requests related to invoices of high amounts for adjustments. On this point, it is noteworthy that the delivery of the bill after the expiration of the 30-day payment term does not allow for the request for installment payment of the amount, often high. The bills indicate that it is possible to obtain the installment payment of "invoices not expired that fall within consumption above the user's averages concerning adjustments" as well as "invoices under different conditions" and up to a maximum of six monthly installments upon written request, warning that in case of non-payment by the due date of the installments, the "immediate disconnection" of the supply follows.</w:t>
        <w:br/>
        <w:t>Phase 4 – arrears, collection, and credit recovery</w:t>
        <w:br/>
        <w:t>77. From the evidence in the records, it appears that the day after (31st) the expiration of the payment term indicated in the bill, the utility is considered in arrears with immediate application of the</w:t>
      </w:r>
    </w:p>
    <w:p>
      <w:r>
        <w:rPr>
          <w:b/>
        </w:rPr>
        <w:t>[Pages 154–156]</w:t>
      </w:r>
    </w:p>
    <w:p>
      <w:r>
        <w:t>156 BULLETIN NO. 50 OF JANUARY 25, 2016</w:t>
        <w:br/>
        <w:t>related interest87 for late payment. It does not appear that the billing computer system has a tool suitable for blocking the collection of such interest in cases where phenomena occur such as: (i) the particular shortening of the payment term (starting, as mentioned, from the date of issuance of the invoice) due to Acea's delay in preparing and printing the bills; (ii) the late or non-delivery of bills by the couriers in certain areas or municipalities; (iii) in case of complaints from users regarding the non-delivery of the bill. On the first point, moreover, Acea stated - in the memorandum of June 5, 2015 - that in the event that "it is aware of the delay in the billing and printing process, in the phases subject to its direct control, it does not apply late payment interest for the corresponding period."</w:t>
        <w:br/>
        <w:t>78. Once the user is considered delinquent, Acea initiates the debt recovery procedure. In this regard, it is noted that the DPCM of April 29, 1999 provides that: "In case of delinquency, service suspension is provided. The operators indicate the means by which the user is warned of such suspension and the methods to avoid the suspension itself. Such notice shall not be less than 20 days and must be accompanied by a duplicate of the unpaid invoice. The operators communicate the methods and times for the restoration of the supply, which must occur within two working days from payment (...) The operators identify specific procedures for cases of erroneous action for delinquency."</w:t>
        <w:br/>
        <w:t>79. According to the "Credit Policy" in use at Acea, it appears that the debt recovery procedure for delinquency88 was initiated - until December 31, 2014 - for "Bonus Customers" 10 days after the payment deadline by sending a reminder communication, after which - if the bill was not settled - a communication was sent by registered mail within the following 10 days. This latter served as a formal notice of default and warning of disconnection, and if "within 21 days from the date of issuance of the registered letter the Customer does not make the payment of what was communicated in the aforementioned reminders and provides a copy of the receipt via fax (...), also indicating a telephone contact, the disconnection procedure is initiated."89. For "Malus Customers," Acea does not send a reminder as only one communication is provided, by registered mail, of formal notice of default and warning of disconnection. In the case of condominiums, the procedure in question includes sending a communication by registered mail 10 days after the payment deadline, while in the following 20 days flyers are delivered to the condominium containing the warning of disconnection, which is executed in the following 10 days.</w:t>
        <w:br/>
        <w:t>80. Starting from January 1, 2015, Acea introduced a new "Credit Policy" under which, for "Bonus Customers," the reminder communication was eliminated and only the sending of the reminder registered letter, formal notice of default, and warning of disconnection was provided within a shorter term of 5 days from the payment deadline; in the case of "Malus Customers" and condominium users, the procedure is identical to that in force in 2014 regarding the phases, but the term for sending the reminder registered letter, formal notice of default, and warning of disconnection has been shortened to 5 days (after the payment deadline). The methods of calculating the</w:t>
        <w:br/>
        <w:t>87 The late payment interest is equal to the legal reference rate increased by two points (see, for example, invoice layout of 2014, doc. isp. Folder [omitted].</w:t>
        <w:br/>
        <w:t>88 See "PFN actions II semester 2014 - ongoing actions" dated September 24, 2014, doc. isp., folder [omitted].</w:t>
        <w:br/>
        <w:t>89 See guidelines of Acea Customer Service operators, "GOCI_OFF_Line", doc. isp., folder Acea8Cento.</w:t>
      </w:r>
    </w:p>
    <w:p>
      <w:r>
        <w:t>BULLETIN NO. 50 OF JANUARY 25, 2016 157</w:t>
        <w:br/>
        <w:t>starting date for disconnection for condominium users90 provide that the date from which the supply may be disconnected "will be calculated as the date of issuance of the Collection Step (i.e. flyer distribution, ed.) plus 15 days."</w:t>
        <w:br/>
        <w:t>81. Regarding the notices delivered to condominium users via flyers posted in the building's lobby or delivered to the mailboxes of each condominium owner91, it is noted that they92: (i) report the total amount of the unpaid sum, without indicating the details of the invoices deemed overdue even though the professional is aware that the delinquency may also depend on the non-delivery or late delivery of the bills by the couriers or the failure to account for the amounts paid by Acea itself; (ii) indicate the date from which, in the absence of payment or the transmission of the relevant proof, disconnection may occur.</w:t>
        <w:br/>
        <w:t>82. In this regard, it is significant that such notices are delivered by third parties appointed by Acea and that there is no monitoring of the actual delivery of the same and, above all, in a timely manner to allow the user to exercise their rights.</w:t>
        <w:br/>
        <w:t>83. Specifically, from the reports in the records, it appears that, in the face of fast procedures that could potentially harm users due to the threat of disconnection of an essential good, Acea has not adopted measures and precautions suitable to ensure that disconnection is carried out only where all phases and times of the procedure have been respected and, therefore, that consumers have received the necessary notices and reminders, provided that the delinquency situation actually persists.</w:t>
        <w:br/>
        <w:t>84. In several cases, the professional proceeded to disconnect the supply even though the user had correctly made the payment, thus forcing the customer to take legal action. For example, from an internal communication, it emerges that Acea had: "kept the water disconnected for 5 days and they had paid. I tried to understand with the credit department what happened but it is unclear, probably a payment acquisition problem but nothing that can be proven in court, so much so that we even sent them a letter of apology. [Omitted] told me that the judge would probably condemn us to the requested amount (5,000 euros plus legal fees). Therefore, we are willing to seek a settlement solution."93. Sometimes the disconnection was also executed with subsequent removal of the meter following a civil action concluded with a judgment favorable to the user94. Indeed, from the related internal communication, it is evident that: "pending a dispute before the Judge that resulted in the suspension of payment of the amount</w:t>
        <w:br/>
        <w:t>90 See "ACEA2.0 - Delta BBP - Credit Area - Disconnection for delinquency" cited.</w:t>
        <w:br/>
        <w:t>91 See "ACEA2.0 - Delta BBP - Credit Area - Disconnection for delinquency - Minutes of meeting 24/11/2014" related to a meeting held in November 2014, concerning the topics "Disconnection, Reconnection, and Termination", doc. isp., folder [omitted], from which it reads: "(...) The reminder actions (e.g. registered letter) are directed towards the condominium administrator and the individual users who are part of it may not be aware of any delinquent situation. The Collection Step of flyer distribution thus consists of communicating to all condominium users the insolvency situation and the proximity of disconnection of the supply in case of persistence of delinquency. This communication occurs through the delivery, for each individual condominium owner, of a pre-filled letter (mailbox distribution) or by posting a flyer in common areas (flyer distribution)."</w:t>
        <w:br/>
        <w:t>92 See, for example, the disconnection notice of a condominium user attached to the reports in the records, doc. 219; doc. 23 and 93.</w:t>
        <w:br/>
        <w:t>93 See "Settlement [omitted]", and related correspondence, folder "LITIGATION."</w:t>
        <w:br/>
        <w:t>94 Communication of October 9, 2014, in the chronology of the email of October 13, 2014 "Restoration of disconnected user office ongoing trial", doc. isp., Folder LITIGATION.</w:t>
      </w:r>
    </w:p>
    <w:p>
      <w:r>
        <w:t>158 BULLETIN NO. 50 OF JANUARY 25, 2016</w:t>
        <w:br/>
        <w:t>billed by Acea, the technical offices proceeded to remove the meter; (...) and again: "URGENT!!!! I was suspending the collection for the invoices of this user who has sued us for the second time and I noticed that the meter was removed just yesterday. I therefore ask you to reactivate the contract and reinstall the meter as urgently as possible."</w:t>
        <w:br/>
        <w:t>85. From the documentation in the records, it also appears that Acea does not consider the date of delivery of the registered letter containing the formal notice of default and warning of disconnection as the starting date for disconnection of users, but rather the mere date of transmission; nor does Acea monitor the actual delivery of the payment reminder communications. In this regard, from an internal communication - concerning the changes then made by Acea, starting from January 2015, to the debt recovery and disconnection procedure - it emerges that the professional has no way of knowing the date of delivery of the registered letter of formal notice of default and warning of disconnection, clearly indicating that: "proceeding with the removal [of the meter ed.] after 10 days from receipt of the same [registered letter of formal notice of default and warning of disconnection, ed.] would mean requesting an intervention on the systems to handle information that until now our systems do not manage, the 'receipt date'95. Furthermore, in a communication96 of May 3, 2013, the Legal Office states: "I am attaching, for what is relevant, the order with which the appeal in question was accepted. The Court has - in my opinion, correctly - deemed that in this case the required warning of disconnection was missing, as the mere production of the envelope cannot be considered conclusive evidence of its content." These circumstances have led to multiple cases of disconnection of users without prior notice97.</w:t>
        <w:br/>
        <w:t>86. Furthermore, it has emerged that Acea has disconnected condominium supplies98 due to the failure to account for amounts paid by the user via bank transfers or by virtue of direct debit of the bills, despite the presentation to the professional of proof of payment. Specifically, in one of these cases, in response to the user's complaint, Acea explained the incident by stating: "although the payment of bills is also provided for by bank transfer, this payment method requires longer times for acquisition due to the non-uniformity in communications from various credit institutions"99. Another significant report comes from a condominium in Rome100 from which the attached documentation shows that Acea on September 5, 2014 accepted the complaint (received on August 8, 2014) and re-invoiced - having the condominium communicated the self-readings and acknowledged previous billing errors, indicating the new (reduced) amount to be paid equal to €241.50; a few days later, on September 9, 2014, Acea deposited in the mailboxes of the condominiums a notice of delinquency reporting as unpaid a "total amount of €3445.54" related to "2 invoices" without indicating their respective details, with the warning that in case of</w:t>
        <w:br/>
        <w:t>95 Thus email "Re: Sending by email: contractual management DELINQUENCY", of September 15, 2014, doc. isp., [omitted].</w:t>
        <w:br/>
        <w:t>96 See email of May 3, 2013, "Reconnection occurred", doc. isp., folder LITIGATION.</w:t>
        <w:br/>
        <w:t>97 Among many, see reports docs. 4, 11, 18, 38, 39, 42, 48, 49, 52, 55, 58, 67, 96, 107, 141, and 145.</w:t>
        <w:br/>
        <w:t>98 Thus, for example, docs. 101, 141, 146, and 219.</w:t>
        <w:br/>
        <w:t>99 Doc. 141.</w:t>
        <w:br/>
        <w:t>100 Doc. 219.</w:t>
      </w:r>
    </w:p>
    <w:p>
      <w:r>
        <w:rPr>
          <w:b/>
        </w:rPr>
        <w:t>[Pages 157–159]</w:t>
      </w:r>
    </w:p>
    <w:p>
      <w:r>
        <w:t>BULLETIN NO. 50 OF JANUARY 25, 2016 159</w:t>
        <w:br/>
        <w:t>of non-payment "within the following 10 days" or sending the payment receipt, the user would have been disconnected "starting from September 19, 2014," disconnection then executed on September 22, 2014, with previous further complaints from the administrator and the presentation to Acea of the acceptance responses of the complaint and the re-invoicing of the amounts being of no avail.</w:t>
        <w:br/>
        <w:t>87. The procedure has also revealed cases of disconnections carried out concerning users for whom there was no corresponding order, as there were no overdue positions; for example, in an internal communication “(…) I am forwarding another report of incorrect disconnection. The customer [omissis] (…) condominium administrator calls on behalf of the user [omissis] incorrectly disconnected. This user does not have disconnection orders. The technician left a note indicating the user to be disconnected [omissis] (which indeed has a disconnection order). Can you verify?”; and again “Ms. (…) [omissis], holder of the supply [omissis], contacted us informing that her meter has been removed. There is no intervention order in the system, can you carry out checks?” to which, in the subsequent response, it is clarified that it was not a disconnection order but “only an intervention of complaint for billing of the user (…)”.</w:t>
        <w:br/>
        <w:t>88. From the data provided by the professional on September 25, 2015, it emerges that in the period 2013-2015, [900,000 – 1,000,000] registered letters containing notice of disconnection were sent while, in the same period, the disconnected users were [25,000-30,000].</w:t>
        <w:br/>
        <w:t>ii) Procedures for managing user requests and complaints, obstacles to the exercise of contractual rights</w:t>
        <w:br/>
        <w:t>89. From the evidence in the records, it emerges that users can submit complaints, requests for services, and information both verbally and in writing. In this regard, the Acea SII Charter provides “The maximum time for response is set at 30 working days from the receipt of the User's request. For more complex cases, the response will be given in longer times of which the User will be informed within the thirty days mentioned above.” A reimbursement mechanism is also provided, for a fixed amount of €25, in case of violation of the quality standard; such compensation is paid only upon written request from the customer and in the cases expressly indicated by the SII charter.</w:t>
        <w:br/>
        <w:t>90. During the inspection checks, it was learned that the organizational unit responsible for managing complaints was established in February 2014. An internal communication from the Customer Care Unit also reveals that: “in 2013 it could happen that Complaints, not yet perfectly organized (so much so that there was not even the Unit, formally established in 2014) were sporadically managed in the form of Requests, perhaps in Back office”.</w:t>
        <w:br/>
        <w:t>91. Regarding requests for assistance, intervention, and complaints submitted to the Acea call center, from the inspection evidence and reported facts, it appears that they are not managed through this channel. In fact, the Acea call center provides only initial information to customers or collects personal data, if requested; for other requests or complaints, the user is invited to submit them in writing to Acea Ato 2 S.p.A. Similar conclusions are reached regarding complaints made at the physical counter where the user is still invited to fill out and submit a written complaint. Indeed, from the examination of the complaint management processes, it appears that the “creation of the commercial complaint only admits the channels Fax, Mail, and e-mail”.</w:t>
        <w:br/>
        <w:t>92. As for the reasons for contact, on which the measurement of the quality of Acea's service is based, it was found during the inspection that, until March 2015, no reporting was carried out regarding the telephone channel, for which, subsequently, they began to carry out “a screening of the reasons for calls on a sample basis”. In fact, in a memo from a meeting of some Acea office managers held on November 14, 2014, in addition to a problem of insufficient resources dedicated to the call center, the need to proceed in the future to: “Recording the reasons for contact: only the evidence of recurring reasons for contact can lead to the identification of the most appropriate actions to reduce calls. Today, no ad hoc reporting is available both because the CRM Confluence is not used to record interactions (only operations in the system are evidenced), and because the tree of reasons for contact may not be sufficiently detailed (...).”</w:t>
        <w:br/>
        <w:t>93. Regarding complaints and requests for service/information received in writing, according to the organizational structure resulting from the inspection conducted in April 2015, it appears that these are routed to the General Protocol of Acea S.p.A. and that, starting from March 2014, operators from [omissis] also participate in these operations at the time of delivery of the correspondence, as indicated by the same professional during the inspection checks. The scheme below illustrates the process followed by written complaints, from arrival to assignment to the Complaints Unit.</w:t>
        <w:br/>
        <w:t>94. From the examination of the above procedure, it appears that the General Protocol scans the complaint/request and registers it. The registered documents are subsequently transmitted to the Complaints Unit. This phase can also take a long time. During the inspection checks, the complete list of requests qualified by Acea as commercial complaints (R100), received in the period between November 2012 and April 2015, was indeed acquired, from which the identifying data of the users, the protocol date of the requests/complaints, and the date of “registration” (recte “Date [of] Registration”) of the same in the user database are evident. From the comparison of these data from the complaints list with those deducible from the reports and the related correspondence exchanged with Acea - produced by the reporters - it was possible to ascertain that the communications from the professional to the users all bear a date later than that of “registration”.</w:t>
      </w:r>
    </w:p>
    <w:p>
      <w:r>
        <w:rPr>
          <w:b/>
        </w:rPr>
        <w:t>[Pages 160–162]</w:t>
      </w:r>
    </w:p>
    <w:p>
      <w:r>
        <w:t>162 BULLETIN NO. 50 OF JANUARY 25, 2016</w:t>
        <w:br/>
        <w:t>95. In other words, from this documentary verification it emerged that the date of "registration" coincides with the moment when the complaint is taken over by the Complaints Unit and that there is a time gap between the date of protocol and the actual takeover date (i.e. "Date [of] Registration") such that for a significant number of complaints/applications (for each year) the "registration" occurred after 30 days or more; the Service Charter generally provides for 30 days as the deadline for formulating a response.</w:t>
        <w:br/>
        <w:t>The underlying scheme indicates the average data of this time gap, occurring between the date of protocol and that of takeover by the Complaints Unit.</w:t>
        <w:br/>
        <w:t>Year Number of complaints Days elapsed (average data)</w:t>
        <w:br/>
        <w:t>2012 [omissis] [omissis]</w:t>
        <w:br/>
        <w:t>2013 [omissis] [omissis]</w:t>
        <w:br/>
        <w:t>2014 [omissis] [omissis]</w:t>
        <w:br/>
        <w:t>2015</w:t>
        <w:br/>
        <w:t>[omissis] [omissis]</w:t>
        <w:br/>
        <w:t>(until April 27, 2015)</w:t>
        <w:br/>
        <w:t>96. The inspection findings also revealed longer processing times for those complaints/applications that were addressed specifically to the Heads of the various organizational Units - as customers had already received a previous communication from Acea signed by the head of the office - since "these envelopes were resent to Ato 2 and were therefore not processed in a timely manner" until March 2014.</w:t>
        <w:br/>
        <w:t>97. Once the scanned complaints are received, the Complaints Unit enters the complaint's data into the computer system, distinguishing "commercial complaints" from "technical complaints," according to a procedure in effect since October 2014. Specifically, if the complaint is classified as commercial (i.e. it concerns, for example: billing, incorrect consumption readings, new meter installation) it is managed directly by the Customer Care Unit, utilizing - where necessary - the other involved Units (e.g. Billing Office); if it is classified as technical (i.e. it concerns, for example: water quality, work not performed according to standards, etc.) it is managed by the Operation, Maintenance - Planning, Engineering, and Works Units, which also utilize the services or interventions of technicians. Requests that concern, among others, transfers, refunds, bill duplicates, reports of water damage or damage to the system are not classified as complaints.</w:t>
        <w:br/>
        <w:t>114 More specifically, from the complaints list it appears that if we consider the applications/complaints received in 2015, [5-10%] of them report a "registration" date within a time interval of 30 to 55 days, a rate that rises to [10-20%] of the applications/complaints received where registration occurred (starting from) 28 days after the protocol. In 2014, it appears that [0-5%] of complaints were taken over by the Complaints Unit after a time interval of 30 to 282 days, while [5-10%] of complaints were "registered" starting from 28 days from the protocol date. Furthermore, in 2013, [50-100%] of complaints appear to have been registered within a time interval of 30 to 400 days; in 2012, [0-10%] of complaints were registered within a time interval of 30 to 57 days, while [10-15%] from 28 days onwards.</w:t>
        <w:br/>
        <w:t>115 See e-mail of March 26, 2014, "Acea Ato2/ [omissis] - Complaints Site," cited inspection document.</w:t>
      </w:r>
    </w:p>
    <w:p>
      <w:r>
        <w:t>BULLETIN NO. 50 OF JANUARY 25, 2016 163</w:t>
        <w:br/>
        <w:t>98. From an internal communication of March 2, 2015, it appears that "last year [2014 n.d.r.] the data published in the Sustainability Report regarding complaints of Ato 2 was as follows: For the water service, Acea Ato 2 received from the various municipalities under management (Rome and province) a total of [5,000-15,000] complaints/requests [5,000-10,000] commercial complaints and [1,500-2,500] requests) (...) This year, the data you provided me is presented as follows: For the water service, Acea Ato 2 received from the various municipalities under management (Rome and province) a total of [5,000-10,000] commercial complaints; a decrease of 7% compared to 2013. By December 31, [5,000-10,000] complaints were resolved (...): It is unclear whether [5,000-10,000] are only commercial complaints or also include requests. If they are only commercial complaints, the calculation of the percentage difference compared to 2013 is incorrect, as it should not be made on the total complaints/requests but only on the complaints (and would result in an increase rather than a decrease). Can you clarify this for me?" (original bold), to which the following communication is replied: "in 2013 it could happen that the Complaints, not yet perfectly organized (so much so that there was not even a Unit, formally established in 2014) were sporadically managed in the form of Requests, perhaps in Back office. Today we know with certainty the number of Complaints, and therefore it can be stated that there has been a decrease of [5%-10%]."</w:t>
        <w:br/>
        <w:t>99. Secondly, from the reports and related documentary attachments in the records, it emerges that Acea, once the complaint is registered in the system, proceeds to send a merely interlocutory communication. Indeed, in the illustrative slides of the procedure, used in a training course, it is indicated "regarding the complaints identified as the responsibility of the Billing Unit, it essentially provides to: (...) 2) mark the invoices subject to dispute with the BC label (...) 4) prepare a standard interlocutory letter in which it is specified that a subsequent note will provide a response on the possible acceptance and/or subsequent actions on the billing; 5) feed a complaints container that will then be analyzed by operators of the Billing Unit." A similar procedure, with prior sending of the interlocutory letter, is also provided for requests for tariff decriminalization for hidden leaks.</w:t>
        <w:br/>
        <w:t>100. Specifically, the interlocutory communication in question - also attached to many of the reports in the records - informs the customer of the takeover of the complaint and that "the collection of the disputed invoice(s) has been suspended and therefore recovery procedures will not be activated until the outcome of the verifications, of which we will provide feedback with a subsequent note. Finally, we remind you that for commercial reasons it may be useful to contact the toll-free number (...) or consult the website (...).</w:t>
        <w:br/>
        <w:t>101. Regarding the processing times of complaints/applications, the professional stated that in 2015 he would have resolved approximately [4,000-4,500] complaints, equal to over [90-100%] of those received (up to April 2015); a similar trend in 2014, given that out of [9,000-10,000] complaints received, the company resolved [90-100%]. The average response times would be [10-15] days in 2014 and [20-25] days in April 2015.</w:t>
        <w:br/>
        <w:t>These data are not confirmed in the inspection documents (see point 94), unless the declared rates of resolution of user applications/complaints are calculated by referencing the date of sending the interlocutory letter, thus attributing to it the same value as the response, in the terms regulated by the SII Charter.</w:t>
        <w:br/>
        <w:t>102. From the inspection documentation, it also appears, firstly, that there are numerous written complaints, marked with the label "X100," for which the operator does not provide a response due to the impossibility of obtaining feedback on the contested facts within its offices, involved in various capacities. The professional did not indicate the exact number of such complaints as he did not have that data, stating that based on "internal estimates" they would represent, in 2014, about [0-2%] of the complaints received.</w:t>
        <w:br/>
        <w:t>103. Secondly, it appears that the processing times of the complaint, after the interlocutory letter, are particularly long. In this regard, the internal emails to the offices - related to the investigations conducted on the complaints acquired during the inspection investigations - seem significant, from which it emerges that the formulation of the written response by Acea occurs on a case-by-case basis, with different non-proceduralized and uncontrolled modalities regarding the timing of formulating the "conclusive" response, not even concerning cases (such as, for example, hidden leaks, change of use from construction site to domestic) for which the delay in resolution is particularly prejudicial to the user.</w:t>
        <w:br/>
        <w:t>Thus, for example, in a case concerning a written complaint related to an invoice of about 1,200 euros for a possible hidden leak, submitted by registered mail on January 13, 2015, the interlocutory letter was sent on January 30, 2015, while Acea's response is dated March 25, 2015. Furthermore, in the case of the consumer who became part of the proceedings, the complaint was sent in December 2012, and Acea's first response is dated April 17, 2013.</w:t>
        <w:br/>
        <w:t>104. Moreover, the reports in the records and the related attachments show that the responses provided by the operator sometimes do not appear to be conclusive, have unclear or irrelevant content concerning the subject of the application or the dispute. Thus, among others, in relation to a complaint from a user dated January 9, 2015, for estimated excessive consumption, Acea responded on March 4, 2015, insisting that the bill was correct because it was "supported by actual readings," while the same attached invoice clearly states that it concerns estimated readings. Furthermore, emblematic in this regard is the case of the reporting party in the proceedings who, after being charged for the fees for purification and sewage services - not due as it is a construction site user - on December 5, 2012, filed a complaint with Acea requesting (i) the reversal of the fees for such services; (ii) clarifications regarding the wording in the bill "base/minimum rate engaged"; (iii) a copy of the activation contract for the "construction site" user not received at the time of signing. The professional, without following up on the complaint, issued a</w:t>
      </w:r>
    </w:p>
    <w:p>
      <w:r>
        <w:rPr>
          <w:b/>
        </w:rPr>
        <w:t>[Pages 163–165]</w:t>
      </w:r>
    </w:p>
    <w:p>
      <w:r>
        <w:t>BULLETIN NO. 50 OF JANUARY 25, 2016 165</w:t>
        <w:br/>
        <w:t>subsequent invoice (March 12, 2013) notifying the user of the non-payment of the invoices subject to complaint, after which it promptly requested payment with a notice of disconnection. The response to the complaint, as confirmed by Acea's defense documents, was sent on April 17, 2013, accepting the complaint regarding the reversal of sewer and purification fees, but failing to provide the requested clarifications regarding the meaning of the wording on the bill. In response to subsequent reminders from the user, Acea first replied on August 12, 2013, explaining that the contract "construction site use with a minimum commitment of 250 cubic meters/quarter" means that such consumption "is still due even if the consumption for the relevant period is lower"; and to the user's objections regarding the differences in the contents of the clauses in the signed contract, Acea responded with a communication on December 17, 2013 - reiterating what had already been indicated previously - while specifying at the same time that "the request (...) cannot be accepted due to lack of supporting documentation" without indicating which document should be produced125.</w:t>
        <w:br/>
        <w:t>105. In the event of a dispute or complaint concerning overestimated invoices, the evidence acquired during the proceedings shows that - in the billing management system existing at the time of the inspection assessments - Acea does not proceed to adjust the estimates when entering the reading data. To prove this, it is sufficient to recall (by way of example) what happened to a condominium in Rome126 whose allegations show, on the one hand, the acceptance of the complaint by Acea (September 5, 2014) for estimated consumption in excess and consequent re-invoicing based on the actual consumption reported by the user. On the other hand, Acea continued to demand payment for the amounts invoiced in excess by depositing payment reminders for alleged arrears in the mailboxes of the condominiums (on September 9, 2014) as well as carrying out the related disconnection.</w:t>
        <w:br/>
        <w:t>106. Furthermore, the procedure in use by the professional provides that the initiative to interrupt the forced collection and the subsequent disconnection is left to individual, specific internal communications, which often do not occur, or are revealed to be late or made only following complaints about the disconnection of the user. The blocking codes (i.e. Disputed Bill, BC – Decriminalized Bill, BD), which the IT system links to the suspension of the collection procedure, are entered by the operator only at the time of examining the founded complaint; this processing occurs with a significant delay - on average about 20 days - from the date of receipt/protocol. Therefore, the codes can have a "blocking" effect only if: (i) the complaint is processed promptly; (ii) the code is actually entered in the customer database from which the billing system draws.</w:t>
        <w:br/>
        <w:t>107. In this regard, it is significant that from the list127 of users who requested decriminalization - acquired during the inspection assessments - there are, in 2015, many requests that have not yet been processed despite the request having been received several months earlier; regarding the previous years (2014, 2013), there are processing times, in numerous cases, of several months. In these cases, the failure to enter the blocking code BD (decriminalized bill) exposes, with high probability, the user to disconnection due to the short times of the procedure for arrears.</w:t>
        <w:br/>
        <w:t>With reference, instead, to users who have filed complaints regarding the invoices - these are cases in which the insertion of the blocking code BC (disputed bill) is provided to avoid disconnection - the inspection evidence shows the almost total lack of (i) documentation certifying the analysis of the phenomena from which the complaints about the invoices by customers originate, except for the case of complaints regarding the request for meter change128; (ii) reports on the reasons (e.g. non-delivery of invoices, incorrect reading, estimated bill in excess, etc.), on processing times, and on the outcomes of users' requests/complaints.</w:t>
        <w:br/>
        <w:t>In this regard, an internal communication is significant in which, regarding a request from the Authority for the Integrated Water Service of the Lazio Region, dated April 21, 2015, concerning a request for access to Acea's "complaints register," the offices of the professional state: "But do we need to have a complaints register? According to which law?"129.</w:t>
        <w:br/>
        <w:t>108. From another perspective, the evidence in the records shows that Acea proceeds to initiate the disconnection procedure and to carry it out even in the presence of detailed and/or documented complaints. Thus, for example, in an email it reads: "I ask you to suspend the disconnection on the user in question as the customer has requested tariff decriminalization for hidden loss." Furthermore, in another internal communication dated April 23, 2015, it reads: "Ms. (...) holder of the supply [omissis] contacted us informing us that her meter has been removed. There is no order of intervention in the system (...)"130. In this case, the user, residing in Rome () [omissis], filed a complaint for the charge of anomalous consumption due to hidden losses, nevertheless Acea (with a letter dated February 27, 2015, attached to the email) continued to send payment reminders for the contested amounts with threats of disconnection. Moreover, the same professional, in response to a report in the records, admitted that while a complaint was pending, the customer suffered disconnection of the supply because due to "a technical problem not attributable to the user" the invoices and payment reminders would have been sent by Acea elsewhere131.</w:t>
        <w:br/>
        <w:t>109. From the reports in the records, there are also numerous illegitimate disconnections carried out without the corresponding "order," even in the presence of legal actions132. In fact, during the inspection assessments133, communications of the type were acquired: "I am forwarding another report of incorrect disconnection. The customer (...) condominium administrator calls on behalf of the user [omissis] erroneously disconnected. This user does not have disconnection orders. The technician left a note indicating the user to be disconnected [omissis] (which indeed has a disconnection order)." In response to these complaints, the Acea Technical Office specified: "For user [omissis] there are no disconnection interventions for arrears but only an intervention for a complaint regarding billing for the Tivoli area. For user [omissis] there is no disconnection order but only an order to install a meter in the Rome Lunghezza area." And again, another communication acquired during the inspection134 reports "sorry again attached is a reminder from Acea inconsistent with the correspondence that has taken place but pressing for deadlines (...) an additional reminder sent to the user with a threat of disconnection." Regarding the complaint of a condominium, from an internal communication dated November 19, 2014135 it appears that: "At the time of writing, the user has been reactivated. It was disconnected on November 11, 2014, and was restored on November 14, 2014. I cannot deny that there was a problem, likely related to a misalignment of the user information system, as we should have taken into account the payments that the Customer had actually made in the correct times and manners. The failure to register the payments sent via fax caused an error for which we will apologize in the response to the complaint, in addition to exempting him from the costs provided for disconnection operations, which the undersigned Manager resorts to in cases of a similar nature." Sometimes, the discomfort caused to the user due to the failure to process the complaint has lasted for months136, with the professional admitting: "It is true that this user was unjustifiably disconnected from 04/08/2014 to 05/30/2014, so the discomfort actually lasted for almost two months and for this period we can take responsibility."(...)</w:t>
        <w:br/>
        <w:t>110. The inspection evidence finally shows that from the failure or insufficient processing of complaints/requests, a significant litigation has arisen for which the professional conducts an investigative activity that frequently leads to the acknowledgment of the grievances raised with proposals for settlement. For example, in one communication137 it is indicated that: "Acea Ato 2 Spa is willing to settle the indicated judgment under the following conditions: - reduction of the amount requested with invoice no. 2011 0002146577 for € 2,787.32, already paid by Mr. [omissis], by € 1,078.13, with the issuance of a corresponding credit note for € -1,078.13 and actual reimbursement of this amount via bank transfer; payment of a partial contribution to legal costs. The proposed reduction of the bill in question, originally quantified based on estimated consumption (an eventuality that the contract allows), was made by the Company adopting as a parameter the actual average consumption recorded after the installation of the new meter, a method provided for by the User Regulation in the case of incorrect functioning of the measuring device." However, it specifies in the subsequent communication that: "as you can see, the counterparty would also like the disconnection and reconnection costs, amounting to 200 euros flat. In my first email, I emphasized that the collection of estimated consumption was lawful (and, consequently, the disconnection in case of non-payment was lawful) precisely to prevent a request in this sense. But it was still formulated. I propose to pay this reimbursement, given the small amount and the substantial "undue" nature of the originally invoiced amount. Moreover, if the customer had actually contested...</w:t>
      </w:r>
    </w:p>
    <w:p>
      <w:r>
        <w:rPr>
          <w:b/>
        </w:rPr>
        <w:t>[Pages 166–168]</w:t>
      </w:r>
    </w:p>
    <w:p>
      <w:r>
        <w:t>168 BULLETIN NO. 50 OF JANUARY 25, 2016</w:t>
        <w:br/>
        <w:t>before the disconnection the advance invoice would be fully justified and the disconnection and reconnection costs should be reimbursed de plano." and what is more significant is the further admission of the professional according to which: "And I add. If we only realize now that the meter was broken and that therefore the consumption has been estimated in excess, we must assume that if we had acknowledged this fact in time and had rectified the invoice in a timely manner, the user would have paid it and we would not have reached the disconnection. Therefore, it is correct that in the context of the rectification the disconnection and reconnection costs are also refunded." Furthermore, in another internal communication dated March 2, 2015, the willingness to settle is expressed as the professional acknowledged that "we should not have disconnected the user since the payment at the time of disconnection had already occurred, so much so that we sent a letter of apology"138.</w:t>
        <w:br/>
        <w:t>Another settlement was proposed by Acea in relation to a lawsuit filed by a consumer139 due to the billing of particularly high amounts, amounting to about 5,000 euros, immediately after the replacement of the meter which would have led to an incorrect measurement of consumption; in this case, the professional, having noted that "the case is going badly" because "(...) temporally, this is exactly what happened: normal consumption, meter change, excessive consumption, verification, normal consumption," in trying to re-invoice the amounts proposed to "simulate the recalculation of the two high invoices issued after the meter change (2013/553343 and 2013/2787) with the consumption of the old meter that certainly works.(...)".</w:t>
        <w:br/>
        <w:t>iii) Charge of past arrears in case of requests for activation of a new user or transfer of an active user</w:t>
        <w:br/>
        <w:t>111. The consumption relationship between the SII manager and the consumer can arise: (i) with the conclusion of the supply contract and consequent activation of the user; (ii) with the request for transfer or takeover regarding an active user.</w:t>
        <w:br/>
        <w:t>112. From the documentation140 acquired during the investigation and considering the further feedback provided by the professional, it appears that Acea allows the variation (so-called transfer) in the ownership of the contract concerning a user already connected to the water network (active contract)138. Thus, the email dated March 2, 2015 "judgment [omissis] + others c/Acea, doc. isp., and other cases with settlement proposals included in the CONTROVERSY Folder.</w:t>
        <w:br/>
        <w:t>139 Thus the communication "I: Judgment [omissis] Rosa/Acea Ato2 before the Court of Civitavecchia. user [omissis]" dated May 19, 2014, acquired during the inspection investigations (doc. is, folder [omissis]) and related correspondence in chronology where, notably, it reads (email dated April 1, 2014): "(...) Mrs. [omissis] is suing us for a disconnection contesting the accuracy of two invoices received following a meter change, one for about 5,000 euros and another for about 2,000 against invoices that previously were around one hundred euros. In the appeal, the user claims that consumption returned to normal following a verification during which the technicians would have performed "mechanical maneuvers" on the meter. In fact, temporally, this is exactly what happened: normal consumption, meter change, excessive consumption, verification, normal consumption. Our witnesses should have dismantled this thesis, and therefore denied that maneuvers had been performed on the meter, although apparently these consisted of some blows given with the parrot in the presence of another witness who confirmed the circumstance. As can be seen from the minutes, the testimony was, shall we say, rather confused and does not seem to have convinced the judge who, in fact, confirmed the provision which, at the moment, concerns only the reconnection. Given how things went, and considering what [omissis] states, I would say to close the matter in a transactive manner proposing the re-invoicing of consumption based on the averages recorded on the old meter, given that apparently the one currently installed measures in deficiency.".</w:t>
        <w:br/>
        <w:t>140 Cf. guidelines in use by the operators of the Acea call center and Acea8Cento S.r.l. "GOCI_OFF_LINE", docs. 21-490, index doc. isp., Acea8Cento.</w:t>
      </w:r>
    </w:p>
    <w:p>
      <w:r>
        <w:t>BULLETIN NO. 50 OF JANUARY 25, 2016 169</w:t>
        <w:br/>
        <w:t>requesting the user to fill out a specific form. The form must include, among other things, the reading of the meter - which will be the starting point of the new contract - "the cessation data of the user relating to the outgoing Customer" as well as the details of the title of ownership of the property, since "the transfer of a user can only be requested if the applicant has a regular deed of ownership or a rental contract."</w:t>
        <w:br/>
        <w:t>113. If the user subject to transfer is affected by arrears, the transferee is required to produce "documentation proving the lack of debt that can be presented at the commercial counters of Acea Ato 2"141. In case of late transfer request concerning the availability of the property, from the procedures in use at Acea as well as based on internal communications to the Offices, it appears that the actual user of the service is required to pay the past arrears starting from the date of possession of the property142. Similarly, in another communication143, acquired during the inspection investigations at Acea8Cento, it appears that "in case of stipulation, with the presence of arrears on the user to be transferred or of a new contract with a different holder, in general and particularly with reference to requests following official disconnections, it is provided that, in addition to the submission of the request form duly and correctly filled out, the customer must provide a copy of the registered title of ownership.".</w:t>
        <w:br/>
        <w:t>114. In these cases, based on the feedback provided by the professional144, Acea would require the applicant to sign a specific declaration whereby he undertakes to pay the unpaid invoices related to the user subject to transfer, concerning the consumption recorded in the preceding period, attributable to him.</w:t>
        <w:br/>
        <w:t>115. From the evidence on record, there are no elements from which it can be inferred that charges have been made to third-party users, compared to the original holder of the supply, for arrears due to consumption not attributable to them.</w:t>
        <w:br/>
        <w:t>3) The defensive arguments of the Party</w:t>
        <w:br/>
        <w:t>116. With memoranda received on June 5, September 24, and November 9, 2015, as well as during the hearing145, the professional contested the non-existence of the unfairness of the commercial conduct indicated in the communication initiating the procedure and in the letter communicating the closing deadline of the investigation.</w:t>
        <w:br/>
        <w:t>On the lack of competence of the Authority</w:t>
        <w:br/>
        <w:t>117. The professional stated that the allegations made by the Authority would "mostly" concern matters governed by sector regulation, at national and local level, as the activities of operators in the water sector are subject to stringent regulation by AEEGSI and the Authority of the Optimal Territorial Area. In particular, Acea's activities would be regulated by the management agreement signed with the Territorial Optimal Authority 2 "Lazio Centrale Roma" on August 6, 2002; the agreement would also include the methods of determining the SII tariff and the related updates in order to ensure the economic and financial balance of the manager, in compliance with the principle of full cost recovery.</w:t>
        <w:br/>
        <w:t>According to Acea, there would also be a substantial overlap between the profiles subject to investigation in this proceeding and the regulatory interventions "completed or in the process of adoption" by AEEGSI. To exclude such overlap, according to Acea, the fact that AEEGSI has transmitted numerous reports to the Authority would not suffice as it would be "a forwarding without making any summary assessment of their content and therefore without waiving the powers attributed to it by the current legislation."</w:t>
        <w:br/>
        <w:t>On the alleged "extinction" of the Authority's sanctioning power</w:t>
        <w:br/>
        <w:t>118. The professional stated that it would be precluded for the Authority to exercise the power of ascertainment and sanction in this proceeding as the 90-day term for ascertaining the alleged infringement has expired in violation of what is provided for by Article 14, paragraph 2, of Law 689/1981. This is because in 2009, 2010, and 2011 the Authority conducted pre-investigation activities against Acea on issues subject to contestation in this provision so that the Authority should have exercised the powers provided for by the Consumer Code in "a reasonable time," that is, immediately after the deposit of the information and documents.</w:t>
        <w:br/>
        <w:t>On the uncertainty regarding the object of the proceeding and the alleged violation of the right of defense</w:t>
        <w:br/>
        <w:t>119. In recalling the conduct subject to the proceeding, Acea contests that in the letter containing the communication of the closing deadline of the investigation and the specification of the allegations dated October 29, 2015, there would be no references to the defensive arguments made by the professional - in his memoranda of June 5 and September 24, 2015. According to the professional, the allegations specified in the letter of communication of the deadline would have gone from four to five and "the object of the proceeding is still not clear and defined: such "fluidity" clearly undermines the duty of good administration of the administrative action and the rights of the party" making "the outcomes of the investigation completely unpredictable," contrary to the orientation recently expressed towards another professional, [omissis], operating in the same sector.</w:t>
        <w:br/>
        <w:t>120. Acea stated that it was not placed in a position to "protect its position" and that it was "exposed to evident discrimination" as there would have been uncertainty regarding the object of the proceeding, the duration of the conduct, and the formulation of the charges, resulting in a "serious compression of the right of defense." This would emerge with regard to the terms granted to the Party to respond to the Letter of specification of the allegations amounting to "19 calendar days," a term "clearly insufficient to allow the company to elaborate the appropriate defenses." The extension requested and obtained by Acea for "only 10 days" would confirm that "the initial term was indeed insufficient to fully respond to the wide range of charges." Furthermore, the professional believes that the incongruity of the defensive terms would also emerge from the comparison with the proceeding conducted against [omissis] where the duration was 320 days "for a number of allegations that "is even lower than that of the proceeding" thus preventing Acea from "benefiting from the same treatment reserved for professionals involved in similar cases."</w:t>
      </w:r>
    </w:p>
    <w:p>
      <w:r>
        <w:rPr>
          <w:b/>
        </w:rPr>
        <w:t>[Pages 169–171]</w:t>
      </w:r>
    </w:p>
    <w:p>
      <w:r>
        <w:t>BULLETIN NO. 50 OF JANUARY 25, 2016 171</w:t>
        <w:br/>
        <w:t>Acea emphasized that the principle of proportionality of administrative action and the functions of the Authority regarding commitments should "necessarily lead to the closure of the procedure without ascertaining any alleged infringement since: (a) these are the first organic interventions of the Authority regarding consumer protection in the SII sector; (b) the imposition of any sanctions could generate discrimination against the involved operators compared to the numerous other national managers not affected by the Authority's investigations; (c) the AEEGSI has announced regulatory interventions on numerous profiles subject to investigation (...); (d) the possible imposition of sanctions, instead of restoring the consumption relationship with users to ordinary methods, as hoped by the Authority, would further aggravate the already high level of litigation in the sector, favoring speculative positions and lending itself to instrumental uses."</w:t>
        <w:br/>
        <w:t>The professional also contests not only the rejection of the proposed commitments but also the subsequent rejection of the request for review, as the Authority would not have adequately taken into account the defensive elements produced by Acea during the investigation, from which it would have been possible to infer the absence of manifestly incorrect and serious conduct, with the consequent possible acceptance of the proposed commitments.</w:t>
        <w:br/>
        <w:t>On the arbitrary selection of evidence</w:t>
        <w:br/>
        <w:t>121. According to Acea, the letter clarifying the allegations "in addition to not providing sufficient elements for the identification of the charges and for the exercise of the right of defense of the party" would be based on a "unilateral, as well as arbitrary, selection of the available evidence in the case file" without recalling the defensive arguments made. In this way, the outcomes of the procedure would be "already predetermined" and the principles of contradiction and fair cooperation under Law 241/1990 "assume merely apparent value."</w:t>
        <w:br/>
        <w:t>Furthermore, the acceptance of the request for participation in the procedure by the Municipality of Fara in Sabina is contested due to the declared absence of the prerequisites referred to in Article 10 of the Regulation on investigative procedures, as such Municipality (i) would not belong to ATO 2 managed by Acea; (ii) would purchase drinking water wholesale from Acea and would directly manage user relations. According to the professional, the Municipality of Fara in Sabina would not represent a public interest on behalf of the interested citizens but in its capacity as a "sub-distributor," within a commercial relationship with Acea.</w:t>
        <w:br/>
        <w:t>On the failure to evaluate the reference context</w:t>
        <w:br/>
        <w:t>122. The reference context in which Acea operates would be characterized by certain critical issues specific to the managed municipalities and the management methods that, combined with the "pervasive existing regulation" regarding the SII, should have led the Authority to exclude any unfair commercial practices.</w:t>
        <w:br/>
        <w:t>On the first point, the Party highlighted that the management of the SII concerns the Municipality of Rome and 76 other municipalities and that, previously, it was a "self-managed" operation; there would be many municipalities that have not been able to provide Acea with a complete and reliable customer registry; others would not have been able to provide usable consumption readings (equal to zero or "estimated presumptions" prolonged over the years). The user would be "historically accustomed to the free enjoyment of the water service, as the related costs were supported by general taxation." This would have generated difficulties in "establishing a correct consumption relationship with users" as well as consistent "with the principle of the tariff, as a consideration for the service, determined based on the full coverage of the related costs."</w:t>
        <w:br/>
        <w:t>123. According to the professional, the Authority would have fallen into the misunderstanding of not considering what was established by jurisprudence (Constitutional Court ruling 67/2013 and TAR Lombardy Milan ruling 7797/2014) which would have reiterated the "nature of the local public service of economic relevance of the SII, with the consequence of being a service subject to the rules of competition and necessarily subject to the rule (also of community derivation) of the so-called 'full cost recovery'" that is "the mandatory coverage of costs incurred by SII managers."</w:t>
        <w:br/>
        <w:t>Moreover, most complaints and allegations would concern municipalities other than the Municipality of Rome as a result of "a difficult transition from the traditional management methods of the service, by individual municipalities, to an organization inspired by criteria of efficiency and economic balance." Such critical issues would be compounded by the "inadequacy of the water network, plants, infrastructures, and purification systems on which it would be necessary and appropriate to invest immediately," which, however, would be precluded to SII managers "by the impossibility (...) of achieving economic balance in the face of widespread cases of default and the difficulty of recovering the related credits."</w:t>
        <w:br/>
        <w:t>This context would require, from a regulatory and regulatory perspective, an intervention of reorganization by the involved sector Authorities. There would be some elements of difficulty generated by the rulings of the Constitutional Court no. 335/2008 regarding the reimbursement of the tariff portion related to the purification service and the management of "previous balances."</w:t>
        <w:br/>
        <w:t>In the perspective of improving relations with users, Acea would have initiated the implementation of the SAP project called "Project WFM – Work Force Management" which "will determine a further refinement of the management of internal procedures (...)" with a financial commitment equal, to date, to [10-30] million euros. For this reason, the Authority is invited to evaluate "the importance of this transition and the absolute peculiarity (...) of this IT system" as it concerns the general revision of all processes affecting Acea which, in this way, would demonstrate a "higher professional diligence, superior to that of other operators in the sector."</w:t>
        <w:br/>
        <w:t>On the unfounded nature of the reports submitted in the records and the allegations</w:t>
        <w:br/>
        <w:t>124. With reference to the reports mentioned in relation to the specific allegations, transmitted by AEEGSI or received by the Authority, Acea argued the unfounded nature of the claims, having the professional "demonstrated how many of them are completely unfounded" and that the complaints "express by their nature partisan positions, linked, in some cases, to individual interests and, in other cases, to political opinions (often demagogic and populist) that have nothing to do with the correctness of the corporate management system adopted by the Company."</w:t>
        <w:br/>
        <w:t>Acea also emphasized that regarding the conduct subject to observations in the communication of the initiation of the procedure, the profiles of unfairness contested would not exist, as the professional has proven to have performed services within the times and according to the procedures provided by the SII Charter.</w:t>
      </w:r>
    </w:p>
    <w:p>
      <w:r>
        <w:t>BULLETIN NO. 50 OF JANUARY 25, 2016 173</w:t>
        <w:br/>
        <w:t>On the improvement measures proposed by the professional, resulting from the implementation of the new IT platform</w:t>
        <w:br/>
        <w:t>125. Acea stated that before the initiation of the procedure by the Authority - starting from March 2015 - a program for a comprehensive revision of corporate procedures had been approved - represented by the project developed by the "specialized SAP" operator, called "Project WFM," which provided for the realization and implementation of a new IT platform mentioned several times during the procedure. Specifically, the potentials of the new IT system were illustrated for the first time at the end of the investigation and, precisely, within the concluding memorandum sent on November 9, 2015. In its writings, Acea stated that it completed the installation of the new SAP platform on September 28, 2015, describing some of its potentials and the times in which it expects to put its use into operation regarding certain specific functionalities. The adoption of these measures, according to Acea, "should not be understood as acquiescence, even partial, regarding the charges made by the Authority against Acea ATO 2, which reserves all defenses, exceptions, and remedies in the event that the Authority does not consider accepting the measures described below."</w:t>
        <w:br/>
        <w:t>The implemented measures would touch - according to the professional - the various profiles subject to investigation coinciding with those reported below.</w:t>
        <w:br/>
        <w:t>Improvement measure no. 1 – Procedures regarding the activation of construction use.</w:t>
        <w:br/>
        <w:t>- Starting from September 28, 2015, when a "construction use" user is activated, the "amount of water to be treated is immediately committed also for the future, with a sort of 'reservation' of the volumes of the reference treatment plant that will therefore always be available at the time of transformation into 'domestic use' or 'mixed' user in order to definitively resolve the problem 'emerged episodically in the past' of the 'delay in the transformation of users from 'construction use' to 'domestic use' due to the saturation of the treatment plants, a phenomenon that would not be attributable to Acea. A new method of estimation and billing would also be available that would inform the customer, at the time of initiating the procedure, "the times and costs for the transformation of users."</w:t>
        <w:br/>
        <w:t>Improvement measure no. 2 – Activation of call center, web, and app services for commercial operations.</w:t>
        <w:br/>
        <w:t>Starting from September 28, 2015, all commercial operations that could previously be carried out at the physical counter - including the activation of "construction use" users - can be performed via call center, while from December 2015 to March 2016, further methods will be activated via web and app for the enjoyment of such services.</w:t>
        <w:br/>
        <w:t>Improvement measure no. 3 – Procedure for the installation of new meters.</w:t>
        <w:br/>
        <w:t>Starting from September 28, 2015, interventions are "carried out in the contact management system (CRM) that natively interacts with the technical intervention management system (SAP PM)"; in this way, it would be possible to "automatically" identify the availability, in terms of time, of the resources operating in the territory, in order to ensure compliance with the times set by the service charter. To this end, from September 1, 2015, Acea would have also expanded the working shifts of the "operational teams."</w:t>
      </w:r>
    </w:p>
    <w:p>
      <w:r>
        <w:rPr>
          <w:b/>
        </w:rPr>
        <w:t>[Pages 172–174]</w:t>
      </w:r>
    </w:p>
    <w:p>
      <w:r>
        <w:t>BULLETIN NO. 50 OF JANUARY 25, 2016</w:t>
        <w:br/>
        <w:t>Improvement Measure No. 4 – Readings and adjustment of consumption.</w:t>
        <w:br/>
        <w:t>Acea has declared that “Unlike in the past, when the reading and billing processes were temporally disjointed, today they are closely related. For each portion of customers, the reading is carried out and then received by the system in real time.” Within 5 days thereafter, the reading would be used for the calculation and issuance of the invoice “through a daily reading and billing detection calendar, whereas in the past the billing frequency was massive and concentrated over a few days.” The professional also stated that “Progressively, from 28/9/2015 and by the second half of 2016, the complete internalization of the reading detection process will be realized” which will no longer be entrusted to external readers. On the contrary, the reading will be detected by Acea operators “through a device that in real time acquires the reading, validates it according to the system control parameters, and makes it immediately available for billing”; photographs of the meters and geographical coordinates will be acquired – from now on. If during the detection “particularly significant and potentially anomalous consumption” should emerge, it will be the operator’s responsibility to “immediately inform the customer so that possible leaks or malfunctions of the meter can be jointly verified.” It is also provided that the operator can immediately activate meter replacement interventions.</w:t>
        <w:br/>
        <w:t>With the implementation of the new platform, it will be possible to: (i) assess the opportunity to modify the frequency of reading detections, increasing their number; (ii) automatically update the average consumption at each actual reading detected and billed (whereas in “the past this update occurred in a non-automatic manner, but through the launch of specific procedures”); (iii) “parameterize or determine the estimate of consumption to be billed in different ways, in order to progressively reduce billing based on estimates and subsequent adjustments.”</w:t>
        <w:br/>
        <w:t>According to the professional, the procedure in question – “with the progressive adjustments that will be implemented in the coming months” - would resolve “at its root” the issues related to the measurement of consumption and subsequent billing to “confirm the utmost attention of the operator to such issues regardless of the interventions of this Authority” as well as based on programs and investments decided before the start of the procedure.</w:t>
        <w:br/>
        <w:t>Improvement Measure No. 5 – Acquisition of self-readings.</w:t>
        <w:br/>
        <w:t>Acea assures that with the implementation of the new platform all channels for acquiring self-readings (web and APP by March 2016) will be aligned and will operate in the same manner. Additionally, the following will be introduced: (i) an “automatic alert” in case the reading communicated by the customer through the available channels is not congruent, meaning “the customer is immediately notified, with the call being forwarded to the company’s call center or an invitation for the user to contact the call center” in order to inform them of the non-use of the communicated reading; (ii) the indication on each invoice of the date of the next billing with an invitation/possibility for the customer to send the self-reading in time for issuance. These systems “radically resolve the issues subject to this Procedure.”</w:t>
        <w:br/>
        <w:t>Improvement Measure No. 6 – Management of adjustments in favor of users.</w:t>
        <w:br/>
        <w:t>The refund measures would have been simplified to provide for compensation or the issuance of credit notes in favor of the user based on parameterized amount thresholds. In the past “the refund was made through the issuance of bank checks (circular and non-transferable) not en masse but individually.” Currently, it is provided that: (i) a weekly automatic compensation program is executed that offsets “user debts and credits”; (ii) a massive extraction program is adopted “for the automatic issuance of refunds by postal check in VIDAUT mode (non-transferable circular check with delivery via insured mail) for amounts greater than or equal to 2500 euros”; (iii) if the check is not delivered or cashed “within the expiration of three months, the amount becomes available again on the customer’s account statement for possible compensations or further refund actions”; (iv) the customer can always request a refund via bank transfer; (v) “the issuance of massive bank transfers” is being implemented for customers who have requested the direct debit of invoices, through the same current account. According to the professional, these measures would be suitable to “overcome any disputes on such aspects.”</w:t>
        <w:br/>
        <w:t>Improvement Measure No. 7 – Delivery of invoices and monitoring activities.</w:t>
        <w:br/>
        <w:t>The activities of issuing and delivering invoices will improve in terms of reducing the time for: (i) the calculation and issuance of the invoice “e.g. 15 minutes to calculate about 20,000 invoices”; (ii) production of the spool; (iii) verification of the print preview; (iv) allowing the printer and deliverer to plan activities as “the daily billing calendar is known.” Such improvements would make the system even more efficient although, Acea emphasizes, the AEEGSI in the electricity sector has set a payment term for the invoice equal to 20 days from issuance.</w:t>
        <w:br/>
        <w:t>Improvement Measure No. 8 – Issuance of the final bill following contract termination.</w:t>
        <w:br/>
        <w:t>The professional stated that the issuance of the final bill starting from September 28, 2015, will occur “the day after the meter retrieval intervention” so that the user becomes aware of “the termination of the contract and obtains evidence of the amounts still due.”</w:t>
        <w:br/>
        <w:t>Improvement Measure No. 9 – Replacement of meters; verification procedures by the customer.</w:t>
        <w:br/>
        <w:t>In the case of massive meter replacements, in the first phase of the new system, “the possibility of generating a letter for the customer who is the contract holder on which the meter change has occurred” is provided while the latter is available for 120 days (calendar days) at the company’s central warehouse for any inspection by the customer. In the second phase of the new system, “the automatic sending of the communication upon replacement will be implemented, reporting the data of the old and new meter.” These activities would resolve any disputes regarding the involvement of the user in the phases of meter replacement” since in the presence of a “malfunctioning or obsolete meter” the customer “would risk receiving invoices not corresponding to actual consumption.”</w:t>
        <w:br/>
        <w:t>Improvement Measure No. 10 – Automatic alert in case of anomalous consumption.</w:t>
        <w:br/>
        <w:t>The professional, in stating that he is unable to distinguish ex officio between the two different situations of anomalous consumption “due to malfunction or simply due to a change in consumption habits” indicated that, by the first quarter of 2016, “a personalized message will be introduced on the invoice for all customers who will be billed plausible consumption exceeding the control thresholds and that are particularly high” in order to allow the customer to easily check the status of their consumption “in the perspective of a conscious use of the water resource.”</w:t>
        <w:br/>
        <w:t>Improvement Measure No. 11 – Changes to the decriminalization procedure.</w:t>
        <w:br/>
        <w:t>The changes made to the reading detection and billing system have positive implications also on issues related to hidden losses. While emphasizing that the regulation in this area is dictated by the Municipality of Rome and AATO 2, Acea has stated that the possibility of resorting to the benefit multiple times in the life of the user, provided that all other prerequisites are present to prevent opportunistic behavior, would be under examination by the Conference of Mayors - competent to adopt changes to the user regulation.</w:t>
        <w:br/>
        <w:t>Improvement Measure No. 12 – Management of complaints.</w:t>
        <w:br/>
        <w:t>The structure responsible for managing complaints as of September 28, 2015, has undergone a reorganization in order to merge into “a single unit (…) also the management of “technical” complaints so that the “alleged process inefficiencies” would be eliminated and “the possibility that some complaints, due to their “hybrid” content or difficult to classify at first analysis, are temporarily untreated is excluded.” Furthermore, among the changes are: (i) from the Complaints Office it will be possible to “activate field interventions that will be scheduled and entered into the calendar with WFM processes”; (ii) the extension of the methods for submitting complaints via “fax or e-mail”; (iii) the document management system (Document Management System - DMS) and the CRM (Consumer Relationship Management - CRM) will ensure that information will be available to all interested parties in real time (“automatic connection with the CRM” of customer management) so that “in the case of justified complaints, it will be technically impossible to initiate the debt recovery procedure (…) in the case of justified complaints and, in any case, for all those pending a response, indeed, no recovery actions (BC) will be undertaken similarly for requests for tariff decriminalization (BD) that have no relation to the complaint; (iv) all operations regarding the “resolution of customer requests” can also be handled by Acea’s “call center.” The professional clarified that telephone complaints regarding “requests for billing corrections or installment payments” even in the context prior to the implementation of the new platform were “resolved immediately.”</w:t>
        <w:br/>
        <w:t>Improvement Measure No. 13 – Accounting for user payments, via RID.</w:t>
        <w:br/>
        <w:t>Acea, to address episodes of initiating debt recovery actions in the presence of payments made by users but not successful due to reasons attributable to Credit Institutions, has provided that in case of communication from [omitted] or a Bank of the existence of a default, it will proceed as follows: (i) immediate notification to the customer for all phases following the notification of the default; (ii) resubmission of the collection request for certain reasons such as (for example) temporary insufficient funds as well as the blocking of late payment interest; (iii) in particular cases, such as “closure of current account” or “non-existent SEPA mandate,” revocation of the payment mandate and sending an additional communication to the customer.</w:t>
        <w:br/>
        <w:t>Improvement Measure No. 14 – Disconnection procedures for non-payment.</w:t>
        <w:br/>
        <w:t>Regarding disconnection procedures for non-payment, Acea has provided: (i) in case of availability of the customer’s telephone number, “before sending the registered letter, the Company sends a</w:t>
      </w:r>
    </w:p>
    <w:p>
      <w:r>
        <w:rPr>
          <w:b/>
        </w:rPr>
        <w:t>[Pages 175–177]</w:t>
      </w:r>
    </w:p>
    <w:p>
      <w:r>
        <w:t>BULLETIN NO. 50 OF JANUARY 25, 2016 177</w:t>
        <w:br/>
        <w:t>voice message to the fixed phone numbers and an SMS to the mobile phone numbers"; (ii) in case of availability of the customer's email address, the above "reminder" is sent via email before the registered letter; (iii) the customer is notified of the sending of the registered letter through the same channels; (iv) regarding condominiums, a new text for the "flyer" has been adopted to notify the disconnection of the supply, indicating "the amount of the arrears and the details of the registered letter sent." The flyer would be delivered by internal personnel of the Company who "is required to confirm the delivery order, providing absolute certainty on the delivery date" while the subsequent disconnection order can only be initiated after the positive confirmation of the flyer distribution. The professional also indicated that in the new system, the creation of disconnection work orders (ODL) "is subject to the sending of the prescribed communications to the customers." In the first phase of implementation of the new project, "an ODL is provided which preemptively activates a flyer campaign for supplies that fall within the scope of arrears" which is preventive "with respect to the generation of ODLs for the suspension of supply and allows informing also the residents in the condominiums" since "the other communications are sent to the Administrator who, as demonstrated during the Procedure, is not always diligent in communicating to the Company and the same condominiums any significant changes regarding the user relationship."</w:t>
        <w:br/>
        <w:t>Furthermore, Acea has stated that the new measures provide for: (i) the association of interventions for arrears to each delinquent supply point; (ii) the geolocation of the meter and photographic material are also consultable from the field, in order to better guide the operator performing the disconnection; (iii) the operator is connected with the dispatcher room where the other technicians are located in order to resolve any anomalies in the registries.</w:t>
        <w:br/>
        <w:t>V. AEEGSI OPINION</w:t>
        <w:br/>
        <w:t>126. Considering that the commercial practices subject to this provision concern the integrated water services sector, on November 10, 2015, AEEGSI was requested to provide its opinion pursuant to Article 27, paragraph 1-bis, of the Consumer Code.</w:t>
        <w:br/>
        <w:t>127. In an opinion received on December 11, 2015, AEEGSI made a series of general considerations regarding the water sector. AEEGSI also provided some information acquired by the Regulatory Authority during the proceedings initiated against two operators of the integrated water service (SII) operating in geographical areas different from those of Acea Ato 2. AEEGSI did not make specific observations regarding the individual conducts contested to Acea Ato2.</w:t>
        <w:br/>
        <w:t>In its opinion, AEEGSI preliminarily highlighted that the SII sector is configured as a natural monopoly in which no competitive dynamics would develop other than "competition for the market" where the contracting authority decides to resort to competitive tools for the selection of the managing entity. By virtue of this characteristic, this sector would be entirely regulated by virtue of: (i) either national measures (e.g., DPCM April 29, 1999 "General reference framework for the preparation of the integrated water service charter") and local measures (e.g., SII Charters adopted by the Area Authorities); (ii) the regulatory interventions provided by AEEGSI (draft of definitive provision DCO 560/2015/R/IDR) which should be adopted by the end of 2015 and come into force in July 2017.</w:t>
      </w:r>
    </w:p>
    <w:p>
      <w:r>
        <w:t>178 BULLETIN NO. 50 OF JANUARY 25, 2016</w:t>
        <w:br/>
        <w:t>On the fight against arrears and the related disconnection regulations.</w:t>
        <w:br/>
        <w:t>128. Regarding the actions for debt recovery by the operators, AEEGSI emphasizes the need to take into account the high levels of arrears that characterize the water sector indicating, in a specific table, that in the Lazio, Abruzzo, and Molise Regions the arrears rate is [5-15]% - corresponding to fourth place out of eleven levels - which translates into burdens on all users since, applying the principle of full cost recovery provided by the sector regulations regarding the SII, the costs of arrears would ultimately lead to a generalized increase in tariffs.</w:t>
        <w:br/>
        <w:t>129. The reasons for the levels of arrears, higher than those of the energy sectors, lie according to AEEGSI, largely in the historical perception of the SII as a free service - previously financed through general taxation and characterized by a very low level of investments - of which the user, unlike in the energy sectors, would not perceive the industrial and environmental costs.</w:t>
        <w:br/>
        <w:t>On the detection of consumption and the consequent billing.</w:t>
        <w:br/>
        <w:t>130. AEEGSI highlights that, at present, there is no regulatory or legislative provision that imposes on operators the billing of the SII solely based on actual consumption. Furthermore, resorting to billing based on estimated readings "avoids the additional costs that would arise from using actual readings for each billing" in addition to "being unavoidable where access to the meters is objectively problematic."</w:t>
        <w:br/>
        <w:t>131. The possibility of "billing estimated consumption - also allowed by the DPCM of 1999 - is generally accompanied by the obligations provided in the Service Charters regarding attempts to read and the provision of a self-reading system," Service Charters which are subject to the competence of the Area Authorities.</w:t>
        <w:br/>
        <w:t>132. On this front, AEEGSI emphasizes that the behavior of the operator "can therefore be censurable from the point of view of diligence if it is shown that it has not made the prescribed attempts to read or that, for the formulation of estimates, it has not used the actual measurement data at its disposal."</w:t>
        <w:br/>
        <w:t>On past balances.</w:t>
        <w:br/>
        <w:t>133. AEEGSI has merely highlighted that such adjustments have been considered legitimate by the administrative jurisprudence, having not found any conflict with the principle of non-retroactivity of tariffs, and that no approval method by AEEGSI is provided for such adjustments.</w:t>
        <w:br/>
        <w:t>On hidden losses.</w:t>
        <w:br/>
        <w:t>134. According to AEEGSI, based on the SII Regulation, the operator is responsible for the functioning of the infrastructures and networks only up to the meter, while the user is responsible for the system downstream of the meter. In this context, "therefore, there is no obligation on the part of the operator to bear the costs associated with malfunctions or failures of private systems - including hidden losses that may occur in the system downstream of the meter - costs that would ultimately fall on all users by virtue of the principle of full cost recovery."</w:t>
        <w:br/>
        <w:t>135. The Regulator also notes that "it would not be rational to impose on operators the granting of discounts on volumes of water actually supplied and accounted for by the meter (…), even if connected to failures of the private network such as hidden losses, since, on the one hand, this would lead to an increase in costs" and, therefore, of tariffs for all users "who would bear the aforementioned additional burdens," and "on the other hand, this could disincentivize the proper maintenance of systems by users and even encourage possible abuses," especially considering the "difficulty in accurately identifying the moment when the hidden loss arises and thus attributing consumption to actual uses or those resulting from the loss."</w:t>
        <w:br/>
        <w:t>136. In light of these considerations, while maintaining the need for transparency and proper communication towards users, according to AEEGSI, the "behavior of the operator could therefore be abstractly censurable if it has not made the attempts to read or receive the self-readings provided by the Service Charter, thus causing a possible delay in identifying the loss."</w:t>
        <w:br/>
        <w:t>On the suspension of disconnection procedures in the event of a pending complaint</w:t>
        <w:br/>
        <w:t>137. AEEGSI has highlighted that in the electricity and gas sector "it deemed appropriate not to provide that the mere submission of a complaint entails the prohibition of suspending the supply for arrears." This is because it considers necessary "to balance the user's need to obtain a conclusive and accurate response to their complaints regarding billing with the need not to incentivize opportunistic behaviors," the effects of which in the specific case - due to the high levels of arrears - impact the tariff and, therefore, all users. AEEGSI also emphasizes that in the energy sectors, the current regulation prohibits the seller from requesting the suspension of the supply only in the case where - in the face of a complaint for anomalous billing of consumption - the seller has not provided the user with a reasoned response.</w:t>
        <w:br/>
        <w:t>On communications to users regarding applied tariffs.</w:t>
        <w:br/>
        <w:t>138. AEEGSI notes that pursuant to Article 10 of its resolution of December 28, 2012 no. 586/2012/R/IDR, entitled "Approval of the first directive for the transparency of billing documents of the integrated water service," it is "necessary and sufficient that 'The bill reports the values of the tariff applied to the final user and the last update, indicating completely the regulatory source and the body from which it derives."</w:t>
        <w:br/>
        <w:t>VI. CONCLUDING EVALUATIONS</w:t>
        <w:br/>
        <w:t>Preliminary observations: the Authority's competence and respect for defense rights</w:t>
        <w:br/>
        <w:t>139. As a preliminary matter, regarding the exception of incompetence of the Authority raised by Acea in its defense memos, it is noted that it does not merit acceptance for the reasons that follow.</w:t>
        <w:br/>
        <w:t>140. First, it is highlighted that the present proceeding concerns complex commercial practices characterized by aggressive profiles, which do not translate into a mere lack of professional diligence, but present a quid pluris represented by the undue conditioning exercised by the professional towards consumers.</w:t>
        <w:br/>
        <w:t>141. Secondly, contrary to what Acea asserts, the conducts examined in this proceeding are not subject to regulation by AEEGSI. Aside from the transparency of billing documents (regulated only by resolution 586/2012 of December 28, 2012), the other</w:t>
      </w:r>
    </w:p>
    <w:p>
      <w:r>
        <w:rPr>
          <w:b/>
        </w:rPr>
        <w:t>[Pages 178–180]</w:t>
      </w:r>
    </w:p>
    <w:p>
      <w:r>
        <w:t>180 BULLETIN NO. 50 OF JANUARY 25, 2016</w:t>
        <w:br/>
        <w:t>aspects related to contractual quality146 - as noted by AEEGSI itself in the opinion and acknowledged by the same professional in the final memorandum - are currently subject to a consultation procedure that has not yet resulted in the adoption of a definitive measure. Within this consultation, AEEGSI has proposed that the new provisions contained in the definitive measure come into effect gradually, starting from July 1, 2016; therefore, until June 30, 2016, the previous regulatory measures at the national level (D.P.C.M. April 29, 1999, which identifies the general reference framework for the SII Charters) and local level (Regulation and Charter of the SII) will continue to apply, which do not contain sector-specific rules derived from the EU.</w:t>
        <w:br/>
        <w:t>142. Thirdly, Article 27, paragraph 1-bis, of the Consumer Code expressly provides that the competence to intervene against the conduct of professionals that constitutes an unfair commercial practice lies with the Antitrust Authority, even in regulated sectors.</w:t>
        <w:br/>
        <w:t>143. In any case, in the instances in question, not only have numerous reports been transmitted for the "competence profiles" directly by AEEGSI, but, as already noted, the regulation in force (as well as the future one) does not cover some of the conduct contested against Acea.</w:t>
        <w:br/>
        <w:t>144. It follows from the above that the general and exclusive competence of the Authority to know the cases under consideration is established.</w:t>
        <w:br/>
        <w:t>145. Also preliminarily, Acea's criticisms regarding the alleged procedural defects that would have resulted in violations of the right to defense must be dismissed for the reasons that follow.</w:t>
        <w:br/>
        <w:t>146. As can be seen from the procedural timeline and the documents filed in the records, Acea has had access to the documents multiple times, has submitted defensive memoranda and related attached documents all pertinent to the observations made, and has been heard in a hearing. During the procedure, adequate timeframes for formulating defenses and producing documents have also been ensured, as the Authority accepted Acea's requests for extensions of deadlines, as well as granted the related extensions. With the communication of the conclusion of the investigative phase - the deadline for which was also extended in acceptance of Acea's request - the professional was put in a position to present his precise defensive arguments regarding all the cases considered here, thus ensuring the level of contradiction outlined by recent case law147.</w:t>
        <w:br/>
        <w:t>147. Regarding the disputes about the irregularity of the acceptance of the participation request in the procedure by the Municipality of Fara in Sabina, it is noted that pursuant to the aforementioned Article 10 of the Regulation on investigative procedures, public or private interest holders, consumers, and competitors may be admitted to participate in the procedure. Furthermore, in this specific case, the aforementioned Municipality reported facts related to the detection of consumption from the meters, which fall among those subject to the procedural investigation.</w:t>
        <w:br/>
        <w:t>146 Specifically, the indicators and methods for the initiation and termination of the contractual relationship, the methods of charging, billing, payment, and installment; the timing of execution of certain services and the related automatic compensations; complaints and written requests for information and billing corrections; the management of service counters and the quality of telephone services.</w:t>
        <w:br/>
        <w:t>147 See in this regard, lastly, Council of State, No. 5253 of November 17, 2015.</w:t>
      </w:r>
    </w:p>
    <w:p>
      <w:r>
        <w:t>BULLETIN NO. 50 OF JANUARY 25, 2016 181</w:t>
        <w:br/>
        <w:t>Merit Evaluations</w:t>
        <w:br/>
        <w:t>148. The subject of this provision is the conduct of ACEA ATO 2 in the provision of the integrated water service (SII). Acea is a joint-stock company established for the management of the integrated water service (SII) in Optimal Area 2, Central Lazio - Rome. The assignment of the integrated water service to Acea Ato 2 S.p.A. took place with the resolution of the Conference of Mayors No. 1 of November 26, 1999148 and is managed according to the Management Convention signed with AATO 2 on August 6, 2002. Currently, the municipalities served by the professional are 112, with over 3,500,000 users. The integrated water service refers to the set of public services for the capture, conveyance, and distribution of water as well as sewage and wastewater treatment services.</w:t>
        <w:br/>
        <w:t>149. In particular, this procedure concerns Acea's conduct in the essential phases of the consumer relationship related to the SII; therefore, Acea is to be considered a professional under Article 18, letter b), of the Consumer Code. Acea, as a legal monopoly in the provision of an essential service, must observe a high level of professional diligence in the management of the SII, given the contractual weakness of users who lack the ability to choose an alternative supplier or to renounce consumption, as well as due to the significant informational asymmetries that characterize the water sector. Conversely, Acea has an important commercial leverage for the collection of bills, such as the threat and execution of the suspension of the supply of an essential good - or the failure to connect (or reconnect) to the water network. This threat, in fact, together with the payment reminder, fully corresponds to the paradigm of coercion or undue conditioning configured by Articles 24 and 25 of the Consumer Code, as it is capable of limiting the freedom of choice and behavior of the consumer149.</w:t>
        <w:br/>
        <w:t>150. The investigation in question takes place in a peculiar factual context characterized, on the one hand, by the numerous critical issues that Acea has stated it has faced in taking over the management of the SII in municipalities other than Rome - previously entrusted to multiple entities - in light of the obligation of full cost recovery and, on the other hand, as noted by AEEGSI in its opinion, by a high level of default by users.</w:t>
        <w:br/>
        <w:t>151. However, these legitimate objectives of the SII manager must be pursued within the framework of substantial respect for consumer rights, within a relationship characterized by transparency, fairness, and diligence, especially when the professional's claim is of an economic nature and the methods of bill collection are marked by a particular contractual strength, arising from the threat (implicit or explicit) of the actual disconnection of the supply of an essential service, which can exert undue conditioning on the consumer's choices regarding the methods and timing of payment as well as the opportunity to contest or not the amounts requested by Acea.</w:t>
        <w:br/>
        <w:t>152. The investigation has highlighted that, in some areas, Acea has failed to meet the aforementioned obligations of correctness, diligence, and transparency provided for in the Consumer Code, violating the provisions contained in the Supply Conditions, in the User Regulation, and in the Charter of the SII, and also using coercive and aggressive tools in order to unduly influence the conduct of SII users regarding the payment of what is allegedly owed and demanded by the professional in ways and times detrimental to the users themselves.</w:t>
        <w:br/>
        <w:t>153. That said, the conduct contested against Acea has been traced back to two unfair, complex, and articulated practices, due to the different phases of the consumer relationship involved. Practice sub 1) includes the conduct described in paragraph II, sub 1), concerning the failure/delay in the detection and acquisition of consumption even reported by users, the consequent repeated billing based on estimated excessive consumption for prolonged periods, multi-year adjustments, refund requests, hidden losses, the replacement of meters without guarantees for users, billing after cancellation or termination of the user, and the procedures and methods of collection and credit recovery. Practice sub 2) includes the conduct described in paragraph II, sub 2) concerning the delayed and/or failed management of requests for performance and complaints from users, the formulation of evasive responses as well as the adoption of non-resolutive interventions regarding the reported issues, the imposition of obstacles to the exercise of contractual rights together with the payment reminder and the threat of disconnection of the supply pending requests or complaints or during the resolution phase of the issues reported by users, within the expected times.</w:t>
        <w:br/>
        <w:t>154. No elements were found to support the unfairness of the practice contested in paragraph II sub 3) concerning the charging of previous arrears in the case of activation of a new user or transfer of an active user.</w:t>
        <w:br/>
        <w:t>Practice 1)</w:t>
        <w:br/>
        <w:t>155. The findings in the records highlight that, during the period subject to investigation, Acea issued a significant number of invoices not corresponding to actual consumption, often estimated in excess and also erroneously, for periods longer than thirteen months, mainly due to both the failure to detect the water consumption recorded by users or the detection carried out with longer timing than contractually provided, and the failure to acquire the self-readings regularly communicated by users. This has exposed the user to subsequent multi-year adjustments, even of particularly high amounts, without allowing them to modify or adjust their consumption habits, to act promptly in case of hidden losses for the repair of any malfunction, to verify consumption during the official replacement of meters, and to benefit from installment payments in cases of non-delivery/delayed delivery of bills with consequent illegitimate charging of late payment interest150.</w:t>
        <w:br/>
        <w:t xml:space="preserve">156. In the collection of the amounts thus billed, Acea employed methods such as sending reminder communications/registered letters a few days after (i.e., 10 days post deadline; from January 2015, 5 days post deadline) the expiration of the payment term (see point 79), warning that, in case of subsequent non-compliance, there would be a disconnection of the supply. In this way, Acea has engaged in behaviors capable of significantly limiting the consumer's freedom of choice as well as appreciably distorting their economic behavior. </w:t>
        <w:br/>
        <w:t>150 In Acea's bills - page dedicated to "Communications to customers" - it is specified that "the user will be considered in arrears from the 31st day and the Company will apply a late payment fee equal to the reference rate (ex TUS) increased by two points."</w:t>
      </w:r>
    </w:p>
    <w:p>
      <w:r>
        <w:rPr>
          <w:b/>
        </w:rPr>
        <w:t>[Pages 181–183]</w:t>
      </w:r>
    </w:p>
    <w:p>
      <w:r>
        <w:t>BULLETIN NO. 50 OF JANUARY 25, 2016 183</w:t>
        <w:br/>
        <w:t>due to the undue conditioning to pay whatever was billed in order to avoid the disconnection of the supply, given the essential nature of the good.</w:t>
        <w:br/>
        <w:t>157. Specifically, the aforementioned commercial practice arises, firstly, from the fact that for a significant number of users, Acea does not have actual consumption data for periods prior to 2011; secondly, Acea has not conducted consumption readings with the frequency indicated in its User Regulation (see point 23 et seq.), according to which it occurs "normally at least once every quarter," nor has it issued invoices based on "consumption directly measured by Acea Ato 2" or "communicated by the customer" as established in the supply conditions (Article 15) of the SII. It has also emerged that the professional has neither issued adjustment invoices in the period "immediately following the period in which the reading was taken or the self-reading was communicated," contrary to what is contractually provided, nor updated the consumption estimates based on the new data in its user database.</w:t>
        <w:br/>
        <w:t>158. The measurement of consumption and the methods and timing of billing regulated by the legislator in the DPCM of March 4, 1996, and April 29, 1999, as well as by the same operator through the Supply Conditions, the User Regulation, and the SII Charter represent the essential prerequisite for the correct execution of its service (billing amounts as consistent as possible with actual consumption throughout the year), in order to avoid the accumulation of significant adjustments and a substantial impact on the user's financial position and to allow the user to make informed and conscious consumption choices.</w:t>
        <w:br/>
        <w:t>159. From the investigative findings, a significant rate of unexecuted readings emerges for the period 2012 - 2015 – albeit slightly decreasing: for users located in the Municipality of Rome, unread accounts decreased from [10–20]% to [1-10]%; in the remaining municipalities, however, in addition to having a lower reading frequency (semiannual) than that (quarterly) established in Acea's User Regulation, the percentage of unread accounts decreased from [30-40]% to [20-30]%151. Furthermore, it emerged that in 2015, for over [500-1,500] users, the actual consumption readings dated back to periods prior to January 2011 without, moreover, the professional having identified the causes of this phenomenon [omissis]. Additionally, there is the circumstance – emerged during the inspections conducted on April 27, 2015 – that for over [500-1,500] users in the Municipality of Rome, the readings for the first quarter of 2015 (January-March) had not yet been performed, as well as a considerable number of condominiums in Rome for which the data collected and communicated by the readers were not consistent with those in the system152.</w:t>
        <w:br/>
        <w:t>160. Indeed, the evidence on record shows that Acea has not generally adopted suitable measures to reduce the instances of non-reading or erroneous reading to negligible episodes, or solely attributable to the user's behavior. Firstly, the provisions of the service reading contract – entrusted to external readers – stipulate that the reader's performance includes an attempt to read, also providing that in the case of an inaccessible meter, the reader is required to set an appointment with the user and, if unsuccessful, to make a second attempt, but the right to commission is accrued with the first appointment. Moreover, the service contracts provide for quarterly readings only in some municipalities, while in many others, the frequency is instead semiannual, with indications of the accounts to be read "of variable consistency and assigned in a scattered and non-consecutive manner."</w:t>
        <w:br/>
        <w:t>161. Secondly, the absence of controls over the work of the readers by Acea is significant. The investigation has revealed that the consumption data files communicated by the readers are entered into the user database without any prior verification by Acea – verification which has only been provided since November 2014 – while, more generally, it does not appear that the professional has conducted checks on the data acquisition activity by the readers, although this is provided for in the service contract, thus allowing the entry of erroneous measurement data alongside those resulting in the user database.</w:t>
        <w:br/>
        <w:t>162. The absence of such checks is also confirmed by the fact that in the "Corrective Intervention Plan"153 of 2014, the absence of documentation certifying the analysis and resolution of any anomalous readings detected following the data upload is clearly indicated as a critical element, proving the failure to carry out such checks (see point 41); on this aspect, despite the specific request for information, Acea has not provided indications in this regard. Furthermore, regarding the automatic control that the system can perform by issuing an alert in case of readings older than nine months, it is noted that in 2012 this function was disabled (see point 31).</w:t>
        <w:br/>
        <w:t>163. Similarly deficient is the acquisition of consumption communicated by users through self-readings, although these are equated in the Supply Conditions to the measurements taken by the operator. While the professional has limited himself to indicating that users are reluctant to communicate the consumption data and that, therefore, the self-readings received would be numerically few compared to the number of users served, the evidence on record shows that Acea does not take into account almost all self-readings received via the web or through automated telephone systems for billing purposes. The rejection rates of self-readings (see point 32 et seq.) are reported, in the telephone channel, as of September 2014, "at [60-90%] of the self-readings made"; in October, November, and December 2014 at [80-100%]. In the web channel, as of October 2014, it is reported154 that out of [2,500-3,500] readings, [2,000-3,000] were canceled and [400-600] recorded; in December 2014, out of [4,000-5,000] entries made by users via the web, only [50-100] were successful.</w:t>
        <w:br/>
        <w:t>164. The evidence on record reveals that the reason for the failure to acquire self-readings lies in the "validation" criteria of the data – independently established by Acea and underlying the user database – according to which consumption that deviates from the "minimum engaged" or from the "estimated consumption based on an average annual consumption" (estimates that can be all the more erroneous the more remote the actual readings on which the pro-die criterion is based) is discarded for each active user. Such issues have only become of interest to Acea since the end of 2014.</w:t>
        <w:br/>
        <w:t>165. In this way, Acea unjustifiably prioritizes a consumption data identified/estimated by it – often entirely abstract and detached from the actual one – over that detected and communicated by the user, even neglecting completely the cases of actual absence of consumption or very low consumption.</w:t>
        <w:br/>
        <w:t>166. Finally, ACEA does not ensure users sufficient communication to overcome any issues that have led to the failure to acquire (so-called "rejection") the measurement data – communicated via the web or through the telephone channel – since, in these cases, the consumer receives no information. Only if the user communicates the data directly to the call center operator can they receive information about the failure to acquire the measurement data, but even in these cases, the operator cannot correct the consumption data ("Even if [we were] certain that the measurement is correct" because the system "is unable to distinguish it") and, if they cannot understand the reason for the error, the user must submit a written complaint. In this way, the consumer is prevented from taking timely action to correct – for example – any error made at the time of communicating the self-reading or to request the operator to carry out the appropriate checks on the meter as well as to urge the operator to read in time for the issuance of the subsequent bill.</w:t>
        <w:br/>
        <w:t>167. Such phenomena significantly contribute to the billing of estimated consumption in excess or otherwise not corresponding to actual consumption, as well as to the repeated issuance of adjustment invoices of considerable amounts, thus preventing the consumer from modifying their consumption habits, verifying the appropriateness of the amount requested for payment, and obtaining, in case of error, re-invoicing and the corresponding correction of amounts.</w:t>
        <w:br/>
        <w:t>168. Regarding this last aspect, it appears that Acea does not proceed with re-invoicing in the period immediately following the acquisition of the actual data or the communication of the self-reading by the user, in disregard of what it has provided in the Supply Conditions155. In fact, it appears that once the actual consumption data is acquired, Acea does not automatically and immediately update the consumption estimates present in its database, as the updates are the result of specific subsequent procedures "launched" ad hoc by the professional; more generally, Acea is not aware of the actual use of all readings recorded in the database (SICOL) for billing purposes.</w:t>
        <w:br/>
        <w:t>169. Furthermore, despite the significant phenomenon of invoices based on estimated consumption and therefore adjustments also in favor of the user being evident from the same findings provided by the professional, Acea's billing system automatically excludes from the billing cycle those invoices that carry a credit greater than €300. It appears that credits of amounts greater than this, in addition to not being automatically offset against any amounts due, do not result in the automatic issuance of a title (e.g., check or bank transfer) collectible by the user. Acea merely indicates the existence of a credit with the wording "ATTENTION THIS BILL MUST NOT BE PAID" (original emphasis) while the amount resulting from a positive adjustment is preceded by a minus sign. What is more serious is the fact that the professional does not indicate in the bill that the refund will be paid only upon the user's request nor the methods by which it can be requested, nor the timing within which it will be paid.</w:t>
        <w:br/>
        <w:t>155 As provided for by Article 15 of the Supply Conditions prepared by Acea.</w:t>
      </w:r>
    </w:p>
    <w:p>
      <w:r>
        <w:rPr>
          <w:b/>
        </w:rPr>
        <w:t>[Pages 184–186]</w:t>
      </w:r>
    </w:p>
    <w:p>
      <w:r>
        <w:t>186 BULLETIN NO. 50 OF JANUARY 25, 2016</w:t>
        <w:br/>
        <w:t>170. The evidence in the records also shows delays of months and even years in the issuance of refund titles collectible by users, even in the face of repeated reminders that are consistently ignored, in blatant violation of the provisions set forth by the operator in the Supply Conditions. In some situations, consumers have had to turn to judicial authorities to obtain payment from Acea.</w:t>
        <w:br/>
        <w:t>171. In the case of adjustment bills, even of high amounts, it is noted that ACEA grants installment payments not automatically but only upon request from the consumer – as indicated in the same bill – provided that the request is received by the payment deadline. This circumstance produces the effect of hindering the exercise of such a right by the user in all cases where the payment deadline is shortened due to causes attributable to the same professional, both because of the long times for issuing the invoice and the late or non-delivery of the same, resulting in a compression of the deadline for its payment. In this latter case, it is clear that the right to request installment payments is completely denied to the user due to circumstances not attributable to them.</w:t>
        <w:br/>
        <w:t>172. Nor are the measures adopted by the professional adequate in light of the widespread phenomena that occurred – at least between September 2014 and the first quarter of 2015 (see supra point 73 and following) – of non-delivery of bills, having limited itself to postponing the collection of late payment interest starting from January 2015, without providing appropriate information to users to allow them to request duplicates of the invoice through customer service or facilitated channels for obtaining the bill, thus avoiding the undue exposure of the user to the delinquency and disconnection procedure; this latter procedure, starting from January 2015, has undergone a contraction in timing with the elimination of the reminder communication and the sending of the notice of default 5 days after the payment due date.</w:t>
        <w:br/>
        <w:t>173. The indication in the bill of the possibility to pay in six monthly installments, which the user is required to pay by their respective due dates, under penalty of “immediate” disconnection of the supply, shows that the installment plans – which may also not be granted by the professional for unspecified “invoices under different conditions” from those of adjustment – are developed regardless of the amount billed, even when this is so high as to expose the consumer monthly to payments that can negatively impact their available budget and expense planning.</w:t>
        <w:br/>
        <w:t>174. In the billing process, ACEA conducts inadequate checks regarding the anomalies detected by the system due to the thresholds of consumption it sets autonomously. Specifically, these are thresholds based on particularly high amounts, completely disproportionate to the average annual consumption on which the tariff structure established by the Authority for domestic users is based. In fact, they trigger in the month/bimonthly/quarterly billing (i) upon exceeding the amount of €2500, for any consumption commitment up to 1000 m³, as well as (ii) upon exceeding the amount of €25,000, with a consumption commitment exceeding 1000 m³. Instead, the average annual consumption of domestic users in the tariff structure established by the Authority can vary from a “base range” between 92m³ and 184m³ to the highest (so-called “Third excess”), relating to consumption exceeding 368m³.</w:t>
        <w:br/>
        <w:t>175. From the documentation submitted in the records (see point 53), it also emerges that from the reaching of these “alert” thresholds, no official checks (not even technical, e.g., regular functioning checks of meters) on consumption data have been carried out by Acea, nor have there been repeated readings, but only the issuance of single invoices.</w:t>
        <w:br/>
        <w:t>176. Particularly serious is the fact that, upon exceeding such thresholds, Acea did not send any communication to users either beforehand, i.e., at the time of loading the measurement data (detected by the meter reader or communicated by the user) into its database; nor, subsequently, at the time of issuing the related invoice. This conduct has prevented the timely identification and containment of the phenomenon of water leakage due to so-called “hidden losses” of water in the section of the systems pertaining to the user, as Acea has limited itself to requesting payment of these amounts, although particularly high and disproportionate compared to those normally attributable to the user, also sending payment reminders for the amounts billed in this regard.</w:t>
        <w:br/>
        <w:t>177. In this regard, it is noted that the AEEGSI, in the opinion rendered to the Authority, has also pointed out that the behavior of the professional is reprehensible “where it has not made attempts to read or receive the self-readings provided for by the Service Charter,” thus causing a “delay in identifying the loss,” in the face of a more general obligation to inform users about the existence of such consumptions, thus allowing them to take timely action to avoid or reduce water loss and the subsequent request for payment for amounts unknowingly consumed.</w:t>
        <w:br/>
        <w:t>178. In this regard, the lack of prior typification and knowledge by consumers of hidden faults for which the benefit of decriminalization can be requested/obtained emerges. In this regard, Acea has stated that it relies on the case law established by resolutions of the Municipality of Rome, but without making them known to users. The evidence in the records also shows that, following various judicial rulings that deemed the requests for decriminalization rejected as founded, the application practice has led Acea to contemplate further hypotheses of decriminalizable faults without, once again, making them known to users. In this way, the professional determines the entitlement or otherwise of the benefit in a non-transparent and arbitrary manner while the consumer, in the event of rejection of the decriminalization request, is not placed in a position to protect their rights and pursue appropriate remedies, finding themselves prudently forced to pay to avoid disconnection of the supply. It is also noted among the criteria followed that this decriminalization mechanism is granted by ACEA only once in the commercial life of the user, despite the possible occurrence – after some time – of the same phenomenon or without taking into account possible changes of ownership (e.g., transfer, succession).</w:t>
        <w:br/>
        <w:t>179. Once the hidden loss is recognized, Acea charges for water consumption exceeding “four times the usual averages” applying the “base tariff” (so-called benefit of “tariff decriminalization”) in addition to sewerage and purification services even though not provided to the user, as the resource is dispersed.</w:t>
        <w:br/>
        <w:t>180. Based on these criteria, consumers are charged not only for duly recalculated historical consumption but also for excess consumption – not corresponding to actual consumption – although applying a reduced tariff to these, as well as the related fees for sewerage and purification services that are clearly not rendered. As acknowledged by the professional itself, granting the benefit of decriminalization “does not constitute a loss for the company, since the water supplied is still paid at the base tariff (…) 3) reduces verification and control activities (…) 4) reduces complaints and judicial disputes; 5) lowers bad debts on the balance sheet.”</w:t>
        <w:br/>
        <w:t>181. From the evidence in the records, it has emerged that Acea, contrary to what is provided for in the Supply Conditions and the User Regulation, has continued to issue invoices subsequent to (i) the customer's request for termination or (ii) the communication of “completion of work” in the case of a user for “construction site use,” even though, in these cases, the contractual relationship ceases – according to the User Regulation – “by law” upon receipt of the user's written communication and the operator is required to issue the final bill, ordering the return of any credits/advances paid in the meantime.</w:t>
        <w:br/>
        <w:t>182. The investigative findings show that where requests for termination of service are processed, the related times are longer than those provided by Acea itself. Although Acea's user management system (CRM) can track all customer requests related to the user relationship, it does not actually contain them: the professional has stated that it only possesses the data of “start and end of supply” and that the dates on which requests for termination of service (cancellation, communication of completion of work) were received were not available. In this way, even the concrete management of requests for termination of the user relationship occurs in disregard of contractual provisions.</w:t>
        <w:br/>
        <w:t>183. It is also noted the significant harm caused to the consumer in the case of “construction site use” utilities for which the continuation of the user relationship entails subsequent billing of very high amounts: in these cases, consumption is billed “in bulk” at the fixed measure of the “minimum commitment” regardless of actual consumption – a circumstance that has concretely occurred with regard to the reporting party in the proceedings (see above point 104).</w:t>
      </w:r>
    </w:p>
    <w:p>
      <w:r>
        <w:rPr>
          <w:b/>
        </w:rPr>
        <w:t>[Pages 187–189]</w:t>
      </w:r>
    </w:p>
    <w:p>
      <w:r>
        <w:t xml:space="preserve">BULLETIN NO. 50 OF JANUARY 25, 2016 189  </w:t>
        <w:br/>
        <w:t xml:space="preserve">184. Further conduct not in compliance with the provisions governing the supply relationship and particularly detrimental to users is recorded in the case where Acea orders the official replacement of the meter, without notifying the user and in any case in their absence, limiting itself to making the measuring device available for two months – for possible inspections – at its headquarters. Once again, Acea has prevented users from verifying the measurement data at the time of removal and from contesting in the relevant report any anomalies or irregularities found during the operations, an action that directly affects billing adjustments (see point 46 et seq.).  </w:t>
        <w:br/>
        <w:t xml:space="preserve">185. Once the amounts have been billed according to the methods and times described above, Acea employs a collection procedure and methods that strongly condition the freedom of choice of consumers given the essential nature of the SII.  </w:t>
        <w:br/>
        <w:t xml:space="preserve">186. Firstly, the reduced payment terms granted to consumers are noteworthy since they do not start from the receipt of the bill, but from a prior moment, that of the issuance of the invoice: in fact, there are long times for the preparation, printing, and delivery of invoices – including the service disruptions that occurred in delivery – which Acea includes in the thirty days provided for payment, starting from the date of issuance.  </w:t>
        <w:br/>
        <w:t xml:space="preserve">187. Once this term has expired, the professional immediately proceeds to activate the debt recovery procedure for arrears, also sending a registered letter with a notice of disconnection to “bonus customers.” The investigative findings have revealed the high number of these sendings, amounting to 994 thousand in the three-year period 2013-2015, intensified in the late 2014 period with about 50 thousand sendings/month. In case of non-payment, the professional sends a disconnection notice and then proceeds to remove the meter.  </w:t>
        <w:br/>
        <w:t xml:space="preserve">188. These are very fast procedures, which until December 31, 2014 required about 60/70 days from the expiration date to the removal of the meter, and which the professional subsequently reduced to about 35/45 days. In particular, while until December 31, 2014 for “bonus customers” ACEA would preliminarily send a payment reminder, it subsequently eliminated this phase to proceed directly to sending the registered letter, within a reduced term of 5 days from the expiration date of the bill. Furthermore, according to the procedure and timing outlined above, the starting date for executing the disconnection runs from the date of dispatch of the registered letter and not from the actual or probable delivery date thereof, thus further reducing the time available for the user to regularize their position or file a complaint. This is in blatant violation of the contractual provisions according to which the user must have a notice for future disconnection of at least 20 days (see point 78). Similarly, in the case of condominium users, the date from which the disconnection is executed runs from the date of preparation of the “leafleting” or “box dropping” to which, moreover, the professional relies on third parties and does not monitor the times (and the actual date) of delivery (see points 81 et seq.).  </w:t>
        <w:br/>
        <w:t xml:space="preserve">189. In the case of condominiums, ACEA provides for the posting of a notice (so-called leafleting). The contents of such communications are often lacking and inadequate for the type of user (condominium) to whom they are addressed since Acea does not indicate the details of the invoices for which it contests the non-payment - often occurring before the delivery of the notice and dependent on the late delivery of the invoice162 - only reporting the date from which, in the absence of payment, the disconnection will occur. Even in this case, the delivery times are not monitored, entrusted to third-party companies.  </w:t>
        <w:br/>
        <w:t xml:space="preserve">190. In light of the considerations made, the conduct carried out by Acea constitutes a complex and articulated practice characterized by aggressive profiles, thus conflicting with Articles 20, 24, and 25 of the Consumer Code, as users are induced to pay sums not due or higher than those actually owed (in the case of estimated or erroneous billing, hidden losses) or due but with different methods and times (especially in the case of repeated estimated billing, delayed billing, and multi-year adjustments), given the high informational asymmetry inherent in the water sector and the undue conditioning resulting from the immediate threat of having the service suspended for non-payment of the requested amounts and, therefore, from the concrete risk of no longer being able to enjoy an essential service, due to the use of a particularly aggressive collection procedure.  </w:t>
        <w:br/>
        <w:t xml:space="preserve">Practice 2)  </w:t>
        <w:br/>
        <w:t xml:space="preserve">191. The investigative findings show that Acea has not kept the consumer, who filed a complaint, indemnified from the negative and prejudicial consequences arising from its billing errors, from the failure or late execution of the requested services or from the execution of illegitimate disconnection orders. In particular, it appears that Acea has not adequately managed complaints and in some cases has not suspended, provisionally, either the payment terms or the arrears and disconnection procedure in the presence of detailed and documented requests and complaints, thus unduly hindering the exercise of consumers' contractual rights, engaging in behaviors characterized by aggressive profiles given the undue conditioning suffered by the user due to the threat of disconnection of the supply of an essential service.  </w:t>
        <w:br/>
        <w:t xml:space="preserve">192. The evidence in the records and, in particular, the reports and related attachments along with the responses provided by the professional, reveal a significant flow of requests and complaints – written or presented verbally to the call center and the physical counter – to which Acea has not responded according to the diligence standards required in the SII sector.  </w:t>
        <w:br/>
        <w:t xml:space="preserve">193. Firstly, regarding customers who contacted the call center, it appears that Acea did not record the various reasons for contact, having begun to do so “at random” only from March 2015, also due to the preparation of a “tree of motivations” - selectable by operators - not fully adequate to the case law. Furthermore, contrary to what the professional claimed in the defense memos, consumers who contact the call center to file a complaint and receive assistance do not find adequate responses to their grievances as they are invited to submit a written complaint (see point 91).  </w:t>
        <w:br/>
        <w:t xml:space="preserve">194. This circumstance is confirmed, in addition to the reports received and the minutes of inspection findings, also in the call center scripts (operational guide “GOCI”) concerning, for example, self-readings where it is indicated that - in case of self-reading rejected by the system - the operator cannot take charge of the reported issue and forward it to the competent Units but informs the user that they must submit a written complaint. Furthermore, it appears that sometimes the indications given to customers who approach the physical counter are not exhaustive regarding the documentation necessary for the fulfillment of the requested service, which, due to this communication deficit, unjustly suffers an additional prejudicial delay to the interests of the user163.  </w:t>
        <w:br/>
        <w:t xml:space="preserve">195. Significant obstacles have also been placed by Acea to the exercise of the contractual rights claimed by users with written complaints. Firstly, it appears that Acea began to manage user requests in an organized manner only from February 2014, when the relevant organizational Unit was established and a procedure for managing complaints was prepared; in the previous year (i.e., 2013) the inspection findings highlight significant shortcomings in the classification of user requests and a non-univocal placement of complaints, sometimes managed as “requests” for service (see point 90).  </w:t>
        <w:br/>
        <w:t xml:space="preserve">196. From the procedure related to the management of complaints, there also emerges a distinction between complaint/commercial request (concerning billing/meter/contracts) and technical complaint, while requests concerning refunds and the application of tariff decriminalization (hidden losses) are not included among these.  </w:t>
        <w:br/>
        <w:t xml:space="preserve">197. Additionally, it is noted that only the phase of sorting and managing technical requests/complaints appears to be carefully regulated, while the management of commercial ones is entrusted to the Customer Care Unit which handles the investigation, without further specifications except for the possibility of contacting the competent structures via email or phone (see point 97 et seq.). Such methods of managing user requests/complaints appear likely to negatively impact a central moment of the consumption relationship of the SII as they can lead to inertia, delays, and/or poor coordination among the various Offices involved in the fulfillment of requests and, in particular, create the risk of gaps regarding specific grievances of users.  </w:t>
        <w:br/>
        <w:t xml:space="preserve">198. From the acquired elements164, there is indeed a significant time gap between the date of receipt and protocol of requests/complaints and the assignment to the competent Unit for handling, and that, often, in the customer database, the documentary attachments produced by the requesting consumer in support of their claims are not “loaded,” resulting in an inevitable delay in the examination of the merits.  </w:t>
        <w:br/>
        <w:t xml:space="preserve">199. Often, this examination is postponed considering that Acea, in many cases165 in records concerning ordinary service requests, has sent the user a merely interlocutory communication aimed at informing them of the taking charge of the complaint/request and that the collection of the disputed invoice has been suspended along with the credit recovery procedures until the outcome of the verifications (see point 99).  </w:t>
        <w:br/>
        <w:t xml:space="preserve">200. Although it does not contain any response to the user, this communication is sufficient for Acea to consider the 30-day term - provided in the SII Charter as the “maximum time” - to have been respected.  </w:t>
        <w:br/>
        <w:t xml:space="preserve">162 See above point 74.  </w:t>
        <w:br/>
        <w:t xml:space="preserve">163 See doc.129, 130, 132 and related attachments.  </w:t>
        <w:br/>
        <w:t xml:space="preserve">164 See above, point 104, regarding the incident involving the consumer party to the proceedings.  </w:t>
        <w:br/>
        <w:t>165 From the inspection documentation, it appears, for example, that in some cases regarding a complaint related to an invoice of 1,260 euros for possible hidden loss, submitted by registered mail on January 13, 2015, the acknowledgment letter was sent on January 30, 2015, while Acea's response is dated March 25, 2015 (see above point 103, as well as reports mentioned in footnote 125).</w:t>
      </w:r>
    </w:p>
    <w:p>
      <w:r>
        <w:rPr>
          <w:b/>
        </w:rPr>
        <w:t>[Pages 190–192]</w:t>
      </w:r>
    </w:p>
    <w:p>
      <w:r>
        <w:t>192 BULLETIN NO. 50 OF JANUARY 25, 2016</w:t>
        <w:br/>
        <w:t>of response – and, as a result, to prevent the user from accruing the right to reimbursement due to the lateness of the response. From the data acquired during the investigation, it seems plausible to believe that ACEA measures, most likely, upon sending such a letter, the declared achievement of quality standards regarding compliance with response times to complaints, considering the considerable time span – often exceeding 30 days – between the date of protocol and that of assignment to the competent Unit (cf. point 94 et seq.)</w:t>
        <w:br/>
        <w:t>201. Furthermore, Acea has not established strict timelines or priorities for the insertion of the codes “BC” and “BD” (cf. point 106) intended to block the credit recovery procedure, nor criteria for coordinating the various Offices involved. These factual circumstances have contributed to determining inertia, delays, and a lack of communication among the various Units involved in the respective phases of processing the requests, as well as the high risk for users of unjustly undergoing the procedure of default notice and disconnection of supply, considering the reduced payment terms – starting from the date of invoice issuance – as well as those provided for sending default notices and disconnection warnings.</w:t>
        <w:br/>
        <w:t>202. From the reports in the records and the inspection evidence, it has indeed emerged that, in numerous cases, such blocking codes (when inserted) have proven to be effectively non-operational since, pending well-substantiated complaints, Acea not only did not suspend the collection of the invoice but also initiated the default notice and disconnection procedure, sometimes even executing it. In other cases, although in acceptance of the complaint Acea issued a new invoice, the default procedure continued until disconnection, based on what was previously invoiced.</w:t>
        <w:br/>
        <w:t>203. Finally, with regard to the actual and substantive handling of complaints, it has emerged that numerous complaints, marked by the acronym “X100”, by the professional's own admission, are not processed – thus remaining pending for treatment – because the Complaints Unit is unable to obtain feedback from the other competent Offices. On this point, Acea has limited itself to stating that these would be complaints concerning technical services, emphasizing the small number, estimated, of such complaints compared to the total number of complaints received.</w:t>
        <w:br/>
        <w:t>204. In this regard, it is noted that, for the purposes of qualifying the unlawfulness of the behavior, the professional's defensive argument regarding the small number of unresolved complaints is not acceptable, both because it is contradicted by the investigative findings and because it is not necessary to demonstrate its concrete and extensive prejudicial implementation against consumers, but rather a potentially harmful effect on their choices, which allows the conduct to be classified within the framework of mere danger unlawful acts.</w:t>
        <w:br/>
        <w:t>166 Cf. above point 109.</w:t>
        <w:br/>
        <w:t>167 For example, consider the case of a reporting condominium that documented having received from Acea, in acceptance of the complaint, the recalculation of consumption; shortly thereafter, Acea requested payment of the overstated amounts, originally invoiced, which was followed by the disconnection of the supply (doc. 219).</w:t>
        <w:br/>
        <w:t>168 Cf. minutes of the inspection findings, doc. 110.</w:t>
        <w:br/>
        <w:t>169 Cf., Cons. State no. 4753/2012, cited, whereby, based on the definition of commercial practice, as per the Consumer Code, “the material element of the unfair commercial practice can also manifest itself in behaviors that subsequently prove to be subjectively identifiable, without the need for the same to be directed, numerically, against a consistent percentage of consumers, or to consist of repeated conduct over time.”</w:t>
        <w:br/>
        <w:t>Similarly, see the recent ruling of the Court of Justice of April 6, 2015 (case C-388/13), which “clarifies that the circumstance that the conduct of the involved professional was held only once and concerned only one consumer is entirely irrelevant in this context. In fact, neither the definitions provided in Articles 2, letters c) and d), 3, paragraph 1, and 6, paragraph 1, of the directive on unfair commercial practices nor the latter, considered as a whole, contain indications that the action or omission by the professional should present a repeated character or concern more than one consumer” (§§41-42).</w:t>
        <w:br/>
        <w:t>170 Cf. above point 104 et seq.</w:t>
        <w:br/>
        <w:t>172 Idem.</w:t>
      </w:r>
    </w:p>
    <w:p>
      <w:r>
        <w:t>194 BULLETIN NO. 50 OF JANUARY 25, 2016</w:t>
        <w:br/>
        <w:t>to obtain the suspension of billing, default notice, and disconnection procedures pending legitimate requests and/or complaints, exercising undue pressure with the continuation of billing and collection actions along with the threat of disconnection of supply while the issues raised are unresolved. In this way, users are induced to pay amounts that they believed were not due as they are linked to the issues reported to the professional, not receiving from the latter the measures and precautions that are necessary considering the nature of extrema ratio of the exercise of the aforementioned power of disconnection of supply.</w:t>
        <w:br/>
        <w:t>VII. QUANTIFICATION OF THE SANCTION</w:t>
        <w:br/>
        <w:t>211. Pursuant to Article 27, paragraph 9, of the Consumer Code, with the provision that prohibits the unfair commercial practice, the Authority orders the application of an administrative pecuniary sanction from 5,000 to 5,000,000 euros, taking into account the severity and duration of the violation.</w:t>
        <w:br/>
        <w:t>212. In the case of a proceeding such as the one in question, which concerns a plurality of established administrative offenses, the jurisprudence has clarified that in the presence of a plurality of offenses with functional structural autonomy, attributed to the responsibility of the professionals, the criterion of material cumulation of sanctions applies, instead of legal cumulation (cf. among others, Council of State, Section VI, ruling no. 209 of January 19, 2012).</w:t>
        <w:br/>
        <w:t>213.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br/>
        <w:t>214. With regard to the severity of the violations under 1 and 2, account is taken of (i) the economic size of the professional, who legally monopolizes an essential good in one of the most populated areas of the country – Rome and the surrounding areas – and achieved a turnover in 2014 of [400-600] million euros; (ii) the nature of the violations, all characterized by a high degree of offensiveness; (iii) the extent of the economic harm suffered by consumers; (iv) the contractual weakness of consumers who, in addition to being in a situation of informational asymmetry, do not have the possibility to change supplier in the face of a perceived inadequacy of the quality of the service offered and are subjected to the threat of having their supply suspended in case of non-payment of amounts; (v) the spread of the practices, considering the extent of the territory on which the company operates and the high number of consumers affected.</w:t>
        <w:br/>
        <w:t>215. Regarding the duration of the violations, from the available elements in the records, it appears that the commercial practice under 1) has been in place from November 2012 to 2015 and is still ongoing, both due to the reports that continue to arrive and due to the absence of factual elements from which to infer its cessation.</w:t>
        <w:br/>
        <w:t>216. Regarding the severity of the practice under 2), from the available elements in the records, it appears that the practice has been in place since November 2012 and is still ongoing both due to the reports that continue to arrive and due to the absence of factual elements from which to infer its cessation.</w:t>
      </w:r>
    </w:p>
    <w:p>
      <w:r>
        <w:rPr>
          <w:b/>
        </w:rPr>
        <w:t>[Pages 193–195]</w:t>
      </w:r>
    </w:p>
    <w:p>
      <w:r>
        <w:t>BULLETIN NO. 50 OF JANUARY 25, 2016 195</w:t>
        <w:br/>
        <w:t>217. Taking into account the seriousness and duration of the described practices, in light of the above, it is deemed appropriate to determine the base amount of the sanctions:</w:t>
        <w:br/>
        <w:t>- for the unfair commercial practice sub 1) of point II in the amount of €1,200,000 (one million two hundred thousand euros);</w:t>
        <w:br/>
        <w:t>- for the unfair commercial practice sub 2) of point II in the amount of €800,000 (eight hundred thousand euros).</w:t>
        <w:br/>
        <w:t>218. In this case, the following mitigating circumstances exist: (i) the complex management difficulties that Acea had to face with respect to certain municipalities, other than Rome, during the transition from previous managements; (ii) the adoption by the professional of improvement measures, in the IT field, of the management processes whose implementation was completed on September 25, 2015, prior to the closure of this proceeding.</w:t>
        <w:br/>
        <w:t>219. In light of these circumstances, therefore, the amount of the administrative pecuniary sanctions applicable to Acea is determined as follows:</w:t>
        <w:br/>
        <w:t>- for the practice sub 1) of point II, in the amount of €900,000 (nine hundred thousand euros);</w:t>
        <w:br/>
        <w:t>- for the practice sub 2) of point II, in the amount of €600,000 (six hundred thousand euros).</w:t>
        <w:br/>
        <w:t>CONSIDERING, therefore, based on the above considerations, that the commercial practice sub 1) is deemed unfair pursuant to Articles 20, 24, and 25 of the Consumer Code as it is contrary to professional diligence and suitable, through aggressive conduct - the debt collection and disconnection procedures - to determine an undue conditioning of the consumer and to appreciably distort the economic behavior of the average consumer regarding the payment of amounts not entirely due, or due but with different times and methods than those imposed by the professional;</w:t>
        <w:br/>
        <w:t>CONSIDERING, furthermore, based on the above considerations, that the commercial practice sub 2) is deemed unfair pursuant to Articles 20, 24, and 25 of the Consumer Code, as it is contrary to professional diligence and suitable, through aggressive behaviors, to create obstacles to the exercise of consumers' contractual rights, who are not placed in a position to make free and informed decisions regarding the economic decisions to be made concerning the consumption relationship, as the professional takes advantage of the position it holds in the reference market, continuing billing, collection, and disconnection activities without taking into account the legitimate requests of consumers and threatening the disconnection of the supply of an essential service;</w:t>
        <w:br/>
        <w:t>RESOLVES</w:t>
        <w:br/>
        <w:t>a) that the commercial practice described in point II, sub 1), of this provision, carried out by the company Acea Ato 2 S.p.A., constitutes, for the reasons and within the limits set out in the motivation, an unfair commercial practice pursuant to Articles 20, 24, and 25 of the Consumer Code, and prohibits its dissemination or continuation;</w:t>
        <w:br/>
        <w:t>b) that the commercial practice described in point II, sub 2), of this provision, carried out by the company Acea Ato 2 S.p.A., constitutes, for the reasons and within the limits set out in the motivation, an unfair commercial practice pursuant to Articles 20, 24, and 25 of the Consumer Code, and prohibits its dissemination or continuation;</w:t>
        <w:br/>
        <w:t>c) to impose on the company Acea Ato 2 S.p.A., for the violations referred to in the previous letter a), an administrative pecuniary sanction of €900,000 (nine hundred thousand euros);</w:t>
        <w:br/>
        <w:t>d) to impose on the company Acea Ato 2 S.p.A., for the violations referred to in the previous letter b), an administrative pecuniary sanction of €600,000 (six hundred thousand euros);</w:t>
        <w:br/>
        <w:t>e) that the professional Acea Ato 2 S.p.A., communicates to the Authority, within sixty days from the notification of this provision, the initiatives taken in compliance with the injunction referred to in points a) and b).</w:t>
        <w:br/>
        <w:t>The administrative sanctions imposed under letters c) and d), must be paid within sixty days from the notification of this provision, using the tax codes indicated in the attached F24 model with identifying elements, pursuant to Legislative Decree No. 241/1997.</w:t>
        <w:br/>
        <w:t>Payment must be made electronically with a debit from one's bank or postal account, through the home banking and CBI services provided by banks or by Poste Italiane S.p.A., or by using the telematic services of the Revenue Agency, available on the website www.agenziaentrate.gov.it.</w:t>
        <w:br/>
        <w:t>After the aforementioned deadline, for the period of delay of less than six months, late interest must be paid at the legal rate starting from the day following the expiration of the payment deadline until the date of payment. In case of further delay in fulfillment, pursuant to Article 27, paragraph 6, of Law No. 689/81, the amount due for the imposed sanction is increased by one-tenth for each semester starting from the day following the expiration of the payment deadline until the role is transmitted to the collector for collection; in this case, the increase absorbs the late interest accrued during the same period. Immediate communication of the payment must be given to the Authority by sending the documentation certifying the payment made.</w:t>
        <w:br/>
        <w:t>This provision will be notified to the interested parties and published in the Bulletin of the Authority for the Protection of Competition and the Market.</w:t>
        <w:b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br/>
        <w:t>Against this provision, an appeal may be filed with the TAR of Lazio, pursuant to Article 135, paragraph 1, letter b), of the Administrative Process Code (Legislative Decree of July 2, 2010, No. 104), within sixty days from the date of notification of the provision itself, without prejudice to the longer terms referred to in Article 41, paragraph 5, of the Administrative Process Code, or an extraordinary appeal may be proposed to the President of the Republic, pursuant to Article 8 of the Decree of the President of the Republic of November 24, 1971, No. 1199 within one hundred and twenty days from the date of notification of the provision itself.</w:t>
        <w:br/>
        <w:t>THE SECRETARY GENERAL THE PRESIDENT</w:t>
        <w:br/>
        <w:t>Roberto Chieppa Giovanni Pitruzzella</w:t>
      </w:r>
    </w:p>
    <w:p>
      <w:r>
        <w:rPr>
          <w:b/>
        </w:rPr>
        <w:t>[Pages 196–198]</w:t>
      </w:r>
    </w:p>
    <w:p>
      <w:r>
        <w:t>198 BULLETIN NO. 50 OF JANUARY 25, 2016</w:t>
        <w:br/>
        <w:t>PS9919 - GORI BILLING AND COLLECTION ISSUES</w:t>
        <w:br/>
        <w:t>Provision No. 25790</w:t>
        <w:br/>
        <w:t>THE ANTITRUST AUTHORITY</w:t>
        <w:br/>
        <w:t>IN ITS MEETING of December 16, 2015;</w:t>
        <w:br/>
        <w:t>HEARD the Rapporteur Dr. Gabriella Muscolo;</w:t>
        <w:br/>
        <w:t>VIEWED Part II, Title III of Legislative Decree No. 206 of September 6, 2005, containing the “Consumer Code” and subsequent amendments (hereinafter, Consumer Code);</w:t>
        <w:br/>
        <w:t>VIEWED the “Regulation on investigative procedures regarding misleading and comparative advertising, unfair commercial practices, violation of consumer rights in contracts, unfair clauses” (hereinafter, Regulation), adopted by the Authority with resolution of June 5, 2014, subsequently replaced by the “Regulation on investigative procedures regarding misleading and comparative advertising, unfair commercial practices, violation of consumer rights in contracts, violation of the prohibition of discrimination and unfair clauses” (hereinafter, New Regulation), adopted by the Authority with resolution of April 1, 2015;</w:t>
        <w:br/>
        <w:t>VIEWED the memorandum of understanding on consumer protection between the Antitrust Authority and the Authority for Electricity, Gas and Water Services, signed on October 29, 2014;</w:t>
        <w:br/>
        <w:t>VIEWED its provision of April 22, 2015, which ordered the inspection, pursuant to Article 27, paragraphs 2 and 3, of the Consumer Code, at the headquarters of Gori S.p.A.;</w:t>
        <w:br/>
        <w:t>VIEWED its provisions of July 22, 2015, and September 3, 2015, which, pursuant to Article 7, paragraph 3, of the Regulation, ordered the extension of the deadline for concluding the procedure;</w:t>
        <w:br/>
        <w:t>VIEWED the documents of the procedure;</w:t>
        <w:br/>
        <w:t>I. THE PARTIES</w:t>
        <w:br/>
        <w:t>1. G.O.R.I. S.p.A. - Optimal Management of Water Resources (“Gori”), as a professional pursuant to Article 18, letter b), of the Consumer Code. Gori is a mixed company with predominant public capital, the majority (51%) of which is held by the Sarnese Vesuviano Authority (“EASV”)1 and whose private industrial partner is a company controlled by Acea S.p.A.</w:t>
        <w:br/>
        <w:t>Gori is the entity that exclusively manages the Integrated Water Service (“SII”) in the Optimal Territorial Area No. 3 of the Campania Region (“ATO 3”), currently serving approximately 1,500,000 inhabitants and 76 municipalities. According to the last filed financial statement, Gori, as of December 31, 2014, reported a turnover of approximately 177 million euros2.</w:t>
        <w:br/>
        <w:t>1 The remaining 49% is divided as follows: (i) 37.05% is held by the private technological-industrial partner Sarnese Vesuviano S.r.l. (95.79% of which is in turn held by Acea S.p.A.); (ii) 11.93% is held by ASM (Special Multi-Services Company Pomigliano d'Arco); (iii) 0.02% is held by ASAM (Special Company Castellammare di Stabia).</w:t>
        <w:br/>
        <w:t>2 Doc. 232, prot. 66059, as per the index of the investigative file. The financial statement is currently also available on the professional's website.</w:t>
      </w:r>
    </w:p>
    <w:p>
      <w:r>
        <w:t>BULLETIN NO. 50 OF JANUARY 25, 2016 199</w:t>
        <w:br/>
        <w:t>2. The consumer associations Assoconsum (Naples section), National Consumers Union (sections of Castellammare di Stabia - Naples - and Mercato San Severino - Salerno), Codici (Campania section), and Mr. [omitted]3, as interveners.</w:t>
        <w:br/>
        <w:t>II. COMMERCIAL PRACTICES</w:t>
        <w:br/>
        <w:t>3. According to numerous reports in the documents, many of which were transmitted by the Authority for Electricity, Gas and Water Services (hereinafter also “AEEGSI”)4, partly received from consumer associations, condominium administrators, and users, during the period from January 2013 to October 2015, Gori engaged in the following conduct within the consumption relationship of the SII:</w:t>
        <w:br/>
        <w:t>A) Billing of amounts differing from those actually and intentionally consumed, with methods and timing detrimental to the user, along with the threat of suspension of the SII without adequate notice in case of non-payment of the aforementioned amounts5.</w:t>
        <w:br/>
        <w:t>4. Following the measurement of meters with significant delays, Gori (i) issued numerous invoices based on estimates that were sometimes incorrect or not aligned with the actual consumption of users, as well as numerous multi-year adjustments of very high amounts, without ensuring clear, precise, and timely information to users regarding discrepancies in self-readings, the return of amounts in case of billing corrections, and the possibility of installment payments; (ii) billed anomalous consumption not intentionally consumed by users in the presence of hidden leaks, without timely alerting them to the existence of such critical consumption situations; (iii) charged users for so-called past due amounts6 that differed from those actually owed.</w:t>
        <w:br/>
        <w:t>5. In order to recover the amounts thus billed, Gori relied on the threat of suspending the SII supply, without providing users with adequate notice regarding the timing of the suspension in case of non-payment, especially in exceptional cases where users managed to obtain an installment plan7.</w:t>
        <w:br/>
        <w:t>3 In this version, some data are omitted, as elements of confidentiality or secrecy of the information were deemed to exist.</w:t>
        <w:br/>
        <w:t>4 Doc. 43.</w:t>
        <w:br/>
        <w:t>5 See, for example, docs. prot. 50049 of 03/08/2015, prot. 50053 of 03/08/2015, prot. 50052 of 03/08/2015, prot. 48801 of 28/07/2015, prot. 35192 of 19/05/2015, prot. 28433 of 13/04/2015, prot. 54533 of 20/11/2014, prot. 53034 of 12/11/2014, prot. 54266 of 19/11/2014, prot. 54264 of 19/11/2014; as well as docs. n. 81, 26, 59, 78, 72, 64, 62, 57, 53, 38, 33, 25, 13 of the index of reports transmitted by AEEGSI.</w:t>
        <w:br/>
        <w:t>6 “Past due amounts” refer to “the adjustments owed to the managing entity, accrued in periods prior to the transfer to the [AEEGSI] of the regulatory and control functions of the sector, regulated by D.M. 1.8.1996 and quantified and approved by the competent Authorities at the time. The presence of ex post tariff adjustments [...] characterizes, due to its measurable dimension in some management contexts, the water sector, mainly due to the lack of tariff revisions that occurred in the years prior to the transfer to the Authority of the regulatory functions of the sector (December 2011)”; see Doc. AEEGSI for Consultation 230/2015/R/Idr, p. 18.</w:t>
        <w:br/>
        <w:t>7 See, for example, docs. prot. 43125 of 09/09/2014, prot. 58747 of 17/12/2014, prot. 21377 of 31/03/2014, prot. 21286 of 31/03/2014, 21252 of 31/03/2014, prot. 44197 of 17/09/2014, prot. 50822 of 29/10/2014, prot. 44197 of 17/09/2014, prot. 48263 of 24/07/2015, prot. 42962 of 08/09/2014, prot. 24709 of 23/03/2015, prot. 60304 of 30/12/2014, prot. 59966 of 24/12/2014; as well as docs. n. 73, n. 31 of the index of reports transmitted by AEEGSI.</w:t>
      </w:r>
    </w:p>
    <w:p>
      <w:r>
        <w:t>200 BULLETIN NO. 50 OF JANUARY 25, 2016</w:t>
        <w:br/>
        <w:t>B) Failure and delayed resolution of requests and complaints from users, along with the initiation or failure to halt billing actions and suspension of supply pending resolution8.</w:t>
        <w:br/>
        <w:t>6. Gori did not ensure a correct and timely management of user requests and complaints, in disregard of the quality standards imposed by contractual norms, the Charter, and the Regulation of the SII. In some cases, Gori did not respond to users' requests and, in any case, did not adopt or executed with significant delay the necessary interventions to resolve the issues reported by users. Gori also hindered users' right to raise the statute of limitations for consumption periods dating back in time, not conducting any verification in this regard and thus hindering users in exercising their right not to pay potentially time-barred amounts9.</w:t>
        <w:br/>
        <w:t>7. In various cases, during the processing of user requests and complaints or the resolution of the issues they reported, Gori initiated or otherwise did not halt the progress of billing procedures, default notices, and suspension of the SII, insisting with reminders and related threats of disconnection of supply against the affected users10.</w:t>
        <w:br/>
        <w:t>C) Charging of past due amounts upon activation or transfer of a user account.</w:t>
        <w:br/>
        <w:t>8. In the case of accounts with past due amounts, some users highlighted that Gori did not allow them to transfer the account unless the past due amounts of the previous account holder were settled11.</w:t>
        <w:br/>
        <w:t>III. THE OUTCOMES OF THE PROCEDURE</w:t>
        <w:br/>
        <w:t>1) The procedure process</w:t>
        <w:br/>
        <w:t>9. In relation to the aforementioned conduct, on April 29, 2015, the Parties were notified of the initiation of the investigative procedure PS/9919 against Gori, for possible violation of Articles 20, paragraphs 2 and 3, 21, paragraph 1, letters b), c), d), e), f), and g), and 22, paragraphs 1 and 2, as well as 24 and 25 of the Consumer Code, also taking into account the numerous reports transmitted by AEEGSI12.</w:t>
        <w:br/>
        <w:t>10. The subsequent procedural process was as follows:</w:t>
        <w:br/>
        <w:t>- on April 29, 2015, an inspection was conducted at Gori's headquarters;</w:t>
        <w:br/>
        <w:t>- on June 5, 2015, Gori responded to the request for information attached to the notification of the initiation of the procedure, presenting a defensive note and proposing the following commitments: (i) a user awareness campaign to encourage self-reading and repositioning of meters outside; (ii) automatic compensation in case of unaddressed complaints or those addressed beyond the deadlines set by the SII Charter, excluding those for past due amounts; (iii) provision - communicated in the invoice - of the possibility for non-delinquent domestic users to pay in installments whenever the amounts exceed 200 €; (iv) information provided to the user in the invoice, on the website, and at contact points regarding the methods of calculating consumption;</w:t>
        <w:br/>
        <w:t>8 See, for example, docs. prot. 47709 of 23/07/2015, prot. 41614 of 22/08/2013, prot. 18035 of 05/03/2014, prot. 19825 of 26/02/2015, prot. 16448 of 10/02/2015, prot. 16449 of 10/02/2015, prot. 16450 of 10/02/2015.</w:t>
        <w:br/>
        <w:t>9 See, for example, n. 79, n. 78, n. 65, n. 25, n. 24, n. 13 of the index of reports transmitted by AEEGSI.</w:t>
        <w:br/>
        <w:t>10 See, for example, docs. prot. 48263 of 24/07/2015, prot. 42962 of 08/09/2014, prot. 24709 of 23/03/2015, prot. 60304 of 30/12/2014, prot. 59966 of 24/12/2014.</w:t>
        <w:br/>
        <w:t>11 See, for example, docs. 4, 61, and 65, as well as docs. n. 44 and 50 of the index of reports transmitted by AEEGSI.</w:t>
        <w:br/>
        <w:t>12 Doc. 43.</w:t>
      </w:r>
    </w:p>
    <w:p>
      <w:r>
        <w:rPr>
          <w:b/>
        </w:rPr>
        <w:t>[Pages 199–201]</w:t>
      </w:r>
    </w:p>
    <w:p>
      <w:r>
        <w:t>BULLETIN NO. 50 OF JANUARY 25, 2016 201</w:t>
        <w:br/>
        <w:t>- on July 10, 2015, the proposal for commitments was rejected, given the interest in ascertaining any infringement, the partial nature of the commitments, and the high degree of offensiveness of the contested conduct;</w:t>
        <w:br/>
        <w:t>- on July 22, 2015, pursuant to Article 7, paragraph 3, of the Regulation, an extension of the deadline for concluding the procedure was ordered, due to specific investigative needs, with relative communication to the Parties;</w:t>
        <w:br/>
        <w:t>- on July 28, 2015, the hearing of the representatives of the Gori company took place;</w:t>
        <w:br/>
        <w:t>- on May 29, 2015, July 23, 2015, and October 12, 2015, the consumer associations Codici and the National Consumers' Union, as well as the user Mr. [omitted], were admitted to participate in the procedure;</w:t>
        <w:br/>
        <w:t>- on September 3, 2015, pursuant to Article 7, paragraph 3, of the Regulation, an extension of the deadline for concluding the procedure was ordered, in acceptance of the request made by the professional, with communication to the Parties;</w:t>
        <w:br/>
        <w:t>- on September 24, 2015, Gori submitted a defensive memorandum and a request for reconsideration of the aforementioned proposal for commitments, which was rejected by the Authority on October 8, 2015, because the proposed integrations to the commitments still appeared inadequate to overcome the initial objections;</w:t>
        <w:br/>
        <w:t>- during the procedure, Gori had access to the documents acquired in the file and extracted copies of all reports received up to the date of its last consultation of the documents*;</w:t>
        <w:br/>
        <w:t>- on October 9, 2015, the date of conclusion of the investigative phase was communicated to the Parties pursuant to Article 16, paragraph 1, of the Regulation, set for October 29, 2015. At that time, the conduct presumably in violation of the Consumer Code attributable to Gori was specified:</w:t>
        <w:br/>
        <w:t>(A) the critical issues in the procedures for ascertaining and billing the consumption of the Integrated Water Service (SII); (B) the critical issues in the procedure for identifying and billing consumption related to so-called hidden losses; (C) the critical issues in the procedure for managing user requests and complaints and other obstacles to the exercise of users' contractual rights; (D) the critical issues in the procedures for collecting bills, suspending, and disconnecting the supply of the SII; (E) the imposition of payment of past due amounts in the case of transfers and takeovers of the user;</w:t>
        <w:br/>
        <w:t>- on October 21, 2015, the deadline for closing the investigation was extended to November 9, 2015, in acceptance of the request made by the professional;</w:t>
        <w:br/>
        <w:t>- on November 9, 2015, Gori and Codici submitted their final memoranda;</w:t>
        <w:br/>
        <w:t>- on November 10, 2015, the opinion of AEEGSI was requested pursuant to Article 27, paragraph 1-bis, which was received on December 11, 2015.</w:t>
        <w:br/>
        <w:t>2) The evidence acquired</w:t>
        <w:br/>
        <w:t>11. The procedure concerns the provision of the SII, consisting of water supply services, sewage, and purification. The SII is provided under a legal monopoly by a subject chosen by the Area Authority that operates in the Optimal Territorial Areas identified by the Local Authorities, in compliance with contractual norms and the provisions contained in the Charter and Regulation of the SII.</w:t>
        <w:br/>
        <w:t>* See documents 78-bis, 177-bis, 22-bis, and 231.</w:t>
        <w:br/>
        <w:t>13 Distribution up to the points of withdrawal of drinking water intended for human consumption and agricultural and industrial uses.</w:t>
        <w:br/>
        <w:t>14 Since 2012, the tariffs of the SII have been set by AEEGSI, whereas previously they were set by the Area Authority.</w:t>
      </w:r>
    </w:p>
    <w:p>
      <w:r>
        <w:t>202 BULLETIN NO. 50 OF JANUARY 25, 2016</w:t>
        <w:br/>
        <w:t>12. Specifically, the procedure concerns the conduct adopted by Gori towards the users of the SII in the management of the following essential phases of the consumption relationship: billing and measurement of consumption, refunds and collection of bills; handling of user requests and complaints and the procedure for default notices and suspension of supply.</w:t>
        <w:br/>
        <w:t>Billing with detrimental methods and timing for users</w:t>
        <w:br/>
        <w:t>13. In general, bills are issued quarterly. To ensure this frequency, in the absence of measurements (taken by the operator or transmitted by users), bills may be issued in advance, based on the historical consumption of users in the corresponding period of the previous year (i.e., the actual consumption recorded and verified by the operator during that time frame), with a settlement made when measurements for the relevant consumption periods are obtained.</w:t>
        <w:br/>
        <w:t>14. During the period under investigation, in relation to numerous users, Gori issued, on the one hand, repeated billing cycles based on estimates - which sometimes proved inconsistent with actual consumption - and, on the other hand, substantial settlement bills (also for consumption periods dating back in time) for users to whom it had previously billed several advance bills.</w:t>
        <w:br/>
        <w:t>15. Specifically, in the period from January 1, 2013, to April 30, 2015, Gori issued a significant number of bills based on estimated consumption for a period exceeding 13 months.</w:t>
        <w:br/>
        <w:t>Year Users with estimated consumption for over Total users</w:t>
        <w:br/>
        <w:t>Percentage</w:t>
        <w:br/>
        <w:t>issuance 13 months billed</w:t>
        <w:br/>
        <w:t>2013 [400-500 thousand] [500-600 thousand] [80-90%]</w:t>
        <w:br/>
        <w:t>2014 [200-300 thousand] [500-600 thousand] [40-50%]</w:t>
        <w:br/>
        <w:t>I Q 2015 [100-200 thousand] [500-600 thousand] [20-30%]</w:t>
        <w:br/>
        <w:t>16. In the same period, Gori issued a significant number of settlement bills related to periods exceeding 12 months for numerous users.</w:t>
        <w:br/>
        <w:t>Year Settlement bills</w:t>
        <w:br/>
        <w:t>Amount issued Users Percentage</w:t>
        <w:br/>
        <w:t>issuance</w:t>
        <w:br/>
        <w:t>2013 [10-20 million] [100-200 thousand] [500-600 thousand] [30-40%]</w:t>
        <w:br/>
        <w:t>2014 [60-70 million] [300-400 thousand] [500-600 thousand] [60-70%]</w:t>
        <w:br/>
        <w:t>I Q.</w:t>
        <w:br/>
        <w:t>[10-20 million] [50-100 thousand] [500-600 thousand] [10-20%]</w:t>
        <w:br/>
        <w:t>2015</w:t>
        <w:br/>
        <w:t>15 For users supplied with calibrated meters, a semi-annual frequency is instead provided in advance.</w:t>
        <w:br/>
        <w:t>16 Charter of the SII, p. 14.</w:t>
        <w:br/>
        <w:t>17 Document 206.</w:t>
        <w:br/>
        <w:t>18 Document 206.</w:t>
      </w:r>
    </w:p>
    <w:p>
      <w:r>
        <w:t>BULLETIN NO. 50 OF JANUARY 25, 2016 203</w:t>
        <w:br/>
        <w:t>The omitted and delayed measurements of consumption</w:t>
        <w:br/>
        <w:t>17. In the water sector, meter readings must be performed at least twice a year, with the operator being able to modify this frequency to include supplementary readings.</w:t>
        <w:br/>
        <w:t>18. During the period under investigation, Gori did not ensure continuity in the periodicity of consumption measurements within the aforementioned limit of at least 2 annual readings.</w:t>
        <w:br/>
        <w:t>19. More specifically, at the end of 2013, out of a number of users equal to [500-600 thousand], Gori performed readings for only [300-400 thousand] users (equal to [70-80%]), leaving [100-150 thousand] users unread.</w:t>
        <w:br/>
        <w:t>20. In 2014, out of a number of users equal to [500-600 thousand], and in light of the consequent obligation to perform at least [1,000-1,100 thousand] measurements (i.e., as seen, at least 2 readings per user), the professional instead performed only [400-500 thousand] readings (i.e., [40-50%]), leaving [500-600 thousand] readings to be performed (i.e., [50-60%]). In particular, in 2014, Gori attempted to complete the reading cycle for the year 2013 and to take measurements for [20-30 thousand] active users as of December 31, 2011, but without a reading since January 1, 2008. The visited users were [400-500 thousand], but for only [50-100 thousand] users was more than one visit made, although the visit does not always imply a reading, as reported below.</w:t>
        <w:br/>
        <w:t>Number of visits Users Total number of visits</w:t>
        <w:br/>
        <w:t>4 [0-100] [0-100]</w:t>
        <w:br/>
        <w:t>3 [1-10 thousand] [1-10 thousand]</w:t>
        <w:br/>
        <w:t>2 [60-70 thousand] [130-140 thousand]</w:t>
        <w:br/>
        <w:t>1 [400-500 thousand] [400-500 thousand]</w:t>
        <w:br/>
        <w:t>Total [400-500 thousand] [500-600 thousand]</w:t>
        <w:br/>
        <w:t>19 See DPCM of April 29, 1999; Charter of the SII, section on billing; Regulation of the SII, Article 10.</w:t>
        <w:br/>
        <w:t>20 Inspection documents no. 8-9, 24, 33 as per the index attached to the minutes of the inspections carried out at Gori's headquarters, as well as documents 206 and 208.</w:t>
        <w:br/>
        <w:t>21 Document 232, prot. 66059.</w:t>
        <w:br/>
        <w:t>22 Document 232, prot. 66059.</w:t>
        <w:br/>
        <w:t>23 Inspection document no. 8.</w:t>
        <w:br/>
        <w:t>24 Document 232, prot. 66059.</w:t>
      </w:r>
    </w:p>
    <w:p>
      <w:r>
        <w:rPr>
          <w:b/>
        </w:rPr>
        <w:t>[Pages 202–204]</w:t>
      </w:r>
    </w:p>
    <w:p>
      <w:r>
        <w:t>204 BULLETIN NO. 50 OF JANUARY 25, 2016</w:t>
        <w:br/>
        <w:t>Codified Note Count</w:t>
        <w:br/>
        <w:t>Reading performed [400,000-500,000]</w:t>
        <w:br/>
        <w:t>Inactive authorization [1,000-10,000]</w:t>
        <w:br/>
        <w:t>Illegal connection [100-1,000]</w:t>
        <w:br/>
        <w:t>Faulty meter [1,000-10,000]</w:t>
        <w:br/>
        <w:t>Temporary disconnection connection [100-1,000]</w:t>
        <w:br/>
        <w:t>Inaccessible [1,000-10,000]</w:t>
        <w:br/>
        <w:t>Incorrect address [10,000-20,000]</w:t>
        <w:br/>
        <w:t>Refuses reading [20,000-30,000]</w:t>
        <w:br/>
        <w:t>Removed [1,000-10,000]</w:t>
        <w:br/>
        <w:t>User absent [60,000-70,000]</w:t>
        <w:br/>
        <w:t>21. In the first 9 months of 2015, Gori visited [500-600 thousand] users out of a total of users in reading equal to [600-650 thousand], with a visit percentage of [80-90%]; however, as seen, visits do not always imply reading. In any case, in May 2015, readings still needed to be taken for almost 10,000 users contracted as of December 31, 2011 but without readings since January 1, 2008, as well as for [40,000-50,000] users for whom no readings had been taken in the previous two years25.</w:t>
        <w:br/>
        <w:t>The acquisition of self-readings and information on the outcomes of their transmission</w:t>
        <w:br/>
        <w:t>22. To communicate their reading, the user has several channels available26:</w:t>
        <w:br/>
        <w:t>- Commercial Toll-Free Number: checks are performed automatically at the time of entry into the systems of the self-reading on the historical consumption of the user, and in the case of non-acquisition of the self-reading, no communication is given to the user.</w:t>
        <w:br/>
        <w:t>- Online Counter: the user can communicate their reading after registering on the website by entering their data (user code, tax code or VAT number, email address); the reading check is performed automatically on the historical consumption of the user, and the self-readings acquired from the online counter are tracked as self-reading on the bill.</w:t>
        <w:br/>
        <w:t>- User Counter: the checks performed before the acquisition of the self-reading concern the historical consumption of the user; the discarded and not acquired reading is communicated directly to the user.</w:t>
        <w:br/>
        <w:t>- Email: the check concerns the historical consumption of the user, and in case of non-acquisition, no information is provided to the user.</w:t>
        <w:br/>
        <w:t>- Self-reading postcard: if the user is absent during the reading round, only after at least 2 reading attempts is a specific self-reading postcard issued, which can be delivered by the user to the Gori contact point, in case the same user does not wish to use one of the aforementioned channels27.</w:t>
        <w:br/>
        <w:t>25 Inspection documents no. 8 and 33.</w:t>
        <w:br/>
        <w:t>26 Doc. 88, prot. 38826.</w:t>
        <w:br/>
        <w:t>27 Doc. 88, prot. 38826.</w:t>
      </w:r>
    </w:p>
    <w:p>
      <w:r>
        <w:t>BULLETIN NO. 50 OF JANUARY 25, 2016 205</w:t>
        <w:br/>
        <w:t>23. The self-readings communicated by users are valid for billing purposes, except when the data provided is inconsistent with the average historical consumption of the user. During the period under investigation, Gori discarded on average about [5-10%] of the self-readings received (equal to about [1-10 thousand] in 2013-2014 and [1-10 thousand] in the 1st quarter of 201528), communicating the discard only to users who used the User Counter.</w:t>
        <w:br/>
        <w:t>Hidden losses and excessive consumption</w:t>
        <w:br/>
        <w:t>24. In general, hidden losses are water losses due to breakage or malfunctioning of private water systems, whether buried or embedded, which cannot be detected from the outside: being invisible, they can go unnoticed until an anomaly in consumption emerges. Therefore, hidden losses can be detected especially through frequent reading of consumption: if performed at the correct time intervals, the detection allows for revealing excessive consumption compared to the average historical consumption of users.</w:t>
        <w:br/>
        <w:t>25. Gori has a system for notifying the customer of any anomalies in consumption through written communication and an invitation to contact the operator before the issuance of the bill, which is activated only in the presence of consumption amounts equal to or greater than €5,00029.</w:t>
        <w:br/>
        <w:t>26. From the evidence in the records, it also emerged that: (i) regarding the so-called "excessive readings" (i.e., those that exceed the average historical consumption of the user), Gori, before considering them billable, performs only a sample check of about [5-10%] of users, prioritizing those with readings that result in consumption greater than 400 cubic meters; (ii) regarding "excessive consumption" (i.e., only those exceeding 5 times the average consumption of the user)30, the billing service, before entering the data into the system, performs checks using photos of the meters and, in the absence of anomalies, proceeds with billing, unless the amount exceeds €5,00031.</w:t>
        <w:br/>
        <w:t>27. In communications sent to users who complain of excessive consumption or hidden losses, Gori: (i) replies that the obligation to read is irrelevant because the user, pursuant to Article 21, SII Regulation, is responsible for the maintenance of the internal system32 at their own expense and is liable for losses; (ii) if the user certifies that the alleged loss is the basis for the significant consumption recorded with appropriate documentary evidence, it declares its willingness to recalculate the amount due; (iii) invites the user to resubmit the request for a discount by sending suitable documentation proving the loss and repair of the internal system (e.g., photographic evidence, plumber's invoice, etc.)33.</w:t>
        <w:br/>
        <w:t>28. For requests for discounts for hidden losses deemed justified, Gori proceeds to determine the actual consumption for the loss period up to the date of repair, the average historical quarterly consumption or subsequent to the loss, and the excess consumption. Subsequently, the billed amount related to the loss period is recalculated by applying the lowest applicable tariff of the period to the historical consumption and the basic domestic tariff to the excess consumption, not considering the tariff portions related to sewerage and purification services34.</w:t>
        <w:br/>
        <w:t>29. The impact of hidden losses and, more generally, excessive consumption, is very significant for users: the amount adjusted by Gori in the first 7 months of 2014 was [1-5] million euros, resulting from the cancellation and reissuance of bills arising, in particular, from requests for discounts for losses35.</w:t>
        <w:br/>
        <w:t>The criteria for quantification and allocation of the so-called past items</w:t>
        <w:br/>
        <w:t>30. The "past items"36 consist of the recovery of revenues guaranteed to Gori (and other operators) from the application of the previous tariff method, but which had not been collected through the actual application of the initially determined tariffs.</w:t>
        <w:br/>
        <w:t>31. Specifically, for what is of interest here, Del. AEEGSI no. 643/2013/R/water established that the past items had to be quantified and approved by EASV (and other Area Authorities) by June 30, 2014. In order to promote maximum transparency for users, the collection of past items had to adhere to the following rules: a) adjustments had to be expressed in units of consumption, that is, the total adjustment had to be divided by the cubic meters supplied in 2012, and the result thus obtained had to be applied based on the consumption of users in the same year; b) adjustments had to be highlighted on the bill separately from the tariffs approved for the current year; c) specification of the reference period for the adjustments.</w:t>
        <w:br/>
        <w:t>32. EASV established the amount of past items for the years 2006-201137, ordering their recovery over 4 years starting from 2014, at a rate of 50% in the first year and the remaining 50% in three annual installments of 16.67% of the total amount, respectively in 2015, 2016, and 201738.</w:t>
        <w:br/>
        <w:t>33. The final quantification and allocation of past items to individual users based on their consumption had to be carried out by Gori (and other operators), as it was not subject to regulation by AEEGSI. Thus, to determine the amount to be applied for the year 2014, Gori divided the total amount contained in Del. EASV no. 46 of July 3, 2014 (equal to €61,247.51) by the total consumption for the year 2012.</w:t>
        <w:br/>
        <w:t>34. In order to determine the consumption for 2012, Gori considered not only the cubic meters based on actual readings (i.e., those resulting from actual readings), but also the cubic meters in advance for users not adjusted as of August 31, 201439, as well as the active users as of the extraction date40. The unit amount Euro/m3 thus defined was applied by Gori, for each individual tariff component (Water, Sewer, Purification), to the consumption for 2012.</w:t>
        <w:br/>
        <w:t>34 Documents 88, 206, 208.</w:t>
        <w:br/>
        <w:t>35 Inspection document no. 66.</w:t>
        <w:br/>
        <w:t>36 For the definition of past items see above, note no. 4.</w:t>
        <w:br/>
        <w:t>37 This amount had already been recognized with Del. EASV no. 5 of October 27, 2012, but not considered, pursuant to the Transitional Tariff Method adopted by AEEGSI, for the calculation of tariffs for 2012 and 2013.</w:t>
        <w:br/>
        <w:t>38 Del. EASV no. 5 of October 27, 2012, no. 43 of June 30, 2014, and no. 46 of July 3, 2014. The amount to be collected in 2014 was therefore €61,247.51, while in the years 2015, 2016, and 2017 it was instead €20,415,838.</w:t>
        <w:br/>
        <w:t>39 The percentage of estimates compared to the total consumption for 2012 was [15-20%] for a total of [30-35] million cubic meters estimated (see doc. 206).</w:t>
        <w:br/>
        <w:t>40 Doc. 206.</w:t>
      </w:r>
    </w:p>
    <w:p>
      <w:r>
        <w:rPr>
          <w:b/>
        </w:rPr>
        <w:t>[Pages 205–207]</w:t>
      </w:r>
    </w:p>
    <w:p>
      <w:r>
        <w:t>BULLETIN NO. 50 OF JANUARY 25, 2016 207</w:t>
        <w:br/>
        <w:t>of the following users: (i) Active users at the time of calculation; (ii) Users with a supply start date less than or equal to December 31, 2012.</w:t>
        <w:br/>
        <w:t>35. The checks aimed at identifying whether the volume considered was that actually consumed by the users were carried out only on a sample basis, almost 2 months after the extraction of the data and the related calculations for the allocation of past amounts to individual users, as well as after the sending of bills for the collection of the amounts thus determined41. Within the scope of these checks, doubts and critical issues emerged regarding the calculations made, summarized at [omissis] by Gori in an internal discussion concerning the following types of users42:</w:t>
        <w:br/>
        <w:t>“(i) Canceled users but not billed</w:t>
        <w:br/>
        <w:t>[1,000-5,000] users in a canceled state to be billed […] final reading prior to 31/08/2014. These amounts should be canceled, because at the time of the extraction of the competencies they were effectively inactive even if not yet billed. Currently, we are not yet billing the cancellations and from 31/08/2014 to date there are further [1,000-5,000] cancellations that contain REPP amounts [i.e. past amounts]… should we extend the exclusion date for such cancellations?;</w:t>
        <w:br/>
        <w:t>(ii) Users for whom the consumption of water, sewage, and purification are not the same (e.g. Water 100mc, sewage 50mc, purification 50mc)</w:t>
        <w:br/>
        <w:t>About [100-1,000] users. From sample examples, there are users treated as plant losses, for which previously it was not managed at the level of amounts but by deducting the mc to be billed for sewage and purification.</w:t>
        <w:br/>
        <w:t>(iii) Users for whom losses have been recorded and consumers have received discounts</w:t>
        <w:br/>
        <w:t>Users complain that the calculation made […] was carried out on mc for which Gori has also certified the loss and, therefore, not related to usual consumption. How should we behave?</w:t>
        <w:br/>
        <w:t>(iv) Users not connected to sewage or not purified</w:t>
        <w:br/>
        <w:t>Since the value of the amount is the sum of what has been consumed for water, sewage, and purification, where the user indicates that they are not connected to sewage or purified, should the amount be canceled?</w:t>
        <w:br/>
        <w:t>(v) Well Users</w:t>
        <w:br/>
        <w:t>For the competencies of 2012, adjustments were made to the amount in which the mc were deducted. The calculations were all made externally, so it is likely that the counting is not correct.</w:t>
        <w:br/>
        <w:t>(vi) Users not adjusted for whom readings are available to normalize</w:t>
        <w:br/>
        <w:t>It could happen that a past amount is sent for a consumption billed in advance and shortly after a 2012 adjustment bill arrives (with a reading detected even before the calculation of the past amounts) that contradicts the calculated consumption for that amount.</w:t>
        <w:br/>
        <w:t>(vii) Users who entered into a contract in 2012</w:t>
        <w:br/>
        <w:t>Various reports are arriving at the counters for such users in which it is complained that, having had no consumption for the previous years, it is not understood why they should provide for the payment of past amounts (requests for correction have also been opened at the counters). I reviewed Del. AEEGSI n. 643/2013 and could not identify such a rule, is it correct that it is also applied to them? […]”.</w:t>
        <w:br/>
        <w:t>41 Inspection documents n. 25 and 137.</w:t>
        <w:br/>
        <w:t>42 Inspection documents n. 137.</w:t>
      </w:r>
    </w:p>
    <w:p>
      <w:r>
        <w:t>208 BULLETIN NO. 50 OF JANUARY 25, 2016</w:t>
        <w:br/>
        <w:t>36. Gori's awareness of the critical issues related to users sub vii is also evident from correspondence between the professional and another operator43. This operator had received in April 2015 from AEEGSI a communication aimed at responding to the concerns expressed by a consumer association regarding the collection of past amounts from inactive users during the consumption periods affected by such adjustments. In this communication, AEEGSI noted that: “Regarding [the] recovery of past amounts related to the years '2006-2011' from users active in 2012, […] the formulation [of Del. 643/2012/R/water] does not obviously negate the applicability, to the case in question, of the general principles regarding obligations and contracts. Therefore […] users may evaluate the opportunity to contest or challenge the payment request in the competent judicial venues”44. Given the content of this communication, the professional and the operator in question deemed it appropriate to “evaluate the necessary initiatives to counter this attitude by AEEGSI”45.</w:t>
        <w:br/>
        <w:t>37. From the evidence acquired46, it also appears that, on one hand, Gori, despite the suspension of collection ordered by EASV, continued to send bills for past amounts and, on the other hand, that such bills did not indicate the consumption for the year 2012 on which the amounts requested from individual users were determined and allocated.</w:t>
        <w:br/>
        <w:t>The installment methods and disconnection without notice for non-payment of an installment or an ordinary bill</w:t>
        <w:br/>
        <w:t>38. Gori, in the bills issued, even for those relating to extended reference periods and very high amounts47, did not indicate in the bill the possibility for the user to request an installment plan48.</w:t>
        <w:br/>
        <w:t>39. Gori, in its internal procedure, indeed starts from the assumption that “the installment of the amounts due can only be granted in exceptional cases, as it does not represent a right of the user”49, subordinating any possible granting to the conditions reported below, from which it emerges, in particular, that Gori, regardless of the billed amounts and the related causes, does not grant another installment plan if the user fails to meet the deadlines of a previous installment plan50.</w:t>
        <w:br/>
        <w:t>43 Inspection document n. 416.</w:t>
        <w:br/>
        <w:t>44 Inspection document n. 416.</w:t>
        <w:br/>
        <w:t>45 Inspection document n. 416.</w:t>
        <w:br/>
        <w:t>46 Document 41, prot. 57095.</w:t>
        <w:br/>
        <w:t>47 See the table of adjustments issued by the professional reported in par. 17 of this provision.</w:t>
        <w:br/>
        <w:t>48 For example, in one case, an adjustment bill of 3,242 euros, despite delays in reading (installation of the meter in September 2008 and first reading on 5.12.2013) and in billing (bill of 29.4.2014). See inspection document n. 417.</w:t>
        <w:br/>
        <w:t>49 Inspection document n. 86.</w:t>
        <w:br/>
        <w:t>50 See document 13, prot. 25698.</w:t>
      </w:r>
    </w:p>
    <w:p>
      <w:r>
        <w:t>BULLETIN NO. 50 OF JANUARY 25, 2016 209</w:t>
        <w:br/>
        <w:t>Table A – Requirements for granting an installment plan</w:t>
        <w:br/>
        <w:t>A1 Customers with adjustment bills of an amount greater than double the highest charge billed in estimated or advance bills received after the previous adjustment bill and, in any case, to all customers for whom, due to a malfunction of the measuring group for reasons not attributable to them, payment is requested for consumption not recorded by the measuring group (reconstructions and/or charges for multi-year consumption)</w:t>
        <w:br/>
        <w:t>A2 Customers (classified as “failed deliveries”) who have rectified their personal and/or contractual position and who, for this reason, find themselves in a state of arrears. For users subject to failed delivery, those with at least 3 undelivered bills are meant, and for whom it has not been possible to send any notice of arrears (Registered Mail A/R)</w:t>
        <w:br/>
        <w:t>A3 Domestic customers who declare to be in economically/financially disadvantaged conditions and who intend to rectify their debt position</w:t>
        <w:br/>
        <w:t>A4 Customers who fall within the definition of “weak users” according to the ISEE classification of the corresponding regulation approved by EASV</w:t>
        <w:br/>
        <w:t>Table B – Exclusion Cases</w:t>
        <w:br/>
        <w:t>B1 Customers for whom there is an ongoing installment plan and who do not fall within the definition A1</w:t>
        <w:br/>
        <w:t>B2 Customers in the process of enforced collection</w:t>
        <w:br/>
        <w:t>B3 Customers referred to law firms for recovery in court</w:t>
        <w:br/>
        <w:t>B4 Customers who have not met the deadlines agreed upon in previous installment agreements</w:t>
        <w:br/>
        <w:t>40. The stipulation of an installment plan normally involves the application of default interest on the individual installments (up to the expiration of the last one), with the charge in a single solution on the first useful bill, subsequent to the expiration date of the last installment of the agreement51.</w:t>
        <w:br/>
        <w:t>41. The number of installments granted should vary depending on the type of user (domestic or non-domestic) and the amount ranges, as reported in the following table:</w:t>
        <w:br/>
        <w:t>[omissis]</w:t>
        <w:br/>
        <w:t>42. However, from the inspection evidence, it emerged that Gori does not always accept requests for installment plans52 and, in any case, in the exceptional cases in which it grants an installment plan, it applies standardized criteria that disregard the requested amounts and foresee rather close installments53.</w:t>
        <w:br/>
        <w:t>51 For example, in the presence of a bill on estimated consumption for a reference period of almost 2 years and based on a previous reading that turned out to be incorrect, Gori still applied default interest, requesting payment “in a single solution with the possibility of installment increasing by 3.75% for each individual installment” (Document 54, prot. 10949).</w:t>
        <w:br/>
        <w:t>52 Document 230 and 230-bis.</w:t>
        <w:br/>
        <w:t>53 This is particularly evident from an email addressed to the local counters and the credit unit in which it was communicated: “for the adjustment bills issued with the last billing cycle, it is possible to proceed with the installment in n. 3 installments (of equal amount) of the single document without proceeding to the stipulation of the installment agreement and without the signing of any form. The conditions for being able to use this form of installment are: (i) the user must be a resident domestic type; (ii) it must be an adjustment bill with an amount greater than €250.00; (iii) they must be absolutely up to date with previous payments […] The deadline for the first installment must correspond with the</w:t>
      </w:r>
    </w:p>
    <w:p>
      <w:r>
        <w:rPr>
          <w:b/>
        </w:rPr>
        <w:t>[Pages 208–210]</w:t>
      </w:r>
    </w:p>
    <w:p>
      <w:r>
        <w:t>210 BULLETIN NO. 50 OF JANUARY 25, 2016</w:t>
        <w:br/>
        <w:t>43. In the forms for the agreement and the request for installment payment, Gori also establishes that “In the absence of payment of current invoices or even of a single installment within the indicated terms, [Gori] will proceed, without further notice, to the immediate interruption of the supply, the removal of the meter, and the initiation of debt recovery actions”54.</w:t>
        <w:br/>
        <w:t>The methods of communication and arrangement of refunds</w:t>
        <w:br/>
        <w:t>44. In cases of adjustments in favor of the user, Gori sends an invoice with an amount equal to zero, returning the related credits to offset against subsequent invoices. The inclusion on the first page of the aforementioned invoice of the following wording: “The amount of Euro 0.00 will be credited to you in the next bill”55 would serve to inform the user of the existence of their credit.</w:t>
        <w:br/>
        <w:t>45. Gori has reported that it has also considered the possibility of a refund of users' credits, upon request from the interested user on a form downloadable from its website, called: “Form P – Commercial Refund – Commercial refund for double payment of the same bill, negative bill, waiver of works, undue charges, etc.”56.</w:t>
        <w:br/>
        <w:t>The procedure for recovering billed amounts in case of default</w:t>
        <w:br/>
        <w:t>46. Gori's actions for recovering defaults depend on the amount of the outstanding payment: (i) below €50, the amount is added to that of the subsequent invoice; (ii) between €50 and €250, Gori sends a payment reminder; (iii) for credits exceeding €250 and for users who have not complied with the first payment reminder, Gori sends a letter of formal notice with advance notice of disconnection via registered mail with return receipt, except for users placed on so-called blocking cycles57. The placement of the user on such blocking cycles should inhibit the billing of the affected users and the initiation or continuation of recovery actions and is carried out for reasons concerning, for example, complaint verification, recalculation for hidden loss, user awaiting credit note58.</w:t>
        <w:br/>
        <w:t>47. The reminder letter, formal notice, and advance notice of suspension of the SII is sent by registered mail with return receipt, at least 10 days after the invoice due date. This letter, in addition to stating the user's outstanding balance and payment methods, contains both the formal notice and the advance notice of disconnection59 in case of non-payment of the default within and no later than 30 days from the letter:</w:t>
        <w:br/>
        <w:t>“If you do not regularize your debt position within and no later than 30 days from this notice, [Gori] will be forced […] to suspend and interrupt the provision of the [SII] without further notice […] [emphasis added] 60.” The letter does not specify the time frame within which disconnection will occur in case of non-payment within the stipulated terms.</w:t>
        <w:br/>
        <w:t>The two subsequent deadlines must have a monthly cadence (e.g. Invoice due 10/04/2014. I Installment (34% of the invoice) due 10/04/2014 - II Installment (33% of the invoice) due 10/05/2014 - III Installment (33% of the invoice) due 10/06/2014)”; see. Doc. inspection no. 373.</w:t>
        <w:br/>
        <w:t>54 Inspection docs no. 90 and 373.</w:t>
        <w:br/>
        <w:t>55 Doc. 206.</w:t>
        <w:br/>
        <w:t>56 Doc. 206.</w:t>
        <w:br/>
        <w:t>57 Docs. 88 and 232.</w:t>
        <w:br/>
        <w:t>58 Docs. 88 and 232.</w:t>
        <w:br/>
        <w:t>59 Docs. 88 and 232.</w:t>
        <w:br/>
        <w:t>60 Inspection doc no. 105.</w:t>
      </w:r>
    </w:p>
    <w:p>
      <w:r>
        <w:t>BULLETIN NO. 50 OF JANUARY 25, 2016 211</w:t>
        <w:br/>
        <w:t>48. In an email exchange at the end of 2013, a draft notice was found to be posted in delinquent condominiums, still subject to internal revisions by the manager, within the discussions regarding the possible adoption of a specific procedure for condominiums: “NOTICE – […] it is communicated that from a verification […] there is a persistent and significant default. Therefore, if you do not regularize your debt position within and no later than 20 days from the posting of this notice, [Gori] will be forced […] to suspend and interrupt the provision of the [SII] without further notice. In mutual interest and in order to allow [Gori] to update the accounting situation related to the Condominium, we again invite the current administrator to promptly report the payment made and/or urgently contact our offices […]” (emphasis in the text)61.</w:t>
        <w:br/>
        <w:t>49. During the period under investigation, Gori issued approximately 60,000 warnings and formal notices with advance notice of disconnection of the SII annually, mostly related to users billed by estimate for over 13 months, some of whom also received adjustments for periods exceeding 12 months62. Available data shows that about one-fifth of users billed by estimate for over 12 months received warning and formal notice communications in 2014-15.</w:t>
        <w:br/>
        <w:t>Total number of warnings and formal notices with</w:t>
        <w:br/>
        <w:t>Year Amount million €</w:t>
        <w:br/>
        <w:t>advance notice of disconnection</w:t>
        <w:br/>
        <w:t>2013 [60-70 thousand] [60-70]</w:t>
        <w:br/>
        <w:t>2014 [50-60 thousand] [80-90]</w:t>
        <w:br/>
        <w:t>I Quarter 2015 [20-30 thousand] [15-25]</w:t>
        <w:br/>
        <w:t>Number of warnings and formal notices with % of total</w:t>
        <w:br/>
        <w:t>Year advance notice of disconnection sent to estimated users for estimated users for</w:t>
        <w:br/>
        <w:t>period &gt; 13 months period &gt; 13 months</w:t>
        <w:br/>
        <w:t>2013 [50-60 thousand] [10-15%]</w:t>
        <w:br/>
        <w:t>2014 [40-50 thousand] [20-25%]</w:t>
        <w:br/>
        <w:t>I Quarter 2015 [20-30 thousand] [20-25%]</w:t>
        <w:br/>
        <w:t>50. The deliverer provides a monthly list of the delivery outcomes of the reminder and payment letters. This list is cross-referenced by Gori's Commercial Unit with the list of formal notices with outstanding defaults in order to identify users who have received the advance notice of disconnection and have not yet paid; for such users, a disconnection execution order is issued, excluding users placed on blocking cycles.</w:t>
        <w:br/>
        <w:t>61 Inspection doc no. 100.</w:t>
        <w:br/>
        <w:t>62 Docs. 206 and 208.</w:t>
      </w:r>
    </w:p>
    <w:p>
      <w:r>
        <w:t>212 BULLETIN NO. 50 OF JANUARY 25, 2016</w:t>
        <w:br/>
        <w:t>51. During the considered period, Gori executed the disconnection of the SII for an increasing number of users.</w:t>
        <w:br/>
        <w:t>Year Number of users disconnected for default</w:t>
        <w:br/>
        <w:t>2013 [0-5 thousand]</w:t>
        <w:br/>
        <w:t>2014 [10-15 thousand]</w:t>
        <w:br/>
        <w:t>I Quarter 2015 [5-10 thousand]</w:t>
        <w:br/>
        <w:t>52. About [10-20%] of disconnection orders were generated due to non-compliance with an installment payment plan; in such cases, Gori's procedure does not provide for the sending of any advance notice of disconnection63.</w:t>
        <w:br/>
        <w:t>The management of user requests and complaints</w:t>
        <w:br/>
        <w:t>53. Gori users can submit requests and complaints (written and oral) to report issues concerning, for example, billing, user checks, malfunctioning meters, requests for technical services, installment payments, or self-reading, through physical, online, and telephone counters made available by Gori or via FAX, letter, and email.</w:t>
        <w:br/>
        <w:t>54. In the Operational Procedure for managing complaints, Gori qualifies the complaint as “Verbal or written communication with which the user contests to the Company any violation of the principles indicated in the Charter [SII] and/or non-compliance with the service obtained with respect to one or more requirements defined by the signed supply contract, by the Regulation [SII] or regarding any other aspect related to the relationships between the Company and the subject”64.</w:t>
        <w:br/>
        <w:t>55. The aforementioned procedure is divided into three phases: (i) receipt of the complaint; (ii) registration and classification; (iii) handling and response65.</w:t>
        <w:br/>
        <w:t>56. More specifically, in the case of a complaint presented at the physical or telephone counter, the operator makes an attempt for immediate resolution, providing the necessary support to the user. If the user still wishes to submit a written complaint, the operator assists them in filling out the “Complaint Form” (if presented at the physical counter) or informs them about the submission methods (if it is a telephone contact). Daily, the counter operator collects the “Complaint Form” from the appropriate boxes and transmits them to the Real Estate and Document Unit, responsible for the incoming protocol of complaint forms and other communications classified as “complaint”.</w:t>
        <w:br/>
        <w:t>The same unit, based on content and origin, sorts the complaints to the Service Quality unit and, for information, to the other units66.</w:t>
        <w:br/>
        <w:t>57. Other complaints, for which the date of receipt is valid, are directly registered and classified by the Service Quality unit. For complaints via email, only those with an attached letter are registered.</w:t>
        <w:br/>
        <w:t>63 Doc. 88.</w:t>
        <w:br/>
        <w:t>64 Inspection doc no. 427.</w:t>
        <w:br/>
        <w:t>65 Inspection doc no. 427.</w:t>
        <w:br/>
        <w:t>66 In the event that the complaint does not reach the “Real Estate and Document” unit, but any other company function/unit, the latter must promptly forward the complaint to the “Real Estate and Document” unit, which will proceed according to the aforementioned methods.</w:t>
      </w:r>
    </w:p>
    <w:p>
      <w:r>
        <w:rPr>
          <w:b/>
        </w:rPr>
        <w:t>[Pages 211–213]</w:t>
      </w:r>
    </w:p>
    <w:p>
      <w:r>
        <w:t>BULLETIN NO. 50 OF JANUARY 25, 2016 213</w:t>
        <w:br/>
        <w:t>58. Once the complaint is received, the Service Quality unit records all data in the SW application and, taking into account, where applicable, the main subject, proceeds with its classification67. If the information provided by the user is insufficient for a response, the complaint is archived, without prejudice to the verification of any issues highlighted by the complaint itself, which is carried out by the competent business units. If sufficient elements are available, the Service Quality unit prepares and sends the user a response to the complaint, containing the outcome of the investigations and any corrective actions. This response must occur within 30 days from the submission of the complaint68, failing which the user is entitled to compensation of €25.8269. The Service Quality unit may request the support of other competent units and, if the complexity of the complaint does not allow for compliance with the aforementioned deadline, it drafts a letter containing the status of progress and the expected time for the final response.</w:t>
        <w:br/>
        <w:t>59. Gori acknowledged that the procedure in question has not always been duly followed, given the high number of complaints and disputes during the period under investigation70. In any case, this procedure would not have been applicable to certain categories of complaints, such as: (i) requests that generate billing adjustments71; (ii) reports of malfunctions, leaks, interruption of service, etc.; as well as (iii) verbal complaints made at physical or telephone counters and resolved at the time of presentation.</w:t>
        <w:br/>
        <w:t>60. According to the professional's statement, alternative methods for managing requests and complaints have been used both for requests that can be presented verbally (e.g., user verification, meter change, self-reading, installment of the last bill adjustment, billing correction) and for those that can only be submitted in writing using specific forms (e.g., meter verification on a test bench). Such requests are handled directly by front office or call center operators (e.g., installment and self-reading), except for those that involve technical interventions (e.g., billing correction or site inspection for verification), the handling of which is ensured in the back office72.</w:t>
        <w:br/>
        <w:t>61. More specifically, in the case of billing correction, the operator (front office or call center) records verbal requests or complaints in the CRM, which are then taken over for subsequent processing by the Billing Adjustment office, which then informs the user of the activities carried out. In the case of a site inspection for verification, the operator (front office or call center) records verbal requests or complaints in the CRM and issues a specific order for the site inspection; thereafter, based on what is found during the inspection, the Census and Inspections office carries out the consequential actions (e.g., recording requests for billing adjustments, meter replacement, etc.), informing the user. The same occurs, for example, in the case of a malfunctioning meter: the request for meter verification on a test bench is recorded, after which the date for the intervention to remove the meter and the date for the test bench verification are agreed upon with the user.</w:t>
        <w:br/>
        <w:t>67 The categories provided are as follows: a) Billing and arrears; b) Communication and information methods; c) Physical Customer Counter; d) Telephone Customer Counter; e) Technical Services; f) Water Quality; g) Water Shortage; h) Work Execution.</w:t>
        <w:br/>
        <w:t>68 SII Charter, p. 20.</w:t>
        <w:br/>
        <w:t>69 SII Charter, p. 22.</w:t>
        <w:br/>
        <w:t>70 Doc. 88.</w:t>
        <w:br/>
        <w:t>71 Doc. inspection no. 427.</w:t>
        <w:br/>
        <w:t>72 Docs. 206 and 208.</w:t>
      </w:r>
    </w:p>
    <w:p>
      <w:r>
        <w:t>214 BULLETIN NO. 50 OF JANUARY 25, 2016</w:t>
        <w:br/>
        <w:t>62. Requests and complaints (written and verbal) have reached a high number, as evidenced by the summary of contacts recorded at physical counters and the telephone counter.</w:t>
        <w:br/>
        <w:t>Users managed at Users managed at</w:t>
        <w:br/>
        <w:t>Period Total</w:t>
        <w:br/>
        <w:t>physical counters telephone counter</w:t>
        <w:br/>
        <w:t>Year 2013 [220-230 thousand] [160-170 thousand] [380-390 thousand]</w:t>
        <w:br/>
        <w:t>Year 2014 [180-190 thousand] [70-80 thousand] [260-270 thousand]</w:t>
        <w:br/>
        <w:t>1st Half 2015 [90-100 thousand] [100-110 thousand] [200-210 thousand]</w:t>
        <w:br/>
        <w:t>63. From a 2014 audit on customer satisfaction73, it emerged that most contacts concerned billing and measurement issues; in fact: (i) on average, [1-10%] of the reasons for contact concerned requests for billing adjustments; (ii) about [10-20%] of users in 2013 and [20-30%] of users in 2014 expressed a judgment of inadequacy regarding the billing service (regularity of readings and correctness of amounts); (iii) [60-70%] of users who requested a technical intervention had done so to verify the meter.</w:t>
        <w:br/>
        <w:t>64. The numerous contacts recorded at the counters have resulted in an equally high number of recorded requests for technical interventions, concerning, as reported by the manager itself, very important aspects in the consumption relationship of the SII (billing adjustments, user verifications, site inspections for verification, meter malfunctions, requests for technical services), which confirm the existence of significant issues in the detection of actual consumption and therefore in the correct definition of billed and collected amounts74.</w:t>
        <w:br/>
        <w:t>Period Number of recorded requests</w:t>
        <w:br/>
        <w:t>Year 2013 [70-80 thousand]</w:t>
        <w:br/>
        <w:t>Year 2014 [140-150 thousand]</w:t>
        <w:br/>
        <w:t>1st Half 2015 [90-100 thousand]</w:t>
        <w:br/>
        <w:t>65. From the data collected during the investigation, it appears that Gori received a high number of written complaints regarding the issues considered here75.</w:t>
        <w:br/>
        <w:t>73 Doc. inspection no. 196.</w:t>
        <w:br/>
        <w:t>74 Docs. 206 and 208.</w:t>
        <w:br/>
        <w:t>75 Docs. 206 and 208.</w:t>
      </w:r>
    </w:p>
    <w:p>
      <w:r>
        <w:t>BULLETIN NO. 50 OF JANUARY 25, 2016 215</w:t>
        <w:br/>
        <w:t>Replacement</w:t>
        <w:br/>
        <w:t>Disconnections</w:t>
        <w:br/>
        <w:t>Measurement /maintenance Leaks Past</w:t>
        <w:br/>
        <w:t>Year Billing without Other Total</w:t>
        <w:br/>
        <w:t>consumption notice</w:t>
        <w:br/>
        <w:t>or systems</w:t>
        <w:br/>
        <w:t>2013 46.0% 4.8% 0.4% 11.9% 11.1% 0.0% 25.8% [1,000-5,000]</w:t>
        <w:br/>
        <w:t>2014 14.1% 1.1% 1.0% 6.8% 0.3% 54.7% 21.9% [5,000-10,000]</w:t>
        <w:br/>
        <w:t>2015* 6.8% 0.2% 0.3% 4.1% 1.2% 48.0% 39.3% [5,000-10,000]</w:t>
        <w:br/>
        <w:t>* The first half</w:t>
        <w:br/>
        <w:t>In reference to these data, Gori reported that it has only classified written complaints and that in the “other” category are generically included all complaints not classified before the introduction of the new management process made operational in May 2015.</w:t>
        <w:br/>
        <w:t>66. In this regard, the inspection evidence also revealed that Gori does not accept complaints received through channels other than the so-called ordinary ones: “[...] complaints can be submitted [...] exclusively through one of the following methods: a) by registered mail with return receipt to [...]; b) by writing an email to the address: protocollo@cert.goriacqua.com (the sender must be a private certified email PEC, not governmental). Therefore, complaints submitted through different channels will not be considered” [emphasis added]76.</w:t>
        <w:br/>
        <w:t>67. From the evidence acquired, it appears that users have encountered significant difficulties even in establishing mere communication with Gori, and that the necessary interventions have not been adopted or have been adopted with delays, without resolving the issues reported by users77. The 2014 audit on customer satisfaction indeed revealed that Gori needs to improve the effectiveness and efficiency of technical interventions as well as the speed with which they are carried out after the request, as user satisfaction levels are decidedly low in this regard78.</w:t>
        <w:br/>
        <w:t>68. From a database related to complaints acquired during the inspection, it also emerged that for many complaints, Gori did not comply with the 30-day deadline set for their response, in some cases allowing significantly long times to elapse79. This critical situation is confirmed regarding written complaints, as the manager took, on average, three times the expected time80.</w:t>
        <w:br/>
        <w:t>76 See doc. inspection no. 398, which reports the response prepared by the “complaints/disputes/conciliation channel” in order to “avoid other channels for the entry of complaints” in response to a consumer's complaint that had raised some issues related to measurement and billing through the “self-reading channel,” highlighting the numerous unsuccessful attempts already made through other channels (from 2012 onwards).</w:t>
        <w:br/>
        <w:t>77 Doc. inspection no. 417, docs. 183 prot. 47709, 3 prot. 41614, 5 prot. 18035, 61 prot. 19825, 52 prot. 10188, 58 prot. 16448, 59 prot. 16449, 60 prot. 16450, 73 prot. 28433, 169 prot. 42701, and some reports sent by AEEGSI (docs. 70, 49, 39, of the relevant index).</w:t>
        <w:br/>
        <w:t>78 Doc. 196.</w:t>
        <w:br/>
        <w:t>79 Doc. inspection no. 441.</w:t>
        <w:br/>
        <w:t>80 Docs. 206 and 208.</w:t>
      </w:r>
    </w:p>
    <w:p>
      <w:r>
        <w:rPr>
          <w:b/>
        </w:rPr>
        <w:t>[Pages 214–216]</w:t>
      </w:r>
    </w:p>
    <w:p>
      <w:r>
        <w:t>216 BULLETIN NO. 50 OF JANUARY 25, 2016</w:t>
        <w:br/>
        <w:t>Average days</w:t>
        <w:br/>
        <w:t>Replacement/ Disconnections</w:t>
        <w:br/>
        <w:t>Measurement of Losses Parties</w:t>
        <w:br/>
        <w:t>Year Billing maintenance without Other Total</w:t>
        <w:br/>
        <w:t>hidden previous consumption</w:t>
        <w:br/>
        <w:t>plants notice</w:t>
        <w:br/>
        <w:t>2013 89</w:t>
        <w:br/>
        <w:t>2014 83 110 104 29 83 83 92 83</w:t>
        <w:br/>
        <w:t>2015* 27 46 27 25 38 27 39 33</w:t>
        <w:br/>
        <w:t>*First quarter</w:t>
        <w:br/>
        <w:t>69. From the inspection findings, it emerged that Gori responds to user complaints without conducting the necessary investigations; this is particularly evident in relation to the requests where users raise the statute of limitations for past consumption: Gori, in fact, responds in a standardized manner, asserting that “regarding the statute of limitations exception […] raised for the consumption related to the period […], it is necessary to clarify that the amounts due for that time frame cannot be considered time-barred, as the advance invoices […], bearing the express wording: ‘subject to adjustment’ have been regularly delivered and paid […]”81.</w:t>
        <w:br/>
        <w:t>70. Lastly, Gori published a statement on its website highlighting that the rulings of the justices of the peace regarding the disputes initiated by users concerning the aforementioned complaints were systematically overturned by the judges, threatening the initiation of a vaguely specified new strategy aimed at recovering the “advanced” legal costs82.</w:t>
        <w:br/>
        <w:t>The initiation of the disconnection procedure pending user request and complaint</w:t>
        <w:br/>
        <w:t>71. Regarding the possibility that a user may be disconnected, receive disconnection notices, or continue to receive invoices without having received a response to a request or complaint, according to Gori, this could only occur when the users' requests have not been tracked in the information system. This is because Gori's billing system would provide for the aforementioned blocking cycles, which would prevent the issuance of invoices and the initiation or continuation of credit recovery actions in the presence of pending requests or complaints83: the unit responsible that received the request or complaint, in fact, should ensure that the relevant user is tracked in the information system, placing it on the blocking cycles, until the users' requests are addressed84.</w:t>
        <w:br/>
        <w:t>72. However, from a database related to complaints acquired during the inspection85, it emerged that for various complaints there are sometimes many days of discrepancy between the date of receipt and the date of protocol. In addition to the cases subject to reporting86, during the inspection checks, other cases were identified where disconnection occurred or was threatened while a request or complaint was pending, as well as cases where the user was removed from the blocking cycle in the absence of a conclusive response to the request or complaint:</w:t>
        <w:br/>
        <w:t>(i) To the question “[…] the user appears on cycle 55 [complaint], I presume for over a year. Kindly, can you let us know if it can be removed from this cycle and invoiced? […]” the response was: “[…] the user […] remained on cycle 55 following a complaint from 2013 (unanswered) […]. Moreover, considering that [i] in this complaint the excessive billed reading was contested and a verification of consumption was simultaneously requested [ii] no reading has been taken since 2012 […] I proceeded to open a confluence request for an inspection so that a reading can be taken as soon as possible. In any case, I have proceeded to remove it from cycle 55”87.</w:t>
        <w:br/>
        <w:t>(ii) Request from an operator: “[regarding] the user […] who was disconnected for non-payment and then reconnected as it was awaiting complaint verification […] considering that [i] we responded to the complaint via registered letter on 30/03/15 […][ii] in that note payment of the arrears and the transfer of the user was urged, under penalty of disconnection [iii] to date the user is still in arrears and not transferred […] I kindly ask you to proceed to reopen a disconnection order for non-payment.” Response from another operator: “Did you indicate a deadline to formalize everything in a registered letter?” Response from the first operator: “[…] in the registered letter [sent] regarding the invitation to transfer, I referred to the deadline [of Art. 12 Regulation SII] (30 days…under penalty of suspension of supply...) Moreover, since there is arrears, I also expressly wrote that my communication served as a payment reminder and notice of suspension. The registered letter was received on April 7, in any case, I saw that a notice of suspension had already been sent previously. Shall we wait until May 7 before proceeding with another disconnection?”; intervention from the Commercial Director: “let’s disconnect”88.</w:t>
        <w:br/>
        <w:t>(iii) A customer area operator writes: […] several users who have requested a meter verification that has not yet been carried out are receiving Disconnection Notices and/or even disconnection for non-payment […]”. Response from the customer care manager: “[…] can we hypothesize avoiding the reminder/disconnection for all users who still have an open Work Order [order of work] for verification? Let me know if it is possible”89.</w:t>
        <w:br/>
        <w:t>(iv) Another email exchange “[…] I kindly ask you to recalculate the debt position of the user in question closed for non-payment, as at the time of removal a reading was found to be significantly lower than the last billed (Actual 1478 - Advance 5592). I await your updates […] to communicate to the user the outcome of this practice and proceed with the restoration of supply as soon as possible […]”90.</w:t>
        <w:br/>
        <w:t>86 See, for example, docs. 16, prot. 28319, 187 prot. 48263, 17 prot. 42962, 72 prot. 24709, 50 prot. 60304, 46 prot. 59966, 230 and 230-bis.</w:t>
        <w:br/>
        <w:t>87 Inspection document no. 434.</w:t>
        <w:br/>
        <w:t>88 Inspection document no. 432.</w:t>
        <w:br/>
        <w:t>89 Inspection document no. 286.</w:t>
        <w:br/>
        <w:t>90 Inspection document no. 280.</w:t>
      </w:r>
    </w:p>
    <w:p>
      <w:r>
        <w:t>218 BULLETIN NO. 50 OF JANUARY 25, 2016</w:t>
        <w:br/>
        <w:t>73. From the investigative findings, it also appears that, in some cases of disconnection of the SII supply, Gori subsequently found inconsistencies in billing and, therefore, disconnections that should not have been executed91.</w:t>
        <w:br/>
        <w:t>No. of users disconnected for No. of users disconnected with</w:t>
        <w:br/>
        <w:t>Year %</w:t>
        <w:br/>
        <w:t>non-payment inconsistency</w:t>
        <w:br/>
        <w:t>2013 [1-5 thousand] [0-100] [0-1]</w:t>
        <w:br/>
        <w:t>2014 [10-20 thousand] [100-200] [1-5]</w:t>
        <w:br/>
        <w:t>First Quarter</w:t>
        <w:br/>
        <w:t>[5-10 thousand] [0-100] [0-1]</w:t>
        <w:br/>
        <w:t>2015</w:t>
        <w:br/>
        <w:t>3) The defensive arguments of the Party</w:t>
        <w:br/>
        <w:t>74. The professional, in his submissions received on June 8, 201592, September 25, 201593, and November 10, 201594, summarized the following.</w:t>
        <w:br/>
        <w:t>On the alleged procedural defects</w:t>
        <w:br/>
        <w:t>75. Gori raised, on one hand, the lack of jurisdiction of the Authority because the disputes raised pertain, for the most part, to matters governed by sector regulation, with the Consumer Code not applying. On the other hand, the violation of the right to defense because:</w:t>
        <w:br/>
        <w:t>(i) the subject of the proceeding and the duration of the alleged violations were not clearly defined at the time of the communication of the closure of the investigation; (ii) adequate time for defensive arguments was not ensured; (iii) the evidentiary material was selected arbitrarily, disregarding the elements produced by Gori.</w:t>
        <w:br/>
        <w:t>On the alleged profiles of unlawfulness of the contested conduct</w:t>
        <w:br/>
        <w:t>76. Measurement and billing processes. Gori billed the SII consumption according to the terms and methods established by the SII Charter and Regulation, which provide that, in the absence of reading measurements, the operator may bill based on estimated consumption, normally adjusted with the first useful billing (subsequent to the measurement or self-reading). The adjustment procedure (also for long periods and for high amounts) is also described in the user contract - and in every invoice - as a general condition known and accepted by users.</w:t>
        <w:br/>
        <w:t>77. Gori was forced to delay billing, to bill for a limited period mainly estimated consumption, and to arrange adjustments, for unforeseen and subsequent reasons:</w:t>
        <w:br/>
        <w:t>(a) the failure of two tender procedures for the assignment of the reading service - which was resolved in April 2013 by internalizing this service95 and, therefore, the alleged improper practices would be</w:t>
        <w:br/>
        <w:t>91 Docs. 206 and 208.</w:t>
        <w:br/>
        <w:t>92 Doc. 88.</w:t>
        <w:br/>
        <w:t>93 Docs. 206 and 208.</w:t>
        <w:br/>
        <w:t>94 Doc. 232.</w:t>
        <w:br/>
        <w:t>95 The first tender procedure was announced on November 8, 2011, and canceled on April 30, 2013; the second, announced on June 11, 2012, was deserted. According to Gori, the internalization of the reading service, achieved by relocating several dozen workers, allowed to: (i) limit estimates on billing; (ii) normalize about [10-20 thousand] users present in the system with erroneous or missing meter numbers; (iii) collect about [10-20 thousand] reports of meters</w:t>
      </w:r>
    </w:p>
    <w:p>
      <w:r>
        <w:rPr>
          <w:b/>
        </w:rPr>
        <w:t>[Pages 217–219]</w:t>
      </w:r>
    </w:p>
    <w:p>
      <w:r>
        <w:t>BULLETIN NO. 50 OF JANUARY 25, 2016 219</w:t>
        <w:br/>
        <w:t>were carried out only during the period from January 2013 to September 2013; (b) repeated absences and/or refusals to access the locations of the meters; (c) failure to transmit self-readings.</w:t>
        <w:br/>
        <w:t>78. Self-readings. The discarded self-readings reached a negligible amount and were dependent on user errors, mostly material, which could not be overcome even after a manual verification was carried out. Regarding the methods and timing of informing the interested parties about the possible rejection or acceptance of self-readings, Gori asserts that, currently, it adopts the following measures: (i) verbal communication, by the telephone operator or front office, simultaneously with the transmission of the self-reading, given the possibility of performing real-time checks in the system; (ii) telephone contact, in the event that the self-readings - validated by the system - are then discarded by the operators, where manual checks reveal anomalies (such as abnormal consumption compared to the average historical consumption of the user).</w:t>
        <w:br/>
        <w:t>79. Payment plans. Gori, although not provided for at the regulatory level, allows all users to enter into a payment plan, ensuring clear, complete, and timely information regarding this possibility: through a dedicated section on the website since December 2014; through a specific statement on invoices since July 2014; upon user request. Adequate forms of payment plans and clear and complete information have also been granted for past due accounts.</w:t>
        <w:br/>
        <w:t>80. The number of installments varies depending on the user (domestic or non-domestic) and the amount brackets. The payment plan involves the application of late interest on individual installments only when the overdue amount consists of multiple invoices. Late interest is not applied if the overdue amount refers exclusively to the last invoice received, and its exclusion can also be foreseen for adjustment invoices or those with high amounts.</w:t>
        <w:br/>
        <w:t>81. The payment plan expressly provides for the suspension without further notice of the supply in case of failure to comply with the payment due date of the related installments: the user is therefore duly informed at the time of signing the payment plan and can still inform Gori in a timely manner of any objective difficulties in honoring the plan in question.</w:t>
        <w:br/>
        <w:t>82. Past due accounts. Gori has operated in compliance with the reference regulations, without having any margin of discretion, and in any case, this situation falls outside the Authority's competencies.</w:t>
        <w:br/>
        <w:t>83. Hidden losses. Gori, although not provided for at the regulatory level, has a procedure that does not aim to derive any profit but intends to ensure a more favorable treatment for the user: in the presence of a request for a waiver, Gori readjusts the amounts with a significant reduction of the due amount and, if requested, grants a repayment plan. In any case, the invoices issued during the period subject to the procedure included a graph of consumption trends to allow the user to ascertain anomalies/leaks in the internal distribution system, also considering the user's right and duty to monitor consumption, including through self-reading.</w:t>
        <w:br/>
        <w:t>84. Refunds. Gori asserts that it refunds any credits claimed by the user for various reasons, following a specific communication, reported on the adjustment and/or termination invoice (in case of termination of service): in the aforementioned information, the amount of the credit is highlighted and faults (about [5-10 thousand] of which have been replaced) and about [1-5 thousand] reports of meters not registered in the system and/or of illegal connections (see doc. 88, prot. 38826; doc. 232, prot. 66059; inspection doc. no. 9, doc. 232, prot. 66059).</w:t>
        <w:br/>
        <w:t>96 Gori also stated that, until the year 2014, it entered into specific agreements with municipalities to guarantee certain categories of users (so-called vulnerable) even more favorable payment parameters; and that, following the introduction of the so-called "water bonus," there has been an expansion of the subjective and objective scope of application of the payment plans for the invoices of the Integrated Water Service (SII).</w:t>
      </w:r>
    </w:p>
    <w:p>
      <w:r>
        <w:t>220 BULLETIN NO. 50 OF JANUARY 25, 2016</w:t>
        <w:br/>
        <w:t>clarified that the refund will be recognized through compensation on the next issuances, unless a different method is chosen by the user (i.e., completion of a specific form with various options for receiving the refund, such as circular check, compensation, bank transfer, etc.); and this to ensure - especially for terminated users - that the refund is effectively recognized to the interested user.</w:t>
        <w:br/>
        <w:t>85. On the disconnection procedure. Gori states that the ability to disconnect the supply does not constitute undue conditioning, nor vexatious activity, but a tool aimed at ensuring the maintenance of the contractual balance and preventing harm related to the repeated non-compliance of the user, in light of the regular provision of the supply, also to protect the position of so-called "good payer" users. The user would still be fully and proactively informed about the actions that Gori can take in such cases, as they are expressly indicated in the user contract, in the Charter, and in the SII Regulations.</w:t>
        <w:br/>
        <w:t>86. Gori also states that in 2014 it carried out multiple activities for debt recovery, including the disconnection of the supply, given the presence of many users with overdue amounts exceeding [200-300 €] in 2013. The disconnection activity was not carried out in most cases due to the user's obstruction to access the location of the meter. In about 50% of the cases where disconnection was executed, the user did not regularize their accounting position, necessitating on-site checks to ascertain any unauthorized connections to the water network, which were found in many cases.</w:t>
        <w:br/>
        <w:t>87. Regarding non-condominium users, Gori asserts that its recovery procedure does not present any critical issues or informational gaps, due to the timing and content of the reminder communications sent to delinquent users and the fact that the actions taken do not concern users positioned on blocking cycles. In particular, the letter of formal notice and disconnection warning provides all essential data to the user, also specifying that, after the 30-day period from sending, the operator is entitled to take all useful and necessary actions for debt recovery, including disconnection of the supply. After the aforementioned deadline, Gori identifies the users still in arrears to initiate the operational disconnection activities, except for so-called "non-disconnectable users." Disconnection orders are automatically transmitted to the technical activity planning center, which distributes them to the technical staff. The information systems staff check the list of disconnection orders daily to promptly cancel them in case of confirmed payment. Similarly, front office operators cancel disconnection orders if the user goes to a contact point to enter into a payment plan or settle the entire amount. The supply is restored within 1 working day from the communication of payment and/or signing of the payment plan or following a provision from the judicial authority.</w:t>
        <w:br/>
        <w:t>97 Non-disconnectable users, such as hospitals, schools, public entities, dialysis centers, private healthcare facilities; users with zero ISEE; users not subject to disconnection and/or debt recovery actions until the complaints sent are addressed; users who have requested recalculation for hidden losses in the internal system; users who have requested billing adjustments, etc.</w:t>
        <w:br/>
        <w:t>98 In detail, the reminder letter includes: (i) the total amount of arrears, with an attached postal bulletin; (ii) a summary of overdue amounts, to highlight; (iii) the complete list of overdue invoices (document number, issue date, due date, installment, amount); (iv) all debtor and creditor accounts.</w:t>
      </w:r>
    </w:p>
    <w:p>
      <w:r>
        <w:t>BULLETIN NO. 50 OF JANUARY 25, 2016 221</w:t>
        <w:br/>
        <w:t>89. Regarding condominium users, Gori, after the ritual sending to the condominium administrator of the disconnection warning and a telegram 15 days before the scheduled disconnection, informs all condominium owners (by means of a notice left in the mailboxes) of the time frame in which the disconnection will take place (for example: "between day x and day y"), in order to grant an additional period to regularize the debt position. The sending of such communications effectively extends the disconnection times to over 60 days.</w:t>
        <w:br/>
        <w:t>90. Complaints. Gori, acknowledging the increasing difficulties and critical issues recorded in recent years in managing complaints and user requests, has made the necessary adjustments to the procedures in use, in order to address the structural gap (and the under-sizing of the designated unit) in carrying out the classification and cataloging activities of the large volume of documentation acquired during the period subject to the Procedure. In particular, to reduce structural deficits and improve response times, Gori, in May 2015, made operational a new process for categorizing correspondence received from the commercial unit - including complaints - which is currently divided into two lines: (i) written commercial requests; (ii) commercial/technical complaints. A "Control Room" has also been established, composed of one operator (with two substitute figures in case of necessity), whose main function is to carry out a first and accurate verification of the content of requests and complaints in real-time (and, in any case, no later than 24 hours from the date of registration), so as to proceed with a rapid classification and forwarding of the same to the competent function.</w:t>
        <w:br/>
        <w:t>91. Gori reiterates the difficulties in managing complaints and requests due to the peculiarities of the context in which it operates, also asserting that in 2013-2014 the number of complaints and legal actions would have increased exponentially due to the serial litigation initiated at the court of Nocera Inferiore (SA), concerning the non-payment to Gori of the SII tariff by users, in the absence of a written contract, even though they were using the SII.</w:t>
        <w:br/>
        <w:t>92. Gori also asserts that the sending of a disconnection warning - bearing a payment deadline of 30 days, as well as clear and timely information regarding overdue amounts and available communication channels - would still guarantee the user, even in case of failure or delayed response to a complaint for the reasons stated above, a reasonable period to attempt to resolve the dispute and prevent the material interruption of the supply.</w:t>
        <w:br/>
        <w:t>93. Gori also asserts that the communication published on the website regarding the alleged recovery of advance legal expenses in case of challenge of the bills was not intended to dissuade users from taking legal action, but constituted a form of protection for them. This communication was indeed intended to ensure clear and timely information on the legal effects produced by the second-degree judgments, which - in the vast majority of cases - have reformed the first-degree judgments issued by the Justices of the Peace of Nocera Inferiore in the context of the aforementioned litigation, attributing the payment of legal costs of both degrees of judgment to the user. In other words, Gori wanted to prevent the unaware adherence to identical serial judgments before the Justice of the Peace, resulting in a probable</w:t>
      </w:r>
    </w:p>
    <w:p>
      <w:r>
        <w:rPr>
          <w:b/>
        </w:rPr>
        <w:t>[Pages 220–222]</w:t>
      </w:r>
    </w:p>
    <w:p>
      <w:r>
        <w:t>222 BULLETIN NO. 50 OF JANUARY 25, 2016</w:t>
        <w:br/>
        <w:t>unnecessary expenditure of sums (for legal expenses), due to a consolidated jurisprudential orientation.</w:t>
        <w:br/>
        <w:t>On the alleged aggressive profiles of the contested behaviors and on professional diligence</w:t>
        <w:br/>
        <w:t>93. Gori asserts that aggressive profiles could not be abstractly configured, because the number of reports (often unfounded) is small and because none of the contested behaviors pertains to the user's willingness to enter into a contract. Gori, in fact, due to the regulations on the management of the SII, is obliged to contract with anyone who requests it, applying conditions strictly provided for by sector regulation: there would be no possibility in the dynamics of the relationship in question, neither for the manager nor for the user, to adopt convenience judgments, as every space to exert pressure on the consumer's freedom of choice is precluded. Furthermore, the condition of legal monopoly would exclude that the manager, strictly adhering to compliance with sector regulations, could violate the standard of diligence imposed on it, precisely because its behaviors would be unsuitable to affect the consumer's freedom to make informed decisions, in a relationship that falls outside any competitive market.</w:t>
        <w:br/>
        <w:t>Proposed and adopted improvement measures by the professional during the investigation</w:t>
        <w:br/>
        <w:t>94. During the investigation, Gori adopted some improvement measures for the existing procedures and initiated the implementation of further improvement measures.</w:t>
        <w:br/>
        <w:t>95. Measure no. 1 - Notice of disconnection. Gori has significantly modified the general procedure for disconnection of supply, providing in all cases (and therefore also in the presence of arrears exceeding 250 euros) for the sending - as a preliminary act to the letter of warning and formal notice, with notice of disconnection - of a payment reminder, containing the express indication of the outstanding amounts and the proposed hypothesis of disconnection of the supply, in case of repeated non-payment. The sending of this reminder will occur via tracked mail (Formula Date and Time Certain). The sending of this reminder aims to inform the user - in addition to the information included in each invoice - regarding their accounting position and the possibility of a disconnection of the supply, without constituting a written warning (formal notice and warning with notice of disconnection of the supply) and consequently producing the related effects (ex alibus, sending of warning, commencement of the 30-day payment term, under penalty of disconnection of the supply). Therefore, the adoption of this further precautionary measure towards Users (particularly those with significant arrears, due to adjustments or hidden losses) - additional to what is provided by the Regulation and SII Charter - will result in the postponement of the payment deadline for invoices (it is reiterated, thirty days from the sending of the registered letter of notice of disconnection of the supply) by at least another thirty days and will extend the established times for disconnection of the supply.</w:t>
        <w:br/>
        <w:t>96. Measure no. 2 - Review of abnormal consumption thresholds. From mid-October 2015, Gori will reduce the threshold that signals a billing anomaly for domestic users - currently set at 5,000 € to the amount of [0-3,000 €]. For users falling within this case, the recorded reading will not be considered, billing will be done in advance, and a communication will be sent to the user, indicating the excessive consumption detected. This operation will still be managed manually, as currently necessary given the limitations of the current information system. From July 2016, when the new management system for users will be operational, this procedure will be definitively surpassed through massive detection of abnormal consumption across all users based on historical consumption data recorded. In these cases, the system will automatically send a specific communication to the User as well as proceed to block the charge of the amount.</w:t>
        <w:br/>
        <w:t>97. Measure no. 3 - Self-readings. Effective from July 2016 with the new management system, the user will be able to use all currently available channels and the process will be significantly revised. In particular, readings acquired through WEB channels (i.e., Online Counter) and IVR (i.e., call center) will be subject to more in-depth preliminary checks, such as, for example: (i) automatic identification of the user, i.e., the system will verify the existence of the user and an unresolved contract; (ii) formal checks (e.g., number of digits) and plausibility checks (e.g., tolerance limits). Once these checks are passed and the reading is acquired into the system, operators will duly inform the user about the outcome of the acquisition operation. The adoption of this measure would have been anticipated to October 2015 and made applicable to users for whom an email address or mobile phone contact is available: Gori will send a message to these users aimed at informing them that the self-reading did not pass the plausibility checks and that, therefore, it will not be considered for billing purposes.</w:t>
        <w:br/>
        <w:t>IV. OPINION OF THE AUTHORITY FOR ELECTRICITY, GAS AND WATER SYSTEM</w:t>
        <w:br/>
        <w:t>98. Since the commercial practices subject to this provision concern the water sector, on November 10, 2015, the opinion of AEEGSI was requested, pursuant to and for the effects of Article 27, paragraph 1-bis, of the Consumer Code.</w:t>
        <w:br/>
        <w:t>99. In an opinion received on December 11, 2015, AEEGSI expressed a series of general considerations on the water sector and provided some information acquired by AEEGSI during a proceeding initiated against Gori, the subject of which, as noted by the same Regulatory Authority, does not present overlapping profiles with the subject of this provision.</w:t>
        <w:br/>
        <w:t>General considerations</w:t>
        <w:br/>
        <w:t>100. The SII sector is a natural monopoly, and is therefore regulated as a result of: (i) national measures (e.g., dPCM April 29, 1999 "General reference framework for the preparation of the integrated water service charter") and local measures (e.g., SII Charters adopted by the Area Authorities); as well as considering (ii) future regulatory interventions by AEEGSI, which should be adopted by the end of 2015 and come into force in July 2017 (DCO 560/2015/R/IDR).</w:t>
        <w:br/>
        <w:t>101. On the fight against arrears and the related regulation of disconnections. Regarding the credit recovery actions of the managers, it should be noted the high levels of arrears that characterize the water sector (especially in the Campania Region), which translate into burdens placed on all users: applying the principle of full cost recovery provided for the SII, the costs of arrears would ultimately lead to a generalized increase in tariffs.</w:t>
        <w:br/>
        <w:t>102. The reasons for the levels of arrears, higher than those in the energy sectors, likely reside, in large part, in the historical perception of the SII as a free service - previously financed through general taxation and characterized by a very low level of investment - of which the user, unlike in the energy sectors, does not perceive the industrial and environmental cost.</w:t>
        <w:br/>
        <w:t>103. On the detection of consumption and the consequent billing. Currently, there is no regulation that imposes the billing of the SII solely based on actual consumption: resorting to billings based also on estimated readings, on the one hand, allows avoiding the additional costs that would arise from using actual readings for every billing and, on the other hand, becomes inevitable where access to meters is objectively problematic.</w:t>
        <w:br/>
        <w:t>104. The possibility of billing estimated consumption - also allowed by the dPCM of 1999 - is generally accompanied by the obligations provided in the SII Charters regarding attempts to read and the availability of a self-reading system, which are entrusted to the Area Authorities, to which AEEGSI refers for competence.</w:t>
        <w:br/>
        <w:t>105. The behavior of the manager can therefore be censurable from the point of view of diligence if it is demonstrated that it has not made the prescribed attempts to read or that, for the formulation of estimates, it has not used the actual measurement data at its disposal.</w:t>
        <w:br/>
        <w:t>106. On past balances. AEEGSI has merely recalled that such adjustments have been considered legitimate by administrative jurisprudence - as the latter has not found any conflict with the principle of non-retroactivity of tariffs - and that no approval procedure by AEEGSI is provided for such adjustments.</w:t>
        <w:br/>
        <w:t>107. On hidden losses. According to AEEGSI, based on the SII Regulation, the manager is responsible for the functioning of the infrastructures and networks only up to the meter, while the user is responsible for the system downstream of the meter: there is therefore no obligation for the manager to bear the costs associated with malfunctions or breakdowns of private systems (including any hidden losses that may have occurred in the system downstream of the meter), costs that would ultimately be passed on to all users based on the principle of full cost recovery.</w:t>
        <w:br/>
        <w:t>108. AEEGSI also notes that it would not be rational to impose on managers the granting of discounts on volumes of water actually supplied and accounted for by the meter, even if related to hidden losses, because this would lead to an increase in costs and, therefore, tariffs (to the detriment of all users), and would disincentivize proper maintenance of systems by users (potentially favoring possible abuses, given the difficulty in accurately identifying the moment when the hidden loss arises and thus attributing consumption to actual uses or those resulting from the loss).</w:t>
        <w:br/>
        <w:t>109. Ultimately, according to AEEGSI, the conduct of the manager could be abstractly censurable if it has not made the attempts to read or receive the self-readings provided for by the SII Charter, thus causing a possible delay in identifying the loss.</w:t>
        <w:br/>
        <w:t>110. On the suspension of disconnection procedures in the event of a pending complaint. AEEGSI notes that the submission of a complaint should not entail a prohibition on suspending the supply for arrears, as it is necessary to balance the user's need for a conclusive and accurate response to their complaints about billing with the need not to incentivize opportunistic behaviors. This is especially true in the present case, due to the high levels of arrears, which impact the tariff and, therefore, all users.</w:t>
        <w:br/>
        <w:t>111. On communications to users regarding the applied tariffs. This conduct is governed by AEEGSI resolution of December 28, 2012 no. 586/2012/R/1DR, whose Article 10 indicates as necessary and sufficient that "The bill reports the values of the tariff applied to the final user and the last update, indicating in a complete manner the regulatory source and the body from which it derives."</w:t>
      </w:r>
    </w:p>
    <w:p>
      <w:r>
        <w:rPr>
          <w:b/>
        </w:rPr>
        <w:t>[Pages 223–225]</w:t>
      </w:r>
    </w:p>
    <w:p>
      <w:r>
        <w:t>BULLETIN NO. 50 OF JANUARY 25, 2016 225</w:t>
        <w:br/>
        <w:t>Specific profiles regarding the investigations carried out by AEEGSI on the operator Gori</w:t>
        <w:br/>
        <w:t>112. AEEGSI first informed that it conducted an inspection on the premises of Gori on April 15, 16, 17, and 18, 2014, following which – and based on the relevant findings – it initiated an investigative procedure aimed at verifying violations of the regulation of the integrated water service, which is still ongoing. In this regard, AEEGSI preliminarily highlights "that there are no overlapping profiles between the allegations subject to the aforementioned sanctioning procedure [...] and those subject to the procedure initiated by AGCM." In any case, the Regulator deemed it appropriate to report some of the evidence that emerged during its inspection as it pertains to the practice sub A) contested to the professional by AGCM.</w:t>
        <w:br/>
        <w:t>113. In particular, AEEGSI, during its investigative activity, found that Gori, until the billing of June - July 2014, did not provide in the bill indications regarding the possibility of obtaining installment payments for the adjustment bills; in the invoices following this billing cycle, Gori would have included in the bill the possibility of benefiting from an installment plan for the adjustment bills, but only for those not yet due.</w:t>
        <w:br/>
        <w:t>114. AEEGSI reported that Gori itself stated that, in the water sector, "As a rule, 2 estimated invoices and 2 invoices with readings are issued."</w:t>
        <w:br/>
        <w:t>115. AEEGSI also found some inconsistencies in the methods of updating the consumption used to issue advance invoices: on one hand, the annual consumption expected for estimating the amounts in advance invoices is not always immediately updated upon the execution of a new reading; on the other hand, in some cases, the expected annual consumption has been modified without new readings being carried out.</w:t>
        <w:br/>
        <w:t>V. CONCLUDING EVALUATIONS</w:t>
        <w:br/>
        <w:t>Preliminary observations: the Authority's competence and respect for the rights of defense</w:t>
        <w:br/>
        <w:t>116. Regarding the exception of the Authority's lack of jurisdiction, it is noted, first of all, that the present procedure concerns complex commercial practices, characterized by high levels of aggressiveness, which do not translate into a mere lack of professional diligence, but present a quid pluris represented by the undue conditioning exercised by the professional towards consumers.</w:t>
        <w:br/>
        <w:t>117. Secondly, the behaviors examined in the present procedure are not subject to regulation by AEEGSI. Aside from the transparency of billing documents (regulated only by the aforementioned del. 586/2012), on which the Authority does not intervene, as noted by AEEGSI itself in its opinion, the other aspects related to contractual quality are currently subject to a consultation procedure that has not yet resulted in the adoption of a definitive measure. Within this consultation, AEEGSI proposed that the measures contained in the definitive provision come into effect gradually, starting from July 1, 2016; therefore, until June 30, 2016, the previous regulatory measures at the national level (dPCM of April 29, 1999, which identifies the general reference framework for the SII Cards) and local level (Regulation and SII Card), which do not contain sector-specific rules of EU derivation, will continue to apply.</w:t>
        <w:br/>
        <w:t>118. Thirdly, Article 27, paragraph 1-bis, of the Consumer Code expressly provides that the competence to intervene against the behaviors of professionals that constitute an unfair commercial practice belongs to the Antitrust Authority even in regulated sectors.</w:t>
        <w:br/>
        <w:t>119. In any case, in the cases in question, not only have many of the consumer reports received by the Authority been transmitted "for the relevant profiles" directly from AEEGSI, but – as already noted – the latter also stated in its opinion that there are "no overlapping profiles" between its investigative procedure and the unfair commercial practices subject to the present provision.</w:t>
        <w:br/>
        <w:t>120. From the above, the general and exclusive competence of the Authority to know the cases under consideration follows.</w:t>
        <w:br/>
        <w:t>121. Regarding the alleged procedural defects that, according to Gori, would have resulted in violations of the right of defense, it is noted that, as can be seen from the procedural timeline and the documents filed, Gori has had access to the documents multiple times, has submitted defensive briefs, and has been heard in a hearing. During the procedure, adequate timeframes for presenting defensive arguments have also been ensured, having accepted Gori's requests for extensions of deadlines and granted the relevant extensions. With the communication of the conclusion of the investigative phase – the deadline for which was extended in acceptance of Gori's request – the professional was put in a position to present precise defensive arguments regarding all the cases considered here, in full compliance with the adversarial principle.</w:t>
        <w:br/>
        <w:t>Merit evaluations</w:t>
        <w:br/>
        <w:t>122. The procedure concerns the behaviors adopted by Gori, the operator of the SII in ATO no. 3 of the Campania Region, within the essential phases of the consumer relationship related to the SII; therefore, Gori is to be considered a professional pursuant to Article 18, letter b), of the Consumer Code. Gori, as a legal monopoly in the provision of an essential service, must observe a high level of professional diligence in managing the SII, given the position of contractual weakness and information asymmetry in which users find themselves, lacking the possibility to choose an alternative supplier or to renounce consumption; conversely, the operators have an important leverage for collecting bills, such as the threat and execution of the suspension of the supply of an essential good. This threat, along with the payment reminder, fully corresponds to the paradigm of coercion or undue conditioning configured by Articles 24 and 25 of the Consumer Code, being capable of limiting the consumer's freedom of choice regarding the amount and manner of payment of the bills.</w:t>
        <w:br/>
        <w:t>123. The investigation in question takes place in a peculiar factual context characterized, on one hand, by the numerous critical issues that Gori had to face in taking over the management of the SII – previously entrusted to a plurality of different entities – and, on the other hand, as noted by AEEGSI in its opinion, by a high level of delinquency on the part of users in the areas managed by Gori. These critical issues have prompted Gori to implement particularly incisive actions to reduce the levels of delinquency observed in the areas of competence to achieve economic-financial balance.</w:t>
        <w:br/>
        <w:t>124. However, these legitimate objectives must be pursued within the framework of substantial respect for consumer rights, within a relationship characterized by transparency, fairness, and diligence, especially when the professional's claim is of an economic nature and the methods of collecting bills are marked by a particular contractual strength, arising from the (implicit or explicit) threat of actual disconnection of the supply of an essential service, which can exert undue conditioning on the consumer's choices regarding the methods and timing of payment as well as the opportunity to contest or not the amounts requested by Gori. All the more so where, as in this case, the consumer has no means to counterbalance the particular situation of strength in which the monopolist professional finds himself, being unable to change suppliers.</w:t>
        <w:br/>
        <w:t>125. The investigation has highlighted that, in some areas, Gori has neglected the aforementioned obligations of fairness, diligence, and transparency provided for by the Consumer Code, violating the provisions contained in the contractual norms and in the SII Card and also using coercive and aggressive tools to unduly influence the conduct of users regarding the payment of what is allegedly owed and demanded by the operator in ways and times detrimental to the users themselves.</w:t>
        <w:br/>
        <w:t>126. That said, the violations contested to Gori have been traced back to two unfair, complex, and articulated practices, due to the different phases of the consumer relationship involved. The Practice sub A) includes behaviors concerning the repeated billing based on estimated consumption, multi-year adjustments, measurements, information on self-readings and refunds, hidden losses, past balances, and collection methods. The Practice B) includes behaviors concerning the delayed and non-fulfillment of requests and complaints from users, as well as the threat and execution of the disconnection of the SII supply pending the resolution of requests and complaints from users within the expected times. From the evidence acquired, the unfairness of Practice sub C) did not emerge.</w:t>
        <w:br/>
        <w:t>Practice A)</w:t>
        <w:br/>
        <w:t>127. The findings on record highlight that, during the period under investigation, Gori issued a significant number of invoices not corresponding to actual consumption or related to consumption recorded with significant delays compared to the time of their execution, mainly resulting from a substantial number of unmeasured or irregularly measured users: this resulted in two massive phenomena during repeated billing cycles, such as billing based on estimates – sometimes erroneous – for almost all users in 2013 and a high percentage in the two-year period 2014-2015, as well as the issuance of a significant number of invoices with multi-year adjustments of high amounts during the same consumption periods. The discomfort and prejudices caused to users as a result of these massive phenomena are also confirmed by the fact that about [10-20%]</w:t>
      </w:r>
    </w:p>
    <w:p>
      <w:r>
        <w:rPr>
          <w:b/>
        </w:rPr>
        <w:t>[Pages 226–228]</w:t>
      </w:r>
    </w:p>
    <w:p>
      <w:r>
        <w:t>228 BULLETIN NO. 50 OF JANUARY 25, 2016</w:t>
        <w:br/>
        <w:t>of users in 2013 and [20-30%] of users in 2014 expressed a judgment of insufficiency regarding the billing service (regularity of readings and correctness of amounts), presenting a high number of complaints and requests concerning these aspects105.</w:t>
        <w:br/>
        <w:t>128. In this context, Gori, in order to recover the amounts thus billed, resorted to collection methods that unduly conditioned the freedom of choice of users due, in particular, to the sending of numerous reminder letters and notices of default - as soon as the payment deadline expired - containing the threat of suspending the supply of the SII, without indicating the time frame in which this would occur in the event of non-payment106.</w:t>
        <w:br/>
        <w:t>129. Specifically, as noted by Gori, the aforementioned phenomena largely stem from the fact that the professional did not carry out meter readings at the minimum frequency of 2 readings per year as provided by the dPCM of 1999, the Charter and Regulation of the SII, leaving a high number of users without readings for a significant period: in 2015, in fact, about 10,000 users had not been read since 2008 and over 40,000 users were found to be unread since 2013107.</w:t>
        <w:br/>
        <w:t>130. This despite the fact that Gori was well aware of the importance and necessity of observing the aforementioned frequency, both to ensure a billing process more aligned with the consumption experienced by users (recording actual consumption and promptly correcting estimated ones, in order to avoid multi-year adjustments), and to normalize the users (correcting erroneous data present in the system) and to identify, and then replace, malfunctioning meters108. As also indicated in the opinion of AEEGSI, Gori himself stated that during the year “normally 2 estimated bills and 2 bills with readings are issued.”</w:t>
        <w:br/>
        <w:t>131. The measurement of meters at the aforementioned frequency, by the professional, thus represents the essential prerequisite for the correct execution of his service (billing amounts as closely as possible aligned with actual consumption throughout the year109), in order to avoid the accumulation of significant adjustments and a substantial impact on the financial position of users and, therefore, the imposition of payment methods and times that are detrimental to them.</w:t>
        <w:br/>
        <w:t>132. Neither the transition from a multiple and locally-based management to an exclusive management based on efficiency logic, the failure of the tender procedures called for the assignment of reading services, the absence of users during the reading rounds, nor the failure to receive self-readings justify the billing of non-actual consumption for billing cycles exceeding one year.</w:t>
        <w:br/>
        <w:t>The evidence acquired reveals, in fact, that Gori did not adopt adequate countermeasures to address the aforementioned events, which, contrary to what the professional claimed, do not present the character of unpredictability within the management of an essential service, such as the SII, by a subject in legal monopoly. Gori, in fact, limited himself to internalizing the measurement service late and without providing additional measures, with the consequence that the negative repercussions of such processes of billing linked, as mentioned, to the delays accumulated in the measurement readings were neither contained nor mitigated, such as, in particular, the repeated billing based on estimates that proved not to align with actual consumption and the issuance of multi-year adjustments.</w:t>
        <w:br/>
        <w:t>133. Furthermore, despite the delays accumulated in the measurement readings, Gori did not inform users about the stall related to the measurements and the negative repercussions that this would have on the billing processes, in order to encourage the transmission of self-readings. It is also noteworthy that during the visits carried out by the readers for the readings, in the event of the user's absence, Gori does not immediately leave the postcard with the invitation to send the self-reading, but waits for the second visit to do so, which, as evidenced in the records, concerned a very limited number of users110.</w:t>
        <w:br/>
        <w:t>134. Similarly, the information provided to users regarding the outcome of the transmission of the self-reading is lacking, especially when the communicated data are discarded, since Gori does not ensure users sufficient communication to overcome any issues that led to the rejection of the self-readings: the failure to acquire, in fact, is only communicated to the user who uses the User Service, while users who choose other channels made available by the operator (Commercial Toll-Free Number, Online Service, Email) are not aware of the rejection, let alone the related reasons, and therefore cannot repeat the self-reading or prompt Gori regarding any checks that may be necessary if the reported consumption is indeed what is present on the meter (e.g., checking for malfunctioning of the meter)111.</w:t>
        <w:br/>
        <w:t>135. The billing of excessive or otherwise non-corresponding consumption, by Gori, also depended on inconsistencies in the methods of updating the estimates used to issue advance bills since, as noted in the opinion of AEEGSI: (i) the annual expected consumption was not always immediately updated in correspondence with a new reading to estimate the amounts in the advance bills; (ii) in some cases, the expected annual consumption was modified in the absence of new readings112.</w:t>
        <w:br/>
        <w:t>136. Also, the significantly high thresholds to which the checks on the correctness of the measurements (if carried out) and the billed amounts are anchored, freely defined by the professional, have contributed to determining incorrectly calculated bills, since: (i) the checks of the billing service carried out by Gori only concern excessive consumption (i.e., more than 5 times the average consumption of a user) and, in the absence of anomalies, billing proceeds, unless the amount exceeds €5,000; (ii) in the case of excessive readings, before considering them billable, Gori only conducts a sample check of about [5-10%] of the users, giving priority to those with consumption greater than 400mc113.</w:t>
        <w:br/>
        <w:t>137. Indeed, the aforementioned monitoring mechanisms, together with the missed or delayed readings, did not allow the operator to identify, signal, and contain the phenomenon of anomalous consumption linked to hidden leaks, whose billing had a very significant impact on users, given that the amount adjusted by Gori in the first 7 months of 2014 (equal to [1-5] million euros) was the result of cancellation and reissuance of bills arising, in particular, from users' requests for discounts, once the existence of hidden leaks was ascertained and the resolution had occurred114.</w:t>
        <w:br/>
        <w:t>138. Well, despite this detrimental impact on users, Gori maintained unchanged both the aforementioned mechanisms for monitoring excessive consumption and the alert mechanism whereby communication to the user and the invitation to contact the operator before the issuance of the bill are sent for considerably high amounts, equal to or greater than €5,000115.</w:t>
        <w:br/>
        <w:t>139. As also noted in the opinion of AEEGSI, the behavior exhibited by Gori is therefore to be censured because it did not allow for the timely identification of the presence of hidden leaks, with the consequence that the operator continued to bill users extremely high amounts - far removed from their normal consumption habits and anyway not intentionally consumed - and users were not put in a position to take action to identify and resolve any leaks in their system in order to avoid or reduce the amounts in question. In this perspective, the operator's decriminalization mechanisms also appear incorrect because users are charged not only for recalculated historical consumption but also for excess consumption - that is, those not related to actual consumption - even though a reduced rate is applied to these.</w:t>
        <w:br/>
        <w:t>140. Gori billed and charged amounts different from those that users were required to pay also in relation to past balances116. Gori, in fact, quantified and attributed the past balances using not only the cubic meters on account but also a significant percentage of cubic meters in advance for the users not adjusted at the time of data extraction117, with the consequence that the calculations performed were not based on actual consumption. Gori also billed past balances to subjects without a user account or active only for some of the periods of consumption affected by such adjustments.</w:t>
        <w:br/>
        <w:t>All this disregards the private nature and the principle of reciprocity that inform the consumption relationship of the SII118, given that the aforementioned users were charged amounts in the absence of a service rendered or otherwise different from those actually due.</w:t>
        <w:br/>
        <w:t>The evidence acquired also shows that Gori was aware of the significant margins of uncertainty in the calculations made for the attribution of past balances and yet insisted on sending the related bills and offset the amounts requested in this regard with the credits of the users, despite the suspension determination of their collection ordered by EASV119.</w:t>
        <w:br/>
        <w:t>141. Furthermore, while billing on estimates a significant share (about 40% in 2014) of users for periods exceeding one year, Gori did not clearly and precisely communicate in the bill the methods of refunding any credits resulting from billing adjustments made once the readings were acquired. The adjustment bills credited indeed report an amount equal to zero and the wording - not easily understandable - “The amount of Euro 0.00 will be credited to you in the future.”</w:t>
      </w:r>
    </w:p>
    <w:p>
      <w:r>
        <w:rPr>
          <w:b/>
        </w:rPr>
        <w:t>[Pages 229–231]</w:t>
      </w:r>
    </w:p>
    <w:p>
      <w:r>
        <w:t>BULLETIN NO. 50 OF JANUARY 25, 2016 231</w:t>
        <w:br/>
        <w:t>next bill,” with the absence of the indication of both the amount of credit and the possibility of requesting the reimbursement of such amounts instead of offsetting them in subsequent invoices: users thus become aware of this option only by accessing the website and clicking on the appropriate section, even though the invoice is the unilateral act through which the operator must account to the user for their credit or debt position during the relevant consumption period120.</w:t>
        <w:br/>
        <w:t>142. It should be added that, in light of multi-year adjustments of significant amounts resulting from the operator's behaviors in the measurement and billing processes just described, Gori did not indicate in the bill the possibility of spreading the requested amounts over a considerable period and, in any case, did not respond or responded late to users' requests for installment plans, leaving them uncertain about whether they could request or obtain the establishment of an installment plan121. This stems from the fact that, as highlighted by the investigative findings122, Gori does not consider installment payment a right of the user and, therefore, grants it only in exceptional cases, also applying delay interest and defining installment plans that disregard the billed amounts123. Moreover, as a rule, Gori does not grant installment payments for overdue amounts, nor in the event of non-compliance with a previous installment plan.</w:t>
        <w:br/>
        <w:t>143. The evidence on record also revealed that, as previously noted, in order to recover the billed amounts according to the methods and times described above, Gori uses a collection procedure that strongly conditions the freedom of choice of consumers considering the essential nature of the SII, which primarily affected users who received, due to causes attributable to the operator, advance bills for repeated billing cycles and multi-year adjustments of high amounts124. Specifically, once 10 days have passed since the due date of the issued bills, Gori sends the user a single letter containing both the notice of default and the warning of disconnection, after which no further communication follows: in the aforementioned letter, Gori emphasizes that, in case of non-payment within the 30-day deadline indicated therein, “will suspend and interrupt the provision of the [SII] without further notice”125. Therefore, Gori immediately threatens to execute the suspension of the SII supply without indicating the period in which this will occur, creating a state of subjugation and, above all, uncertainty among users regarding the deadline to assess whether to pay or not the billed amounts, even if deemed incorrect, in order to prevent the disconnection of an essential service126.</w:t>
        <w:br/>
        <w:t>144. In this regard, it is worth noting that from the acquired elements it appears that, with regard to condominiums, the introduction of a procedure that ensures the identification of the time frame within which the disconnection of the supply will occur in case of non-payment by the deadline indicated in the notice of default and warning of disconnection was only considered by Gori towards the end of 2013, making it plausible to believe that the implementation of the procedure in question should have occurred only during 2014127.</w:t>
        <w:br/>
        <w:t>145. The investigative findings also highlighted that Gori, in the exceptional cases in which it granted installment payments, in the event of non-payment not only of one of the installments but also of one of the current bills, proceeds to the immediate interruption of the supply without even sending the notice of default and warning of disconnection128. In other words, regardless of the amount and duration of the installment plan and, above all, the reasons that led to its subscription, in case of non-payment of a single installment within the established deadlines or payment of current bills that have nothing to do with the amounts being paid in installments, Gori proceeds to disconnection without sending any prior notice to the user. This modus operandi has had a very detrimental impact on users, as [10-20%] of the closure orders are derived from non-compliance with an installment plan129.</w:t>
        <w:br/>
        <w:t>146. The behaviors implemented by Gori in the billing and collection phase of the bills considered here therefore constitute an unfair, complex, and articulated practice, characterized by aggressive profiles, which contrasts with Articles 20, 24, and 25 of the Consumer Code, as users are induced to pay sums not due or higher than those corresponding to the actual quantity of water withdrawn and deliberately consumed (in case of erroneous estimated billing, hidden losses, previous balances) or due but with different methods and times (in case of repeated estimated billing, multi-year adjustments, and offsetting refunds in subsequent bills), given the undue conditioning arising from the uncertainty of being able to obtain installment payments and the restrictions and rigid conditions under which they are granted, as well as, above all, from the threat of having the supply suspended for non-payment of the requested amounts in the absence of adequate prior notice and, therefore, from the concrete risk of not being able to enjoy an essential service without knowing when this will occur.</w:t>
        <w:br/>
        <w:t>Practice B)</w:t>
        <w:br/>
        <w:t>147. From the evidence on record, it emerges that Gori has imposed unjustified and disproportionate obstacles to the exercise of the contractual rights of SII users in the management of their requests and complaints, engaging in behaviors characterized by high levels of aggression: in particular, the conduct of the professional materialized in the continuation of the billing activity and the failure to interrupt the notice of default or even disconnection procedure, even while managing the issues raised to Gori through complaints130.</w:t>
        <w:br/>
        <w:t>148. The investigative findings indeed highlight that, in the face of a significant flow of requests and complaints regarding issues related to the correctness of the billed amounts or otherwise susceptible to affecting it, Gori did not meet the diligence standards required in the water sector.</w:t>
        <w:br/>
        <w:t>149. Specifically, Gori did not process the aforementioned requests through the appropriate internal procedure131, considering and classifying as written complaints only those sent by users via registered mail A/R or PEC132. Gori therefore did not qualify and manage as complaints a significantly high number of requests and disputes presented by users via email, fax, physical or telephone counter, including the multiple reminders aimed at requesting billing corrections or meter verification133 and those regarding issues raised multiple times through ordinary channels but unresolved by the operator134, even publishing a communication aimed at dissuading users from contesting the validity and amounts of the bills by threatening an alleged early recovery of legal fees135.</w:t>
        <w:br/>
        <w:t>150. Moreover, during the period under investigation, by the admission of the professional itself, the internal operational procedure was not duly followed even for the requests and disputes classified as complaints (i.e., those received via registered mail A/R and PEC), due to the under-dimensioning of the unit responsible for processing them136.</w:t>
        <w:br/>
        <w:t>151. The investigative findings also highlight that, for almost all complaints, Gori did not meet the minimum quality standards imposed in the water sector, having not observed the 30-day deadline for their response both from the contractual norms and from the Charter and Regulation of the SII: the operator, in fact, has significantly extended the processing times for complaints, taking, on average, three times the aforementioned deadline, reaching peaks of 400 days137.</w:t>
        <w:br/>
        <w:t>152. These chronic delays in managing complaints constitute a clear obstacle to the exercise of users' contractual rights, especially in the water sector, characterized by a high informational asymmetry and the essential nature of the service provided, also because the resolution of the issues complained of by users may involve checks and technical interventions (think, for example, of a malfunctioning meter, hidden leak, billing correction), which, if excessively delayed, can generate critical issues and burdens for users' accounting positions.</w:t>
        <w:br/>
        <w:t>153. Additionally, for various complaints, there is a difference, sometimes very significant, between the date of receipt and the protocol date138. This circumstance, in addition to increasing the processing times of users' requests, can delay their tracking and, therefore, the possible inclusion in the aforementioned blocking cycles, given that, not having received the complaint to be processed, the competent business function cannot place the affected user in such cycles in order to block the billing action and that of debt recovery: considering the stringent deadlines set for the payment of bills and for sending notices of default and warnings of disconnection, users are thus exposed to the risk of receiving bills subsequent to those contested and notices of default and warnings of disconnection, even though they have contested the amounts.</w:t>
      </w:r>
    </w:p>
    <w:p>
      <w:r>
        <w:rPr>
          <w:b/>
        </w:rPr>
        <w:t>[Pages 232–234]</w:t>
      </w:r>
    </w:p>
    <w:p>
      <w:r>
        <w:t>234 BULLETIN NO. 50 OF JANUARY 25, 2016</w:t>
        <w:br/>
        <w:t>billed by the operator or requested technical interventions to resolve the issues encountered.</w:t>
        <w:br/>
        <w:t>154. From the evidence in the records, numerous cases have emerged in which Gori, despite not having provided any feedback to the requests and complaints of users or undertaken the necessary interventions to resolve the reported issues, did not halt the billing and default notice and disconnection procedures, having preferred to insist on the threat of disconnection and its execution, instead of ensuring users the necessary precautions and an adequate timeframe to address their arrears139.</w:t>
        <w:br/>
        <w:t>155. The investigative evidence indeed demonstrates that, in the presence of chronic delays in the fulfillment of requests and complaints, Gori decided to no longer provide any feedback to the affected users and remove their accounts from the blocking cycles, in order to continue the billing and recovery of billed amounts140. This resulted in numerous cases of disconnection of the SII supply where inconsistencies in billing for the affected accounts were subsequently found141: Gori thus carried out unjustified disconnections, which could have been avoided through a correct and timely resolution of the requests and complaints of the affected users.</w:t>
        <w:br/>
        <w:t>156. The investigative findings also highlight that in the procedures for managing requests and complaints (both verbal and written), the methods and timing for placing an account on blocking cycles are not formally provided for, nor are they adequately regulated: this circumstance is likely to negatively impact a central aspect of the SII consumer relationship, potentially causing inertia, delays, and poor coordination among the units involved in the various phases of fulfilling user requests, as well as, especially, the risk of gaps regarding certain issues reported by users142.</w:t>
        <w:br/>
        <w:t>157. This is further confirmed by the requests and complaints related to the malfunctions of the meters, an issue for which the acquired elements have demonstrated “[the absence of measures such as to] prevent the reminder/disconnection for all users who still have an [work order] for verification still open”; as a result of this omission, “several users who [had] requested meter verification […] not performed [received] Disconnection Notices and/or even disconnection for arrears […]”143.</w:t>
        <w:br/>
        <w:t>158. The absence of the aforementioned measures appears even more serious in this case, given that: on one hand, the correct functioning of the meter represents the essential prerequisite for compliant billing according to the standards of professional diligence imposed in the water sector (billing amounts as consistent as possible with actual consumption over the year144); and on the other hand, as noted by the operator itself, during visits conducted by the operators assigned to take the readings, a considerable number of malfunctioning meters were found, and during internal audits, it was found that [60-70%] of users who requested a technical intervention did so to request meter verification145.</w:t>
        <w:br/>
        <w:t>159. Significant obstacles to the exercise of users' contractual rights have also been imposed by Gori in relation to complaints aimed at asserting the limitation of SII consumption146, which, as is known, has a five-year duration147. From the response models prepared by Gori for such complaints, it appears that the operator merely provides users with a standardized denial, based on the mere assumption that the inclusion of the wording “subject to adjustment” on the invoices issued during the consumption periods affected by adjustments serves to interrupt the limitation period, without conducting any analysis on the consumption periods (even very old) billed in the multi-year adjustments (e.g., 2008). Thereafter, Gori insists on recovering such amounts through the notice of default and disconnection and, if necessary, the suspension of supply, in relation to amounts billed with significant delays, not due to causes attributable to users but, often, due to the omitted and delayed readings of consumption attributable to the operator.</w:t>
        <w:br/>
        <w:t>160. The behaviors considered here therefore constitute an aggressive, complex, and articulated practice, which conflicts with Articles 20, 24, and 25 of the Consumer Code due to the unjustified and disproportionate obstacles to the exercise of the contractual rights held by users (such as: the right to complain and to a swift and exhaustive resolution of the reported issues; to oppose and recognize the limitation), as well as the undue conditioning consisting in the exercise of the power to continue with billing and collection actions with the threat of disconnection of supply pending resolution of the issues reported with a request or complaint, as a result of which users are not placed in a position to make free and informed decisions regarding the actions to be taken in this regard. Users, in fact, are induced to pay amounts that they believed were not due as they were linked to the issues reported to the professional, not receiving from the latter the measures and precautions that are necessary considering the nature of extrema ratio of the exercise of the aforementioned power to continue with billing and not halt the default and disconnection procedure.</w:t>
        <w:br/>
        <w:t>VI. QUANTIFICATION OF THE SANCTION</w:t>
        <w:br/>
        <w:t>161. Pursuant to Article 27, paragraph 9, of the Consumer Code, with the provision that prohibits the unfair commercial practice, the Authority orders the application of an administrative pecuniary sanction from 5,000 to 5,000,000 euros, taking into account the severity and duration of the violation.</w:t>
        <w:br/>
        <w:t>162. In the case of a procedure concerning a plurality of established administrative offenses, the jurisprudence has clarified that in the presence of a plurality of behaviors with structural and functional autonomy, attributed to the responsibility of professionals, the criterion of material cumulation of sanctions applies, instead of legal cumulation148.</w:t>
        <w:br/>
        <w:t>163.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br/>
        <w:t>Practice sub A)</w:t>
        <w:br/>
        <w:t>164. With regard to the severity of the violation, account is taken of: (i) the economic size of the professional: in this specific case, it is a company with a high turnover - equal to 177 million in 2014 - which plays an important role in the territory of the Campania Region and legally monopolizes an essential service; (ii) the nature of the violations, all characterized by a high degree of offensiveness; (iii) the extent of the economic harm suffered by consumers, who were billed amounts inconsistent with those actually due and in any case with prejudicial methods and timing; (iv) the contractual weakness of consumers who, in addition to being in a situation of information asymmetry, do not have the possibility to change supplier and are subjected to the threat of having their supply suspended in case of non-payment of the aforementioned amounts without adequate notice; (v) the spread of the practices, given the extent of the territory in which the company operates and the high number of affected users.</w:t>
        <w:br/>
        <w:t>165. As for the duration of the violation, from the elements available in the records, it appears that the commercial practice has been in place at least from 2013 to 2015 and is still ongoing, given that: (i) the methods and timing of billing, installment payment, and collection do not yet appear to comply with the standards of professional diligence in the water sector; (ii) regarding past amounts, it does not appear that the professional has restructured the allocation of the amounts of such adjustments to individual consumers; (iii) regarding hidden losses, the thresholds of anomaly remain high and the related verification has not yet been carried out on a massive scale.</w:t>
        <w:br/>
        <w:t>166. Based on these elements, it is deemed appropriate to determine the base amount of the administrative pecuniary sanction applicable to Gori for the violation related to the commercial practice sub A) in the amount of €500,000 (five hundred thousand euros).</w:t>
        <w:br/>
        <w:t>167. There are, in this case, some mitigating circumstances. On one hand, as also represented by AEEGSI in its opinion, the complex management situation that Gori had to face during the transition from various previous managements, the peculiar market situation in which the professional had to operate, as well as, as asserted by the operator, the financial difficulties related to the non-collection of guaranteed revenues (and thus from the accumulation of past amounts) for which economic support measures were granted by the Campania Region150. On the other hand, account must be taken of the measures implemented by the professional to remove and modify some of the behaviors subject to investigation, such as changes to the general disconnection procedure, the reduction of the threshold that signals the issuance of an invoice for an anomalous amount, and the improvement of the procedure for acquiring self-readings.</w:t>
        <w:br/>
        <w:t>168. It is therefore deemed appropriate to determine the amount of the sanction for the practice sub A) in the amount of €250,000 (two hundred fifty thousand euros).</w:t>
        <w:br/>
        <w:t>150 Cf. Minutes of the hearing held on July 28, 2015.</w:t>
      </w:r>
    </w:p>
    <w:p>
      <w:r>
        <w:rPr>
          <w:b/>
        </w:rPr>
        <w:t>[Pages 235–237]</w:t>
      </w:r>
    </w:p>
    <w:p>
      <w:r>
        <w:t>BULLETIN NO. 50 OF JANUARY 25, 2016 237</w:t>
        <w:br/>
        <w:t>Practice sub B)</w:t>
        <w:br/>
        <w:t>169. Regarding the severity of the violation, in addition to the elements mentioned in reference to practice sub A), the significant detrimental effect suffered by users must be considered, who, despite having submitted requests or complaints to report the issues encountered in the consumer relationship considered here, did not find their resolution within the expected timeframes and were exposed to the risk of continuing to be billed or the initiation or failure to halt debt recovery actions - with the consequent threat of suspension of the supply of an essential service and, in some cases, its execution - pending the effective resolution of the aforementioned issues.</w:t>
        <w:br/>
        <w:t>170. Regarding the duration, from the available elements in the records, it appears that the practice has been in place at least from 2013 to 2015 and is still ongoing.</w:t>
        <w:br/>
        <w:t>171. Based on these elements, it is deemed appropriate to determine the base amount of the administrative pecuniary sanction applicable to Gori in the amount of €500,000 (five hundred thousand euros).</w:t>
        <w:br/>
        <w:t>172. In this case as well, it is considered necessary to recognize mitigating circumstances, taking into account the management complexities and financial difficulties faced by Gori in relation to past accounts, as well as the measures introduced during the proceedings for better management of complaints.</w:t>
        <w:br/>
        <w:t>173. Therefore, it is deemed appropriate to determine the amount of the sanction for practice sub B) in the amount of €250,000 (two hundred fifty thousand euros).</w:t>
        <w:br/>
        <w:t>174. Regarding practice sub C), no elements have emerged to ascertain its incorrectness.</w:t>
        <w:br/>
        <w:t>CONSIDERED, therefore, based on the aforementioned considerations, that the commercial practice sub A) is deemed incorrect pursuant to Articles 20, 24, and 25 of the Consumer Code as it is contrary to professional diligence and capable, through aggressive conduct and susceptible to causing undue conditioning in the average consumer, of appreciably distorting their economic behavior in relation to the payment of amounts not entirely due or due but with different times and methods than those imposed by the professional;</w:t>
        <w:br/>
        <w:t>CONSIDERED, furthermore, based on the aforementioned considerations, that the commercial practice sub B) is deemed incorrect pursuant to Articles 20, 24, and 25 of the Consumer Code as it is contrary to professional diligence and capable, through aggressive conduct and susceptible to creating obstacles to the exercise of certain contractual rights and undue conditioning in the average consumer, of distorting their economic behavior in relation to the payment of amounts that they believed were not due;</w:t>
        <w:br/>
        <w:t>RESOLVES</w:t>
        <w:br/>
        <w:t>a) that the commercial practice described in point II, letter A), of this provision, carried out by Gori S.p.A., constitutes, for the reasons and within the limits stated in the motivation, an unfair commercial practice pursuant to Articles 20, 24, and 25 of the Consumer Code, and prohibits its dissemination or continuation;</w:t>
        <w:br/>
        <w:t>b) that the commercial practice described in point II, letter B), of this provision, carried out by Gori S.p.A., constitutes, for the reasons and within the limits stated in the motivation, an unfair commercial practice pursuant to Articles 20, 24, and 25 of the Consumer Code, and prohibits its dissemination or continuation;</w:t>
        <w:br/>
        <w:t>c) to impose on Gori S.p.A., for the violations referred to in the previous letter a), an administrative pecuniary sanction of €250,000 (two hundred fifty thousand euros);</w:t>
        <w:br/>
        <w:t>d) to impose on Gori S.p.A., for the violations referred to in the previous letter b), an administrative pecuniary sanction of €250,000 (two hundred fifty thousand euros);</w:t>
        <w:br/>
        <w:t>e) that the professional Gori S.p.A., communicates to the Authority, within sixty days from the notification of this provision, the initiatives taken in compliance with the injunction referred to in points a) and b).</w:t>
        <w:br/>
        <w:t>The administrative sanctions imposed under letters c) and d), must be paid within sixty days from the notification of this provision, using the tax codes indicated in the attached model F24 with identifying elements, pursuant to Legislative Decree No. 241/1997.</w:t>
        <w:br/>
        <w:t>Payment must be made electronically with a debit from one's bank or postal account, through the home banking and CBI services provided by banks or by Poste Italiane S.p.A., or by using the telematic services of the Revenue Agency, available on the website www.agenziaentrate.gov.it.</w:t>
        <w:br/>
        <w:t>After the aforementioned deadline, for a delay period of less than six months, late interest must be paid at the legal rate starting from the day following the expiration of the payment deadline until the date of payment. In case of further delay in fulfillment, pursuant to Article 27, paragraph 6, of Law No. 689/81, the amount due for the imposed sanction is increased by one-tenth for each semester starting from the day following the expiration of the payment deadline until the role is transmitted to the collection agent; in this case, the increase absorbs the late interest accrued during the same period. Immediate communication of the payment must be given to the Authority by sending the documentation certifying the payment made.</w:t>
        <w:br/>
        <w:t>This provision will be notified to the interested parties and published in the Bulletin of the Authority for the Competition and the Market.</w:t>
        <w:b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br/>
        <w:t>Against this provision, an appeal may be submitted to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one hundred twenty days from the date of notification of the provision itself.</w:t>
        <w:br/>
        <w:t>THE SECRETARY GENERAL THE PRESIDENT</w:t>
        <w:br/>
        <w:t>Roberto Chieppa Giovanni Pitruzzella</w:t>
      </w:r>
    </w:p>
    <w:p>
      <w:r>
        <w:rPr>
          <w:b/>
        </w:rPr>
        <w:t>[Pages 238–240]</w:t>
      </w:r>
    </w:p>
    <w:p>
      <w:r>
        <w:t>240 BULLETIN NO. 50 OF JANUARY 25, 2016</w:t>
        <w:br/>
        <w:t>PS9923 - WATER CONSORTIUM TERRA DI LAVORO - VARIOUS ISSUES</w:t>
        <w:br/>
        <w:t>Provision No. 25791</w:t>
        <w:br/>
        <w:t>THE AUTHORITY FOR THE GUARANTEE OF COMPETITION AND THE MARKET</w:t>
        <w:br/>
        <w:t>IN ITS MEETING of December 16, 2015;</w:t>
        <w:br/>
        <w:t>HEARD the Rapporteur Dr. Gabriella Muscolo;</w:t>
        <w:br/>
        <w:t>VIEWED Part II, Title III, of Legislative Decree No. 206 of September 6, 2005, containing the “Consumer Code” and subsequent amendments (hereinafter, Consumer Code);</w:t>
        <w:br/>
        <w:t>VIEWED the “Regulation on investigative procedures regarding misleading and comparative advertising, unfair commercial practices, violation of consumer rights in contracts, unfair clauses” (hereinafter, Regulation), adopted by the Authority with resolution of June 5, 2014, subsequently replaced by the “Regulation on investigative procedures regarding misleading and comparative advertising, unfair commercial practices, violation of consumer rights in contracts, violation of the prohibition of discrimination and unfair clauses” (hereinafter, New Regulation), adopted by the Authority with resolution of April 1, 2015;</w:t>
        <w:br/>
        <w:t>VIEWED the memorandum of understanding on consumer protection between the Authority for the Guarantee of Competition and the Market and the Authority for Electricity, Gas and the Water System, signed on October 29, 2014;</w:t>
        <w:br/>
        <w:t>VIEWED its provisions dated April 22, 2015, with which the inspection was ordered, pursuant to Article 27, paragraphs 2 and 3, of the Consumer Code, at the offices of the Water Consortium Terra di Lavoro and Publiservizi S.r.l.;</w:t>
        <w:br/>
        <w:t>VIEWED its provisions of July 22, 2015, and September 3, 2015, with which, pursuant to Article 7, paragraph 3, of the Regulation, the deadline for concluding the procedure was extended, for specific investigative needs;</w:t>
        <w:br/>
        <w:t>VIEWED the documents of the procedure;</w:t>
        <w:br/>
        <w:t>I. THE PARTIES</w:t>
        <w:br/>
        <w:t>1. Water Consortium Terra di Lavoro (hereinafter also “CITL”), as a professional, pursuant to Article 18, letter b), of the Consumer Code. The Consortium, having its legal headquarters in Caserta, was established pursuant to Article 31 of the T.U.E.L., for the management of the Integrated Water Service for certain municipalities (including non-consortium municipalities), other public and private entities, citizens, businesses, and other users in the territory of the province of Caserta1. From the last approved balance sheet available, it appears that the Consortium achieved, as of December 31, 2013, a turnover of over 15 and a half million euros2.</w:t>
        <w:br/>
        <w:t>1 According to the Statute of the Entity, in the version updated as of 01.07.2014, accessible on the Consortium's website (http://www.citl.it/statuto.html).</w:t>
        <w:br/>
        <w:t>2 The said balance sheet shows a deficit of over three million and one hundred euros compared to the previous year. According to the same Balance Sheet, the rules provided for by Article 114 of the TUEL apply to the Consortium for “special companies,” that is, those “instrumental entities of the local authority endowed with legal personality, entrepreneurial autonomy, and their own statute, approved by the municipal or provincial council.” (Doc. 59.6 of the index of the file).</w:t>
      </w:r>
    </w:p>
    <w:p>
      <w:r>
        <w:t>BULLETIN NO. 50 OF JANUARY 25, 2016 241</w:t>
        <w:br/>
        <w:t>2. Publiservizi S.r.l. (hereinafter also “Publiservizi”), as a professional, pursuant to Article 18, letter b), of the Consumer Code. The company, having its legal headquarters in Rome, is registered in the register of the Ministry of Economy and Finance that includes companies responsible for the assessment and collection of revenues of Local Authorities pursuant to Article 53, paragraph 1 of Legislative Decree No. 446/97. Based on its corporate purpose, it carries out, among various activities, the contracting, jointly and/or separately, of various services related to water supplies3 on behalf of municipalities and other Managing Entities of the local IWS. From the last approved balance sheet available, it appears that Publiservizi achieved, as of December 31, 2014, a turnover of over 12 and a half million euros4.</w:t>
        <w:br/>
        <w:t>3. The consumer association CODICI-Center for Citizen Rights and the trade association ANACAP-National Association of Concessionary Companies for Local Revenue Services, as interveners.</w:t>
        <w:br/>
        <w:t>II. COMMERCIAL PRACTICES</w:t>
        <w:br/>
        <w:t>4. The procedure concerns certain behaviors carried out by the professionals towards consumers and small businesses in the context of the management and provision, in a monopoly regime, of the integrated water service (hereinafter also “IWS”), consisting of the set of public services for the capture, conveyance, and distribution of water, as well as sewage and wastewater treatment services.</w:t>
        <w:br/>
        <w:t>5. In particular, according to various reports from consumers in the records – most of which were transmitted by the Authority for Electricity, Gas and the Water System (hereinafter, AEEGSI)5 and some directly from individual consumers6 - the professionals, during the overall period 2009 - 20157, would have engaged in the following material conducts:</w:t>
        <w:br/>
        <w:t>(A) Failure to inform about the introduction of changes to the tariff structure provided for in the contract originally signed with individual users</w:t>
        <w:br/>
        <w:t>6. Numerous reporters complained of having received invoices showing a calculation of the amounts due that was inconsistent with the tariff structure originally agreed upon in the user contract signed with the Manager, which provided for various categories of users, both domestic and non, differentiated based on the quantity of consumption at a reduced rate (so-called minimum guaranteed) assigned to each. The reports complained that a different tariff structure had been applied than that agreed upon, characterized by a quantity of consumption at a reduced rate significantly lower than that originally defined, and therefore more burdensome.</w:t>
        <w:br/>
        <w:t>3 In particular: “census of users, census/installation/replacement of meters, consumption detection, calculation of fees, invoicing, delivery of invoices, voluntary collection of fees, recovery of arrears and pre-emptive and enforced collection, litigation.”</w:t>
        <w:br/>
        <w:t>4 Doc. 119.2.</w:t>
        <w:br/>
        <w:t>5 With a note received on December 22, 2014, AEEGSI transmitted about a hundred reports relating to 43 users of the water service provided by CITL, residing in the municipalities of S. Maria a Vico and Grazzanise in the Caserta area. In relation to certain complaints, AEEGSI also transmitted the relevant response note from CITL (Docs. from 1 to 44/1203).</w:t>
        <w:br/>
        <w:t>6 Docs. nos. 86, 91, 96.</w:t>
        <w:br/>
        <w:t>7 Some reports were also received after the closure of the investigative phase.</w:t>
      </w:r>
    </w:p>
    <w:p>
      <w:r>
        <w:t>242 BULLETIN NO. 50 OF JANUARY 25, 2016</w:t>
        <w:br/>
        <w:t>(B) Request for payment of late or incorrect invoices based on incongruous estimates of consumption</w:t>
        <w:br/>
        <w:t>7. From the reports, it emerged that CITL would not have invoiced correctly: the consumption data used would not have been actual - due to the absence of readings, inconsistencies in the measurements, and malfunctions of the meters - systematically resorting to estimates; moreover, it emerged that the prescribed invoicing periodicity was not observed as actual consumption, as well as estimated advances and related adjustments, were invoiced with significant delays, even of several years.</w:t>
        <w:br/>
        <w:t>(C) Inefficient management of complaints and systematic recourse to tax injunctions for the enforced collection of credits of unverified amounts allegedly due to the Manager, even pending responses to complaints</w:t>
        <w:br/>
        <w:t>8. Some consumers reported that they had not received responses to complaints and requests for clarifications submitted, even repeatedly, both to CITL and Publiservizi regarding the invoices received. Furthermore, it emerges that on the analytical requests of different consumers (for example, regarding the methods of calculating consumption and the criteria for applying tariffs) responses were provided late, even with months of delay, and in any case, of a rather generic nature, thus preventing users from adequately understanding the details of the accounting documents sent to them.</w:t>
        <w:br/>
        <w:t>9. Some reporters complained that, even in the face of the omitted or inadequate response to their complaints, CITL and Publiservizi would have nonetheless proceeded to urge payment and also to the enforced collection of credits – not yet verified in their amount – through tax injunctions, almost exclusively, despite the non-tax nature of the water fee and the contractual nature of the relationship between the service manager and the user.</w:t>
        <w:br/>
        <w:t>III. THE OUTCOMES OF THE PROCEDURE</w:t>
        <w:br/>
        <w:t>1) The procedure process</w:t>
        <w:br/>
        <w:t>10. In relation to the behaviors described above and as emerged in the reports sent by AEEGSI, on April 29, 2015, the Parties were notified of the initiation of investigative procedure No. PS9923 against Water Consortium Terra di Lavoro and Publiservizi S.r.l. for possible violation of Articles 20, 21, paragraph 1, letters b) and d), 22, paragraphs 1 and 2, 24 and 25 of the Consumer Code.</w:t>
        <w:br/>
        <w:t>11. The process of the investigative procedure was as follows.</w:t>
        <w:br/>
        <w:t>12. On April 29, 2015, separate inspection visits were carried out at the headquarters, in Caserta, of both CITL and Publiservizi.</w:t>
        <w:br/>
        <w:t>13. Both professionals submitted commitments, pursuant to Article 27, paragraph 7, of the Consumer Code, aimed at removing the profiles of unfairness of the contested commercial practices. The commitments proposed by Publiservizi on June 15, 2015*8 were rejected by the Authority, in the meeting of July 9, 2015, given, first of all, the interest in proceeding with the verification.</w:t>
        <w:br/>
        <w:t xml:space="preserve">* In this version, some data are omitted, as elements of confidentiality or secrecy of the information were deemed to exist. </w:t>
        <w:br/>
        <w:t>8 See doc. 68. In summary, the company had proposed the following measures [omitted].</w:t>
      </w:r>
    </w:p>
    <w:p>
      <w:r>
        <w:rPr>
          <w:b/>
        </w:rPr>
        <w:t>[Pages 241–243]</w:t>
      </w:r>
    </w:p>
    <w:p>
      <w:r>
        <w:t>BULLETIN NO. 50 OF JANUARY 25, 2016 243</w:t>
        <w:br/>
        <w:t>of the possible infringement and, secondly, the partial nature of the measures presented as they</w:t>
        <w:br/>
        <w:t>relate only to one of the contested behaviors: these, in fact, since they could affect</w:t>
        <w:br/>
        <w:t>the enjoyment of an essential good, appeared potentially suitable – if established – to</w:t>
        <w:br/>
        <w:t>constitute "manifestly unfair and serious" commercial practices. The rejection was communicated</w:t>
        <w:br/>
        <w:t>to the professional on the following July 10.</w:t>
        <w:br/>
        <w:t>For the same reasons – and also considering the late nature of the same, which arrived</w:t>
        <w:br/>
        <w:t>after the deadline referred to in Article 9 of the Regulation – the Authority rejected the commitments presented on</w:t>
        <w:br/>
        <w:t>September 10, 2015, by the Consorzio Idrico Terra di Lavoro: this decision, formalized</w:t>
        <w:br/>
        <w:t>in the meeting of October 7, 2015, was communicated to the professional on the following October 8.</w:t>
        <w:br/>
        <w:t>14. Both parties responded to the requests for information contained in the initiation communications</w:t>
        <w:br/>
        <w:t>and produced defensive memoranda.</w:t>
        <w:br/>
        <w:t>On July 22, 2017, the responses from Publiservizi to the requested information arrived and the same</w:t>
        <w:br/>
        <w:t>Company also filed defensive memoranda on June 23 and October 9.</w:t>
        <w:br/>
        <w:t>The Consorzio Idrico Terra di Lavoro submitted, on September 10, 2015, a note in response to</w:t>
        <w:br/>
        <w:t>the request for information referred to in the initiation communication, also transmitting, on September 25,</w:t>
        <w:br/>
        <w:t>a note of clarifications and integrations.</w:t>
        <w:br/>
        <w:t>15. Publiservizi was heard in a hearing on July 29, 2015; the company also made</w:t>
        <w:br/>
        <w:t>separate accesses to the documents of the case file on May 12 and on October 22 and 28, 2015. The CITL was heard in a hearing on September 10, 2015.</w:t>
        <w:br/>
        <w:t>16. For specific investigative needs, separate extensions of the deadline for concluding the procedure were ordered, pursuant to Article 7, paragraph 3, of the Regulation: the first, of sixty</w:t>
        <w:br/>
        <w:t>days, was decided on July 22, 2015; the second, of thirty days, was decided on September 3, 2015.</w:t>
        <w:br/>
        <w:t>17. On October 9, 2015, the date of conclusion of the investigative phase was communicated to the Parties</w:t>
        <w:br/>
        <w:t>pursuant to Article 16, paragraph 1, of the Regulation, set for October 29, 2015. At that time, the</w:t>
        <w:br/>
        <w:t>behaviors presumably in violation of the Consumer Code attributable to the</w:t>
        <w:br/>
        <w:t>professionals were specified, and therefore three distinct commercial practices were contested.</w:t>
        <w:br/>
        <w:t>9 Doc. 71.</w:t>
        <w:br/>
        <w:t>10 Doc. 83. In summary, the Consortium had proposed the following measures [omissis].</w:t>
        <w:br/>
        <w:t>11 Doc. 88.</w:t>
        <w:br/>
        <w:t>12 Docc. 73, 73.1, 73.2, 73.3, 84.2.</w:t>
        <w:br/>
        <w:t>13 Docc. 70, 70.1, from 70.2 to 70.5, 70.6, 70.7, 84.4.</w:t>
        <w:br/>
        <w:t>14 Doc. 90.1.</w:t>
        <w:br/>
        <w:t>15 Docc. 83 and 83.1.</w:t>
        <w:br/>
        <w:t>16 Docc. 85 and 85.1.</w:t>
        <w:br/>
        <w:t>17 Doc. 77.</w:t>
        <w:br/>
        <w:t>18 Doc. 82.</w:t>
        <w:br/>
        <w:t>19 Doc. 74.</w:t>
        <w:br/>
        <w:t>20 Doc. 79.</w:t>
      </w:r>
    </w:p>
    <w:p>
      <w:r>
        <w:t>244 BULLETIN NO. 50 OF JANUARY 25, 2016</w:t>
        <w:br/>
        <w:t>a) Omission of adequate communication to users regarding the entry into force of tariff changes with related effective dates and application methods</w:t>
        <w:br/>
        <w:t>Users would not have received adequate communication regarding the changes introduced in the</w:t>
        <w:br/>
        <w:t>tariff structure - and related effective dates - particularly regarding the exceeding of the so-called "minimum</w:t>
        <w:br/>
        <w:t>guaranteed," provided for in the contracts already in place with consumers: it would not have been clearly</w:t>
        <w:br/>
        <w:t>highlighted that the aforementioned exceeding occurred due to the incorporation of previous</w:t>
        <w:br/>
        <w:t>CIPE resolutions that governed the tariff structure applicable to CITL users and that the</w:t>
        <w:br/>
        <w:t>new calculation criteria used in the invoices could have resulted in an increase in the average price per cubic meter of domestic water supply, reducing the consumption falling within</w:t>
        <w:br/>
        <w:t>the lowest tariff bracket and, consequently, charging higher consumption to the higher tariff brackets. The potential contrariety of such conduct to Articles 20, 22,</w:t>
        <w:br/>
        <w:t>paragraphs 1 and 2, of the Consumer Code was hypothesized, as it could potentially induce consumers to</w:t>
        <w:br/>
        <w:t>make commercial decisions they would not have otherwise made, particularly regarding</w:t>
        <w:br/>
        <w:t>the advisability of changing their water consumption and setting aside the necessary amounts</w:t>
        <w:br/>
        <w:t>for the payment of future bills.</w:t>
        <w:br/>
        <w:t>b) Invoicing carried out incorrectly, inconsistently, or late</w:t>
        <w:br/>
        <w:t>The professionals would have sent invoices based on estimated consumption that was incorrectly or inconsistently</w:t>
        <w:br/>
        <w:t>calculated and/or without properly considering self-readings; in some cases, regarding the specific consumption period considered, there would have been no correspondence between charged consumption and reading dates, and in other cases, evident and unjustified inconsistencies would have emerged in the estimates of consumption progressively charged to the same domestic user in relation to distinct and</w:t>
        <w:br/>
        <w:t>subsequent reference periods. In other instances, there would have been an incorrect attribution of consumption as it referred to a meter with a serial number different from that installed</w:t>
        <w:br/>
        <w:t>at the considered user. The invoicing timing would also not have been respected, as payment for invoices related to consumption from several years ago was requested late. The potential contrariety of such conduct to Articles 20, 24, and 25 of the Consumer Code was hypothesized as it could potentially induce consumers to pay amounts not due (in the case of incorrectly or inconsistently estimated invoicing) or due but with different methods and timing (in the case of late invoicing) given the undue conditioning arising from the fear of a disconnection of the supply otherwise.</w:t>
        <w:br/>
        <w:t>c) Failure to provide users of the water service with an adequate complaint management system that does not suspend, pending the same, the credit recovery procedures; methods of collecting debts and arrears through the use of tax injunctions</w:t>
        <w:br/>
        <w:t>There would have emerged a disorganized and/or untimely management of the numerous complaints received by the</w:t>
        <w:br/>
        <w:t>professionals, in dissonance with what is specifically provided for by the Water Service Charter of the CITL. Especially in the case of complaints related to incorrect invoicing, which constituted the</w:t>
        <w:br/>
        <w:t>predominant reason for complaints, the responses provided to consumers would lack adequate</w:t>
        <w:br/>
        <w:t>motivation and analysis, remaining rather generic and not allowing the user to adequately</w:t>
        <w:br/>
        <w:t>understand the details of the accounting documents received. In other cases, the responses would have been imprecise and/or inconsistent with the specificity of requests and complaints from</w:t>
        <w:br/>
        <w:t>consumers. Complaints transmitted by consumers would not have been acknowledged and managed, even though</w:t>
        <w:br/>
        <w:t>they were received by the professionals; these, moreover, would not have proceduralized the suspension of the</w:t>
        <w:br/>
        <w:t>collection of charges pending a complaint made by the user on the same. Finally, there would have emerged a massive and incremental use, over the years, of the tax injunction as</w:t>
        <w:br/>
        <w:t>a tool for collecting water tariffs, preceded by sending "collection notices" to users according to variable and not rigidly pre-defined timing. In some cases, such notices would have been sent in the absence of prior sending of the contested invoices; in other cases, the coercive collection procedure would have been activated anyway regarding invoices already subject to repeated complaints that remained unanswered by the professionals or were responded to late or only in a generic manner. The potential contrariety of such conduct to Articles 20, 24, and 25 of the Consumer Code was hypothesized as it could potentially induce consumers to pay</w:t>
        <w:br/>
        <w:t>amounts not due given the undue conditioning arising from the fear of the execution of the tax injunction.</w:t>
        <w:br/>
        <w:t>18. The parties produced final memoranda: on October 29, 2015, those of the Consortium arrived</w:t>
        <w:br/>
        <w:t>while on November 5, the ones from Publiservizi were received.</w:t>
        <w:br/>
        <w:t>19. On October 2, 2015, the response that the CITL provided to a user regarding a complaint made by</w:t>
        <w:br/>
        <w:t>them arrived while on October 7, 9, 15, and 19, 2015, separate reports were received from individual users of the water services provided by the CITL.</w:t>
        <w:br/>
        <w:t>20. During the procedure, both the consumer association CO.DI.CI. (on May 20, 2015) and the category association A.N.A.C.A.P. - National Association of Local Revenue Service Concessionaires (on October 12, 2015) submitted requests to participate in the same. Both requests were accepted and the acceptance was communicated to the interested parties and the professionals.</w:t>
        <w:br/>
        <w:t>CO.DI.CI. accessed the documents of the case file on October 28, 2015, while on November 2, it submitted some written observations.</w:t>
        <w:br/>
        <w:t>At its request, ANACAP was heard in a hearing on October 26, 2015. In acceptance of the motivated request of ANACAP – made during the hearing and formally reiterated on October 27, 2015 – the extension of the deadline for the conclusion of the investigation, already set for October 29, was communicated to all parties in the procedure, on the same date of October 27, 2015, and was deferred to November 4, 2015.</w:t>
        <w:br/>
        <w:t>On November 3, 2015, ANACAP submitted a memorandum and, at the same time, a request for a hearing before the Authority's College; this request was rejected on the following November 10.</w:t>
        <w:br/>
        <w:t>21 Doc. 115</w:t>
        <w:br/>
        <w:t>22 Doc. 123</w:t>
        <w:br/>
        <w:t>23 Doc. 86. The CITL continued to send the Authority such responses, regarding the same complaints sent by users to the Consortium (and in some cases, also addressed to the Authority), even after the expiration of the deadline for the conclusion of the investigation.</w:t>
        <w:br/>
        <w:t>24 Docc. 87, 91, 96, 100, 102</w:t>
        <w:br/>
        <w:t>25 The acceptance of the request from CO.DI.CI. was communicated to the same association and to the professionals on May 26, 2015; the acceptance of the request from A.N.A.C.A.P. was communicated, on October 15, 2015, to the same association and to the other parties (Docc. 93, 94, and 95).</w:t>
        <w:br/>
        <w:t>26 Doc. 117.1</w:t>
        <w:br/>
        <w:t>27 Docc. 99, 101, and 105</w:t>
        <w:br/>
        <w:t>28 Doc. 118</w:t>
        <w:br/>
        <w:t>29 Doc. 126</w:t>
      </w:r>
    </w:p>
    <w:p>
      <w:r>
        <w:rPr>
          <w:b/>
        </w:rPr>
        <w:t>[Pages 244–246]</w:t>
      </w:r>
    </w:p>
    <w:p>
      <w:r>
        <w:t>246 BULLETIN NO. 50 OF JANUARY 25, 2016</w:t>
        <w:br/>
        <w:t>2) The evidence acquired</w:t>
        <w:br/>
        <w:t>On the relationships between the professionals</w:t>
        <w:br/>
        <w:t>21. Regarding the ongoing relationships between the Parties, it has emerged that, following a regular public tender procedure of European relevance, the CITL signed - starting from September 13, 2011 and for a duration of six years, extendable - a service contract with Publiservizi. The contract and the various documents attached to it (tender specifications, technical project, regulations) identify the activities entrusted to the company which, in summary, consist of support to the Consortium regarding the overall management related to billing (from readings to the application of tariff criteria and up to the sending of bills) as well as the acquisition and management of requests for information and complaints from users and the collection of water credits. From the contractual documents, it emerges that Publiservizi - while holding a clearly subordinate and executive role with respect to the decision-making and authorizing powers belonging to the Consortium, to which it has obligations for periodic reporting of the activities carried out as well as the expenses incurred - maintains full autonomy in the organization of the individual services entrusted to it. Furthermore, although it always operates on behalf of the Consortium and based on its specific directives, the company is directly responsible and accountable to the users for collection activities (ordinary, pre-coercive, and coercive) and litigation.</w:t>
        <w:br/>
        <w:t>On the contested commercial practices</w:t>
        <w:br/>
        <w:t>A) Failure to inform about changes to the tariff structure provided for in the contract originally signed with individual users</w:t>
        <w:br/>
        <w:t>The evolution of the tariff structure</w:t>
        <w:br/>
        <w:t>22. The CITL, in application of the regulations on water tariffs dictated by the CIPE, from 1996 entered into contracts with users that provided for billing according to the so-called "minimum committed," under which the contractor was required to pay a certain minimum tariff for consumption up to the threshold of the minimum committed (from 88 mc/year - reduced to 72 mc/year in 2002 - to 544 mc), regardless of any lower actual consumption recorded, and of the progressively increasing tariffs for the subsequent consumption brackets ("scales").</w:t>
        <w:br/>
        <w:t>23. Starting from 2002, in execution of the directives given by the CIPE in Resolution No. 52/01, the Consortium began the process of adjusting its tariff regime to the new structure identified by the CIPE, defining the methods for the progressive elimination of the so-called minimum committed (which was to be implemented over four years) and its replacement with a bracket with a reduced tariff followed by a series of progressive scales for any excesses as well as for the replacement of the "meter rental" with a fixed fee to be applied to each individual user.</w:t>
        <w:br/>
        <w:t>24. The adjustment was completed only in July 2009 (CITL assembly resolution No. 4 of July 13, 2009), based on the specific criteria progressively established by the CIPE and the definitive completion of the transitional regime.</w:t>
        <w:br/>
        <w:t>25. In fact, until June 30, 2009, a tariff structure remained in force consisting of a consumption bracket at a reduced tariff of a width chosen by the user (often identified by the users themselves with the so-called "minimum guaranteed") and a series of scales at progressively increasing tariffs for excess consumption. In particular, in the first half of 2009, the tariff structure was divided into three tariff scales and 22 user categories (14 of which were domestic), differentiated according to the width of the reduced tariff bracket.</w:t>
        <w:br/>
        <w:t>Fig.1: tariff structure in force until June 30, 2009</w:t>
        <w:br/>
        <w:t>The same, introducing the principle of revenue neutrality, established that the lower revenue resulting from the abolition of the minimum committed could be recovered by the Manager through an increase in the "fixed fee" (up to a maximum value of three times that already in force) and, in order to ensure the economic-financial balance of the Manager, with a subsequent proportional increase in the tariffs of the various consumption scales.</w:t>
        <w:br/>
        <w:t>26. Following the completion of the adjustment to the CIPE's prescriptions, starting from July 1, 2009, a new tariff structure came into force, which eliminated the differentiation between user categories based on the width of the reduced consumption bracket and which provided for the application of a single reduced tariff scale for consumption up to 72 mc/year - the smallest scale provided in the previous tariff structure - and then increasing tariffs for the scales from 73 to 108 mc/year and for higher consumption. At the same time, the CITL increased the tariffs applied to each scale.</w:t>
        <w:br/>
        <w:t>Fig.2: tariff structure and tariffs in force from July 1, 2009</w:t>
        <w:br/>
        <w:t>27. The transition to the new tariff structure in July 2009 necessarily resulted, even with the same tariff applied to the scales, in a greater expenditure for users with consumption exceeding 72 mc/year at least for the period from July 2009 to December 2011, due to the attribution of part of the consumption previously computed in the reduced tariff bracket to the higher tariff scales. Furthermore, all users experienced a greater expenditure due to the increase in the tariffs applied to the individual scales (including the reduced tariff).</w:t>
        <w:br/>
        <w:t>28. In full deliberative autonomy, the CITL subsequently decided to expand the first two tariff scales. The new scales, applied from January 1, 2012 and still in force, are as follows: first scale at a reduced tariff for consumption up to 108 mc/year; second scale for consumption from 109 to 180 mc/year; third scale for consumption exceeding 180 mc/year.</w:t>
        <w:br/>
        <w:t>29. With the expansion of the first two tariff scales, the expenditure for water consumption (net of fixed fees and taxes) has therefore decreased - even below the levels of the first half of 2009 - for users who, in 2009, had reduced consumption up to 108 mc/year (domestic users of categories 1 and 2). For all other users, belonging to categories with wider reduced consumption brackets (from 108 mc and above), the reduction in expenditure has been more muted and the expenditure has remained well above the levels of the first half of 2009. For these latter users, therefore, the</w:t>
      </w:r>
    </w:p>
    <w:p>
      <w:r>
        <w:rPr>
          <w:b/>
        </w:rPr>
        <w:t>[Pages 247–249]</w:t>
      </w:r>
    </w:p>
    <w:p>
      <w:r>
        <w:t>BULLETIN NO. 50 OF JANUARY 25, 2016 249</w:t>
        <w:br/>
        <w:t>the change in the tariff structure that occurred in 2009 has resulted in a permanent increase in spending for water consumption, albeit mitigated since 2012.</w:t>
        <w:br/>
        <w:t>30. This increase in spending, with constant consumption, is reflected in the reports from many users who had signed with CITL, even several years ago, a contract for water supply at a guaranteed minimum for domestic use, in which an annual consumption quota (in mc) was agreed upon, subject to a particularly favorable tariff (so-called "contractual" band).</w:t>
        <w:br/>
        <w:t>31. The reporters have indeed received starting from 2012 invoices issued in advance and final for the years 2011, 2012, and 2013 - based on the new tariff structure - in which a consumption quota lower than that already agreed upon as a guaranteed minimum in the original contracts would have been computed in the first band at a favorable tariff, while the remaining recorded consumption would fall into subsequent tariff bands, progressively higher, to the detriment of the consumer.</w:t>
        <w:br/>
        <w:t>Information on the modification of the tariff structure</w:t>
        <w:br/>
        <w:t>32. The aforementioned tariff changes related to the exceeding of the so-called guaranteed minimum and their respective effective dates - along with the related resolutions for the adoption by CITL - were communicated to the public through publication in the Official Bulletin of the Campania Region - BURC.</w:t>
        <w:br/>
        <w:t>33. However, to the individual users directly affected by such changes - specifically to all original signatories of the contract for domestic supply at a guaranteed minimum - the Manager did not send any specific communication that would make consumers fully aware of what had occurred and thus enable them to reconsider their consumption choices.</w:t>
        <w:br/>
        <w:t>34. CITL merely included the new tariff structure in a summary table within the bill, where references to previous CIPE resolutions and subsequent acts of the Consortium's board of directors are made, along with articles of the Water Supply Regulation, i.e., information that is of little accessibility for the average consumer.</w:t>
        <w:br/>
        <w:t>35. Even in the years following the introduction of such tariff changes, no additional and specific communication appears to have been given to users, not even during the expansion of the favorable band decided in 2011 and applied starting from January 2012.</w:t>
        <w:br/>
        <w:t>36. From the documentation attached to the reports sent by AEEGSI as well as from the inspection results, it also emerges that the Consortium did not provide adequately analytical and "personalized" information regarding the exceeding of the so-called guaranteed minimum in response to the numerous requests for clarification/complaints submitted by users, instead responding with a standard letter.</w:t>
        <w:br/>
        <w:t>37. Regarding the information to be provided to users, the Statute of CITL states in Article 23 that, "without prejudice to the publicity of the fundamental acts of the Consortium and of the Board of Directors," the Manager is obliged to transparency and information towards users, regarding the services managed for them. The Water Service Charter accessible on the CITL website expressly prescribes (paragraph 8, letter a) that the Manager must ensure "continuous and complete information to citizens regarding the methods of service provision," in particular, informing "about the mechanism for determining the tariff as well as any variation thereof" and, above all, committing "to ensure clarity and comprehensibility of everything that is disseminated to the customer, always striving to adopt an easy and accessible language."</w:t>
        <w:br/>
        <w:t>B) Requests for payment of late or incorrect invoices based on incongruous consumption estimates</w:t>
        <w:br/>
        <w:t>The detection of consumption</w:t>
        <w:br/>
        <w:t>38. Based on the contract and related attachments, the activities of verifying consumption as well as reading and maintaining the meters are delegated by the Consortium to Publiservizi, which, while organizing them entirely independently and at its own expense, adheres to the specific indications and timelines given by CITL.</w:t>
        <w:br/>
        <w:t>39. The detection of consumption for the over seventy thousand managed users occurs, since 2008, through the acquisition of a digital photo of the recorded measurement along with the corresponding meter number.</w:t>
        <w:br/>
        <w:t>40. The frequency of meter readings is established by CITL. According to Article 42 of the Water Supply Regulation, it must be performed "at least once a year," but the contract between Publiservizi and CITL provides for two reading cycles per year.</w:t>
        <w:br/>
        <w:t>41. However, evidence in the records shows that there is a non-negligible percentage of consumers for whom readings have not been performed and therefore estimates of consumption have been made. In 2011, this percentage was significant and equal to about 33%, a figure that has progressively decreased in subsequent years, recording in 2014 a percentage of about 7% (9% in the first semester of 2015). Therefore, during the considered period, a significant percentage of users received invoices not based on actual consumption (see columns 3 and 4 of table 1).</w:t>
        <w:br/>
        <w:t>Tab. 1</w:t>
        <w:br/>
        <w:t>Self-readings</w:t>
        <w:br/>
        <w:t>42. In compliance with Article 42 of the Water Supply Regulation, if it has not been possible to carry out the periodic reading of the meter, the Manager's staff leaves a specific notice with the necessary instructions to send the consumption data recorded by the user in self-reading to the Manager. Self-reading is also encouraged within the bill where various contacts (the same indicated in the aforementioned notice) for this communication are provided. In addition to the taxpayer's counter, self-reading can be communicated to a toll-free number from a landline or (since 2013) to a paid landline number.</w:t>
        <w:br/>
        <w:t>43. Self-readings may be discarded if inconsistencies with the data present in the system emerge or verified in the subsequent meter reading cycle immediately following the communication. It does not appear that the professional communicates to consumers the possible rejection of the self-reading.</w:t>
        <w:br/>
        <w:t>The estimate</w:t>
        <w:br/>
        <w:t>44. According to the Water Supply Regulation, in the absence of direct readings or self-readings, the Manager is authorized to issue an invoice estimating consumption based on previous consumption, applying the "pro-die" calculation criterion. The same Regulation refers to the definition of this criterion which "consists in considering any recorded consumption over a period as if it were produced consistently day after day. According to this criterion, consumption, consumption bands, and fixed fees are divided by the days that elapse between the initial meter reading and the final reading: the average values thus calculated are then multiplied by the days of competence."</w:t>
        <w:br/>
        <w:t>45. Reports from some users reveal some inconsistencies in the estimates used by CITL in billing. For example, one user reports that the estimates of their consumption vary significantly from one bill to another, in the absence of changes in the household; from the absence of readings - along with other evident criticalities/inconsistencies in the methods of measuring consumption at the meter that are evidently unsuitable to reliably attest to actual consumption and the consequent tariff charges - it is also inferred from various judgments issued by local Justices of the Peace on appeals filed by CITL users.</w:t>
        <w:br/>
        <w:t>46. In all such letters, the Consortium claims the correctness of the billing carried out "considering the pro-die consumption charge and the billing period" with reference to CIPE Resolutions No. 45/74 (which would clarify that the provision of 150l/day, equal to 72 mc/year, is to be understood as a provision for a single housing unit/user) and No. 52/01 (introducing the principle of exceeding the "minimum committed" in domestic uses). In the same letters, it was also stated that "the tariffs applied, as well as the new consumption bands" would have been approved by the assembly of municipalities with resolution No. 4 of 17.7.2009, "as provided for by the Statute of CITL in compliance with the dictates of various national regulations"; finally, the claim for the annulment of the accounting act was generically rejected "considering the correctness of the consumption charged and their compliance with what is provided by the Water Supply Regulation and national legislation on the matter."</w:t>
        <w:br/>
        <w:t>47. These activities are related to [omitted]. From the inspection report of Publiservizi (statement released by the General Director of the company), it emerges that the readers used are on average [omitted]. According to Article [omitted] of the tender specifications, Publiservizi is obliged to report to CITL [omitted].</w:t>
        <w:br/>
        <w:t>48. Doc. 61.6.</w:t>
        <w:br/>
        <w:t>49. Pursuant to Article [omitted] of the contract (doc. 59.20), Publiservizi must normally carry out [omitted].</w:t>
      </w:r>
    </w:p>
    <w:p>
      <w:r>
        <w:rPr>
          <w:b/>
        </w:rPr>
        <w:t>[Pages 250–252]</w:t>
      </w:r>
    </w:p>
    <w:p>
      <w:r>
        <w:t>252 BULLETIN NO. 50 OF JANUARY 25, 2016</w:t>
        <w:br/>
        <w:t>the report of another user highlights the use of references related to the second half of 2014 to estimate advance consumption for 2013, despite the presence of readings close to the end of 201356.</w:t>
        <w:br/>
        <w:t>46. The existence of even significant estimation errors that led to billing for consumption different from the actual consumption57 also appears to be confirmed by the high number of accepted billing complaints. The available data shows that approximately 87% of the billing complaints recorded by CITL and Publiservizi regarding the incorrect attribution of consumption have been accepted.</w:t>
        <w:br/>
        <w:t>47. From the data obtained during the inspection, it appears that CITL replaced about 2/3 of the meter park58 between 2010 and 2014. According to statements made by the Consortium, during the period from May 14, 2013, to November 21, 2014, as a result of checks carried out during the reading cycles, the staff of Publiservizi appointed by the Manager found that [omissis] meters (i.e., almost [0-10]% of the total number of users served by the Consortium) needed to be replaced due to obsolescence or malfunction59.</w:t>
        <w:br/>
        <w:t>Late billing</w:t>
        <w:br/>
        <w:t>48. According to the Water Supply Regulation (art. 40), "Billing is normally carried out four times a year; however, the choice of the billing period within the year by the manager is indisputable and may be organized according to needs and, in any case, for a minimum of two billings per year." The evidence obtained shows that from 2011 to 2014, the minimum requirement set by the aforementioned regulatory provision was not respected, as two billing cycles (advance/final or I semester/II semester) were carried out for each consumption year with considerable delay.</w:t>
        <w:br/>
        <w:t>49. There are reports from consumers complaining about the late sending (even with delays of years) of bills related to consumption recorded for the previous entire year60.</w:t>
        <w:br/>
        <w:t>50. From the documentation obtained, it emerges that CITL did not comply with the billing frequency provided for all types of invoices, including those for actual consumption, advance, final, and adjustment. In particular, from the reports and invoices obtained during the inspection, as well as from the billing issuance plans prepared by Publiservizi61, it appears that billing for consumption occurred, at least until the end of 2014, with a delay of at least 6-12 months.</w:t>
        <w:br/>
        <w:t>51. This is also confirmed by the information provided by Publiservizi in its memorandum62. In particular, during the period 2011-2014, for each year, two billing cycles were actually carried out (including for adjustments and corrections), but almost always with a significant delay - between the billed period and the moment when the invoice is issued - ranging from about 3 months, for some municipalities63, to even 3 years. The emerging data is exemplified in the following table:</w:t>
        <w:br/>
        <w:t>Tab. 2: municipalities affected by billing delays</w:t>
        <w:br/>
        <w:t>Consumption semesters Delays in billing and number of affected municipalities</w:t>
        <w:br/>
        <w:t>0-2 months 3 – 5 months 6 -9 months 9 months - 1 year 2 → 3 years</w:t>
        <w:br/>
        <w:t>II 2011 and any</w:t>
        <w:br/>
        <w:t>11 19 9 56</w:t>
        <w:br/>
        <w:t>adjustments</w:t>
        <w:br/>
        <w:t>I 2012 39</w:t>
        <w:br/>
        <w:t>II 2012 and any</w:t>
        <w:br/>
        <w:t>16 19</w:t>
        <w:br/>
        <w:t>adjustments</w:t>
        <w:br/>
        <w:t>I 2013 14 19 55</w:t>
        <w:br/>
        <w:t>II 2013 and any</w:t>
        <w:br/>
        <w:t>16 55</w:t>
        <w:br/>
        <w:t>adjustments</w:t>
        <w:br/>
        <w:t>I 2014 51 34 53</w:t>
        <w:br/>
        <w:t>II 2014 12 40</w:t>
        <w:br/>
        <w:t>52. Also from the billing plan of Publiservizi, this activity of issuing multi-year adjustments is classified as "high priority," evidently to avoid the expiration of credits64.</w:t>
        <w:br/>
        <w:t>The collection procedures</w:t>
        <w:br/>
        <w:t>53. It emerges that, over the years, the possibility of installment payments for charges has been guaranteed, both directly on the bill65 and upon request from users, even in relation to bills not paid promptly: it appears, in fact, that, since 2009, the Consortium has authorized the then concessionaire of collection in this regard and, since 2011, Publiservizi66.</w:t>
        <w:br/>
        <w:t>54. In case of non-payment within the deadlines, the collection procedure usually involves sending a reminder (collection notice) and, if this is also ignored, the issuance of a tax injunction for payment under penalty of possible disconnection of the supply. In some</w:t>
        <w:br/>
        <w:t>62 Doc. 73</w:t>
        <w:br/>
        <w:t>63 The list of municipalities varies from year to year.</w:t>
        <w:br/>
        <w:t>64 Doc. 61.40</w:t>
        <w:br/>
        <w:t>65 It appears that, until 2015, three payment slips were included in the semi-annual bills, one for the full amount to be paid, and the other two for the payment of the same amount in separate and subsequent installments (Doc.70. 4).</w:t>
        <w:br/>
        <w:t>66 See attachments 1 to 7 to the CITL hearing minutes (Doc. 82). During the hearing, the professional specified that if the amount to be paid exceeds two hundred euros, upon the user's request - who must fill out a specific form - an installment plan articulated in at least four installments may be granted. An installment plan may also be granted in relation to the total amount resulting from multiple unpaid invoices: in this regard, the Consortium decides based on an investigation carried out by Publiservizi.</w:t>
      </w:r>
    </w:p>
    <w:p>
      <w:r>
        <w:t>254 BULLETIN NO. 50 OF JANUARY 25, 2016</w:t>
        <w:br/>
        <w:t>cases of prolonged default - and in the face of repeated disputes by the same user, both of the bill and of the collection notice, which were nonetheless acknowledged by the Consortium - the Manager has invited the user to regularize the debt position within 15 days, under penalty of activating the disconnection procedure pursuant to art. 1565 cc and art. 19 of the Water Supply Regulation67.</w:t>
        <w:br/>
        <w:t>55. It also emerges that Publiservizi submits to the Consortium for approval the standard communications of "pre-notice of suspension" or blockage of the water supply to be sent to users in a state of persistent default (after sending payment reminders or the tax injunction)68.</w:t>
        <w:br/>
        <w:t>56. From the documentation available, it emerges that CITL extensively uses, as a priority alternative to disconnection, the tool of the tax injunction for the recovery of sums owed to it, even pending complaints from users (as will be seen in the next section).</w:t>
        <w:br/>
        <w:t>57. This tool has been increasingly used over time: the tax injunctions issued have come to represent about 10% of the invoices issued annually by CITL and 17% of the users served by the Consortium69.</w:t>
        <w:br/>
        <w:t>58. It should also be noted that upon request from users, installment plans are granted even for amounts already subject to tax injunction, expressly considering both the high amount of charges and any conditions of "socio-economic hardship of the user"70.</w:t>
        <w:br/>
        <w:t>C) Inefficient management of complaints and systematic recourse to tax injunction for the forced collection of credits of unproven amount allegedly owed to the Manager, even pending responses to complaints</w:t>
        <w:br/>
        <w:t>The receipt and management of complaints</w:t>
        <w:br/>
        <w:t>59. Some consumers report that they have not received responses to complaints and requests for clarification submitted, even repeatedly, to both CITL and Publiservizi S.r.l. regarding the bills received71.</w:t>
        <w:br/>
        <w:t>60. According to the Contract of engagement between the parties and the related attachments72, Publiservizi provides support services to the Consortium primarily for the acquisition at the counter of various requests and complaints from users, particularly those aimed at the cancellation or correction of the invoice as well as the suspension or refund of payments.</w:t>
        <w:br/>
        <w:t>61. For this purpose, as also emerges from the same bill in use, Publiservizi has set up three physical counters for all users of the various municipalities administered73, as well as a toll-free number for "information, self-reading, contracts, transfers, connections."</w:t>
        <w:br/>
        <w:t>67 Doc. 59.19, pp. 27 and 28.</w:t>
        <w:br/>
        <w:t>68 Doc. 61.42</w:t>
        <w:br/>
        <w:t>69 Doc. 85.</w:t>
        <w:br/>
        <w:t>70 Docc. 61.7, 61.8 and 85.</w:t>
        <w:br/>
        <w:t>71 Docc. 20/747c, 32/781a.</w:t>
        <w:br/>
        <w:t>72 In particular, art. [omissis] of the Contract and art. [omissis] of the Specifications, for the services [omissis].</w:t>
        <w:br/>
        <w:t>73 These are those located in Marcianise, Bellona, and Mondragone. Doc. 59.16.</w:t>
      </w:r>
    </w:p>
    <w:p>
      <w:r>
        <w:rPr>
          <w:b/>
        </w:rPr>
        <w:t>[Pages 253–255]</w:t>
      </w:r>
    </w:p>
    <w:p>
      <w:r>
        <w:t>BULLETIN NO. 50 OF JANUARY 25, 2016 255</w:t>
        <w:br/>
        <w:t>62. Also based on the aforementioned contract, Publiservizi carries out support activities for the Consortium in preparing the subsequent response measures or cancellation, reduction, suspension, or refund: in particular, the company undertakes to conduct an investigation regarding the submitted case by gathering useful information that is transmitted to the Consortium. Following independent evaluations and decisions, the CITL responds directly to the user with its own letter74.</w:t>
        <w:br/>
        <w:t>63. According to the Water Service Charter of the CITL (paragraphs 3 and 4 - Standards for customer relations - standards for response times to requests and complaints), informational contacts with users for various requests and complaints occur through direct counters, telephone counters, and correspondence. In the case of written requests and complaints, a maximum response time of 20 or 30 days is provided, depending on whether the responses require an on-site inspection or not.</w:t>
        <w:br/>
        <w:t>64. According to what has been expressly admitted by both Parties in their respective defenses, only complaints received through "institutional channels" are taken into consideration, meaning the public counters of the Consortium as well as those set up by Publiservizi. The company states that "it is not a coincidence that the complaints in the records" (i.e., those underlying the initiation communication) "were sent by fax, a method that is therefore not compliant with the indications provided in every communication sent to users by Publiservizi." It adds that "the size and multiplicity of Publiservizi's operational locations (a company engaged in numerous sectors of collection on behalf of local authorities) do not materially allow for a timely examination and response to complaints not received through the indicated methods"75.</w:t>
        <w:br/>
        <w:t>65. In the bills sent to users until 201576, there is no mention of the possibility of forwarding requests for information/complaints by "correspondence." However, from reports and certain evidence in the records, it emerges that the Consortium also processes requests sent by mail, although, evidently, without systematicity.</w:t>
        <w:br/>
        <w:t>66. According to what has been stated by the CITL, "there is no organic complaint management system for users: they are managed by the Consortium's Commercial Office, without established procedures"77.</w:t>
        <w:br/>
        <w:t>67. According to Article 56 of the Water Supply Regulation - and as confirmed in the inspection78 - "no conciliation procedure with users is provided."</w:t>
        <w:br/>
        <w:t>Complaint statistics: numbers - subject - response times</w:t>
        <w:br/>
        <w:t>68. From the evidence in the records79, it emerges, in reference to the period 2011-14, that the total number of complaints related to various causes submitted to the Manager by users of all served municipalities was [5,000-10,000], and it appears to be increasing between 2012 and 2014; in particular, the number of complaints received by CITL doubled between 2013 and 2014.</w:t>
        <w:br/>
        <w:t>74 Doc. 73.</w:t>
        <w:br/>
        <w:t>75 The clarification was made in the note received on June 15, 2015, accompanying the commitments presented (Doc. 68).</w:t>
        <w:br/>
        <w:t>76 Docc. 59.13, 59.16, and 70.4</w:t>
        <w:br/>
        <w:t>77 Inspection report. Doc. 59</w:t>
        <w:br/>
        <w:t>78 Inspection report. Doc. 59</w:t>
        <w:br/>
        <w:t>79 Doc. 83 and 85.1.</w:t>
      </w:r>
    </w:p>
    <w:p>
      <w:r>
        <w:t>256 BULLETIN NO. 50 OF JANUARY 25, 2016</w:t>
        <w:br/>
        <w:t>Tab. 3: complaints by cause</w:t>
        <w:br/>
        <w:t>2011 2012 2013 2014</w:t>
        <w:br/>
        <w:t>Incorrect allocation of consumption 84.3% 80.4% 97.1% 84.0%</w:t>
        <w:br/>
        <w:t>Amount already paid in full or in part 4.8% 7.6% 2.2% 14.7%</w:t>
        <w:br/>
        <w:t>Other (*) 10.9% 12.0% 0.7% 1.2%</w:t>
        <w:br/>
        <w:t>total [2000-3000] [1000-2000] [1000-2000] [3000-4000]</w:t>
        <w:br/>
        <w:t>(*) duplicate notice, start/end of user period, notification to incorrect taxpayer (issuance phase), incorrectly allocated user</w:t>
        <w:br/>
        <w:t>69. In reference to the same period, it appears that:</w:t>
        <w:br/>
        <w:t>- the incorrect allocation of consumption constitutes the absolutely prevailing cause (86% of cases), compared to others that remain marginal.</w:t>
        <w:br/>
        <w:t>Within the complaints submitted for this cause:</w:t>
        <w:br/>
        <w:t>- [87%] were accepted ("favorable to the taxpayer");</w:t>
        <w:br/>
        <w:t>- [5%] were rejected ("not deserving of acceptance");</w:t>
        <w:br/>
        <w:t>- approximately [7%] were suspended;</w:t>
        <w:br/>
        <w:t>- for the residual part [omissis] it is noted "non-existent documentation."</w:t>
        <w:br/>
        <w:t>The following table shows the trend of the outcomes of complaints over time.</w:t>
        <w:br/>
        <w:t>Tab. 4: outcome of complaints for incorrect allocation of consumption</w:t>
        <w:br/>
        <w:t>Not deserving of</w:t>
        <w:br/>
        <w:t>Favorable to Taxpayer Suspended</w:t>
        <w:br/>
        <w:t>acceptance</w:t>
        <w:br/>
        <w:t>2011 79.7% 11.5% 8.8%</w:t>
        <w:br/>
        <w:t>2012 89.3% 3.4% 7.3%</w:t>
        <w:br/>
        <w:t>2013 90.6% 4.9% 4.5%</w:t>
        <w:br/>
        <w:t>2014 91.3% 1.1% 7.5%</w:t>
        <w:br/>
        <w:t>total 87.6% 5.1% 7.3%</w:t>
        <w:br/>
        <w:t>70. It also emerges that there is a rather variable timing for the resolution of complaints, still referring to the period 2011-2014: the average processing time for all considered complaints is around 75 days, with a significant difference between accepted complaints (average time 68 days) and those not accepted (average time 209 days). A significant number of complaints are resolved in over a year, with a maximum of even 1589 days80.</w:t>
        <w:br/>
        <w:t>71. The graph below represents, for the same period, the average processing time of the complaints submitted, specifically regarding billing, to which a response was provided (of acceptance or rejection): the resolution of these within thirty days occurred, in 2011, for only a percentage of users lower than 30%. The percentage significantly improved the following year only to decline again in 2013 and 2014, below 70%. In the same years, however, very high processing times are recorded, ranging from three months to over two years.</w:t>
        <w:br/>
        <w:t>Fig. 3: trend of the response time for billing adjustment requests</w:t>
        <w:br/>
        <w:t>[omissis]</w:t>
        <w:br/>
        <w:t>Generality of responses to complaints and requests for clarification</w:t>
        <w:br/>
        <w:t>72. Based on various reports, it emerges that on the analytical requests of distinct consumers (e.g., regarding the calculation methods of consumption and the applied tariff criteria), responses are provided late, even with months of delay, and in any case, are quite generic, merely referring to regulatory or legislative references (CIPE Resolutions) without providing a copy or delving into the specific point of interest, thus preventing users from adequately understanding the details of the accounting documents sent to them81.</w:t>
        <w:br/>
        <w:t>73. Also from the evidence acquired during inspections, it appears that the responses provided by the Consortium regarding, especially, the clarifications requested on the application of tariff criteria (specifically regarding the exceeding of the guaranteed minimum) as well as on measurements or estimates of the charged consumption, consistently have a level of detail that is entirely inadequate to the magnitude and complexity of the questions and also tend to reproduce the same laconic text, according to a sort of template, not only towards different users but also towards the same consumer who reiterates the requests82.</w:t>
        <w:br/>
        <w:t>The suspension of collection pending a complaint</w:t>
        <w:br/>
        <w:t>74. Both professionals agree in stating the existence of a mere "practice" - that is, a behavior not formally regulated by regulatory sources or in the contract between them - according to which the collection procedure - for which Publiservizi is, as will be seen, directly responsible - is suspended in the event of a pending complaint and until a formal decision on the same83. There is no evidence of such suspension in the records.</w:t>
        <w:br/>
        <w:t>The treatment of arrears: collection notices and tax injunctions</w:t>
        <w:br/>
        <w:t>81 Doc. 14/723e, 19/744c, 22/765c, and 22/765e. In particular, regarding various and distinct complaints against bills issued on the same date of January 28, 2014, as "advance for the year 2013" (in which users complained about the "inconsistency between billing periods and the period of consumption measurement" as well as the erroneous "calculation of the monetary equivalent of the charged consumption" performing the calculations themselves), the CITL responded with a concise "photocopy letter," sent indiscriminately to the various complainants.</w:t>
        <w:br/>
        <w:t>82 See, for example, Doc. 59.15, found during the inspection visit. There, in response to the repeated complaints of the user against different invoices and subsequent collection notices - particularly regarding the non-application of the guaranteed minimum criterion already identified in the user's original water supply contract - the Consortium limited itself to succinctly reiterating, in successive responses, the mere reference to the details of the CIPE Resolutions and the related application acts of the CITL as well as the correctness of the consumption as documented by photographic measurements.</w:t>
        <w:br/>
        <w:t>83 Minutes of the Publiservizi hearing on July 29, 2015, and memory of CITL received on September 10, 2015 (Docc. 77 and 83).</w:t>
      </w:r>
    </w:p>
    <w:p>
      <w:r>
        <w:rPr>
          <w:b/>
        </w:rPr>
        <w:t>[Pages 256–258]</w:t>
      </w:r>
    </w:p>
    <w:p>
      <w:r>
        <w:t>258 BULLETIN NO. 50 OF JANUARY 25, 2016</w:t>
        <w:br/>
        <w:t>75. Some complainants report having received payment reminders (collection notices) regarding bills they never received84.</w:t>
        <w:br/>
        <w:t>76. Others report having received collection notices for bills that were already the subject of timely complaints – made both to CITL and Publiservizi S.r.l. – which went unanswered85 or were only generically addressed86, and therefore they had no opportunity to suspend the enforceability of such notices in any way.</w:t>
        <w:br/>
        <w:t>77. Some of them, despite the substantial and prolonged absence of clarifications from the professionals regarding the bills addressed to them, would nonetheless have been served with tax injunctions related to the claimed credits despite the non-tax nature of the water fee and the contractual nature of the relationship between the service provider and the user87.</w:t>
        <w:br/>
        <w:t>78. Based on the Contract of Agreement between the parties and the related attachments88, Publiservizi:</w:t>
        <w:br/>
        <w:t>- carries out a service of non-coercive payment collection and reminders thereof;</w:t>
        <w:br/>
        <w:t>- carries out a service of collection of voluntary payments resulting from collection notices;</w:t>
        <w:br/>
        <w:t>- issues and notifies "tax injunctions ex Royal Decree No. 639/1910 – or other coercive forms of payment – decided by CITL," also managing any subsequent phases (administrative seizures and foreclosures) and notifying the related and consequent measures following the adoption of coercive procedures.</w:t>
        <w:br/>
        <w:t>79. In the event of non-payment of water fees, Publiservizi sends the user – according to timelines that are not rigidly predetermined but variable with respect to the due date of the bill itself – a collection notice, that is, a formal payment reminder related to overdue bills consisting of a concise pre-printed form containing, in addition to the debtor's personal details, exclusively the details of the invoice to be settled89. On the back of the form, the user is warned that in case of non-payment beyond the deadline set in the same notice, "it is at the Consortium's discretion to suspend the water supply, without prejudice to the action for the coercive recovery of the unpaid amounts" carried out "pursuant to the provisions of Royal Decree No. 639/1910 as well as the provisions of Title II of Presidential Decree No. 602/1973, where applicable under the Law and as compatible"90.</w:t>
        <w:br/>
        <w:t>80. If the arrears persist – and in the absence of contestation/opposition to the aforementioned notice "within the terms allowed by current legislation" – Publiservizi issues a tax injunction pursuant to Royal Decree No. 639/1910 by transmitting a separate form91 where it orders payment – within 30 days – of the amount already identified in the collection notice, increased by penalties and interest for delay. It is expressly stated therein that the credit referred to in the previous notice has become, as it was not opposed, "certain, liquid, and enforceable."</w:t>
        <w:br/>
        <w:t>84 Docs. 27/776a, 31/780a and 34/808</w:t>
        <w:br/>
        <w:t>85 Docs. 3/461b, 20/747c, 23/772a, 29/778a, 29/778c, 30/779a, 32/781a-b-c-d-e, 32/781/e, 33/793</w:t>
        <w:br/>
        <w:t>86 Doc. 32/781e</w:t>
        <w:br/>
        <w:t>87 Docs. 7/496c, 7/496f, 14/723a, 14/723b, 15/724a, 16/730a, 16/730e, 16/730g, 17/333, 18/741b, 21/756</w:t>
        <w:br/>
        <w:t>88 In particular, art. [omitted] of the Contract and art. [omitted] of the Specifications, for the service [omitted].</w:t>
        <w:br/>
        <w:t>89 Doc. 59.21, p. 5</w:t>
        <w:br/>
        <w:t>90 Doc. 70.7</w:t>
        <w:br/>
        <w:t>91 Doc. 56.21, p. 6</w:t>
      </w:r>
    </w:p>
    <w:p>
      <w:r>
        <w:t>BULLETIN NO. 50 OF JANUARY 25, 2016 259</w:t>
        <w:br/>
        <w:t>At the bottom of the same form, the recipient is warned that "in case of non-payment by the indicated deadline, enforcement will proceed through seizures of movable, immovable property or from third parties, subject to the possible adoption of further measures to guarantee the credit such as the registration of administrative seizures of registered movable property or the mortgage on the user's real estate...".</w:t>
        <w:br/>
        <w:t>81. The issuance of tax injunctions is prepared by Publiservizi, based on the decisions and authorizations of the Consortium92. The use of tax injunctions appears to be increasing over time: between 2011 and 2015, the number of tax injunctions issued doubled, exceeding 12,000 units, as shown in the following table93.</w:t>
        <w:br/>
        <w:t>Tab. 5: Tax injunctions issued</w:t>
        <w:br/>
        <w:t>date of issuance number</w:t>
        <w:br/>
        <w:t>30/03/2015 12282</w:t>
        <w:br/>
        <w:t>17/10/2014 6563</w:t>
        <w:br/>
        <w:t>01/10/2013 8820</w:t>
        <w:br/>
        <w:t>05/12/2011 6443</w:t>
        <w:br/>
        <w:t>82. As evidenced by the documents obtained during the inspection, the statistics related to disputes before the Justice of the Peace, managed by Publiservizi on behalf of the Consortium, regarding billing in the period from 2011 to 2015, confirm that, regarding the cases already resolved, the clear majority of them is in favor of the taxpayer94.</w:t>
        <w:br/>
        <w:t>3) The defensive arguments of the professionals</w:t>
        <w:br/>
        <w:t>83. Both professionals have produced, also in subsequent memoranda and during the related hearings, various defensive notes regarding the charges in this proceeding. Some observations were common while others were made in relation to the specific position held in the analyzed cases. The following is a summary.</w:t>
        <w:br/>
        <w:t>84. Both professionals argue:</w:t>
        <w:br/>
        <w:t>- preliminarily, that the contested conduct in this proceeding falls within the exclusive competence of AEEGSI, on which, moreover, a regulatory intervention is expected shortly aimed at "ensuring minimum homogeneous service levels across the national territory"95;</w:t>
        <w:br/>
        <w:t>92 Doc. 59.24</w:t>
        <w:br/>
        <w:t>93 Data taken from tab. E) of doc. 85.</w:t>
        <w:br/>
        <w:t>94 Doc. 61.52. The document shows that out of 1869 appeals filed, 1247 are pending, and among those resolved, 72 were favorable to the Manager while 419 were favorable to the taxpayer.</w:t>
        <w:br/>
        <w:t>95 The company refers to Document 665/2014/R/IDR (“Regulation of the contractual quality of the integrated water service or each of the individual services that compose it”) submitted for public consultation in December 2014. Based on the elements acquired as a result, AEEGSI will develop a uniform regulatory framework regarding: i) billing methods and billing adjustments; ii) payment installment plans; iii) management of counters and websites; iv) management of telephone services; v) information requests; vi) complaint management.</w:t>
      </w:r>
    </w:p>
    <w:p>
      <w:r>
        <w:t>260 BULLETIN NO. 50 OF JANUARY 25, 2016</w:t>
        <w:br/>
        <w:t>- regarding the charges contested by AGCM, in any case, there would be no legal grounds for the configuration of unfair commercial practices ex art. 20 of the Consumer Code, on the one hand, as the conduct of the Manager is determined by the regulations and the Service Charter and, on the other hand, as the conduct of an agent responsible for measurement, billing, and collection could not in itself be suitable to appreciably alter the economic behavior of the consumer. All the more so in a monopolistic context – such as that of the water service managed by CITL – where there would be no room for the "commercial choices" of users;</w:t>
        <w:br/>
        <w:t>- the use of the tax injunction, as a privileged tool in the coercive collection of water tariffs, would be fully legitimate based on the current regulatory framework and supported by established jurisprudence, given the public nature of the managing entity, the specific authorization of the entrusted company, as well as the suitability of the tool to be applied to all revenues, including property revenues, of local authorities96.</w:t>
        <w:br/>
        <w:t>85. CITL specifically observes:</w:t>
        <w:br/>
        <w:t>PRACTICE A)</w:t>
        <w:br/>
        <w:t>- the Consortium merely states that all tariff changes that occurred over the years have been the subject of appropriate publication in the BURC Campania and of "timely and adequate information to users with the first useful invoice";</w:t>
        <w:br/>
        <w:t>PRACTICE B)</w:t>
        <w:br/>
        <w:t>- first of all, it is highlighted that the contracts for public utility services, including those related to water supplies, pursuant to arts. 1339 and 1374 cc., are automatically integrated by subsequent national legislation, particularly regarding tariffs;</w:t>
        <w:br/>
        <w:t>- regarding the exceeding of the guaranteed minimum, already in place in the supply contracts already signed with domestic users, CITL illustrates that it has consistently complied, with its own acts of acceptance, with the methods and timing established by CIPE;</w:t>
        <w:br/>
        <w:t>- it rejects as unfounded the reports regarding the late sending of bills, given the evident interest of CITL "to collect tariffs as quickly as possible";</w:t>
        <w:br/>
        <w:t>- it specifies that it has issued invoices twice a year for all seventy thousand users served until 2014, moving to 4 times in 2015;</w:t>
        <w:br/>
        <w:t>- as for the contested inconsistencies in consumption estimates, it merely refers to: a) the Water Regulation, which provides that meter readings must be carried out "at least once a year" and that it may resort to a billing system based on estimated consumption during the time intervals between readings applying the pro-die criterion; b) the circumstance that consumers, in order to obtain data as close as possible to actual consumption, can submit self-readings through the various channels indicated97;</w:t>
        <w:br/>
        <w:t>96 Each Party claims that this assumption is consistent with the current regime under Decree Law No. 31.12.07, No. 248 ("Extension of deadlines provided by legislative provisions and urgent provisions in financial matters"), converted, with amendments, into Law No. 28 February 2008, No. 31 according to which the coercive collection of taxes and all other revenues of local authorities can continue to be carried out with the injunction procedure referred to in the aforementioned 1910 norm, also following the provisions contained in Title II of Presidential Decree 29.09.1973, No. 602 as compatible, in cases where the local authority carries out coercive collection directly or through the entrusted companies pursuant to art. 52, co. 5, lett. b), of Legislative Decree 15.12.1997, No. 446 (as, indeed, Publiservizi).</w:t>
        <w:br/>
        <w:t>97 toll-free number, fax, mail, email, and counters.</w:t>
      </w:r>
    </w:p>
    <w:p>
      <w:r>
        <w:rPr>
          <w:b/>
        </w:rPr>
        <w:t>[Pages 259–261]</w:t>
      </w:r>
    </w:p>
    <w:p>
      <w:r>
        <w:t>BULLETIN NO. 50 OF JANUARY 25, 2016 261</w:t>
        <w:br/>
        <w:t>- with reference to the contested replacement of meters, the Consortium specifies that such activity is expressly provided for, under the Manager, by the Water Supply Regulation. The CITL exercises it (for controls and various operational interventions) through Publiservizi, to which the service encompassing readings as well as the maintenance of the meters themselves is entrusted by contract. Following these checks, the Consortium decides on the replacement of meters found to be faulty and/or obsolete. In any case, the user can request the intervention of the Consortium to correct any material errors related to such operations;</w:t>
        <w:br/>
        <w:t>- the CITL claims to have never operated any disconnection of the supply (except in the case of illegal connections) even in the event of persistent arrears that continued even after the notification of payment injunctions;</w:t>
        <w:br/>
        <w:t>PRACTICE C)</w:t>
        <w:br/>
        <w:t>- the Consortium only deals with complaints received through institutional channels (i.e., at its own counters and those set up by Publiservizi) with the support of Publiservizi “within the timeframes defined by the Service Charter.” Only in the event of massive complaints, delays in responses to users may occur;</w:t>
        <w:br/>
        <w:t>- there is no comprehensive system for managing user complaints: they are managed by the Consortium's Commercial Office, without established procedures;</w:t>
        <w:br/>
        <w:t>- no conciliation procedure with the users is provided;</w:t>
        <w:br/>
        <w:t>- “in any case, it is the Consortium's practice not to proceed with the ordinary and enforced collection of invoices while complaints are pending”;</w:t>
        <w:br/>
        <w:t>- the number of complaints received by the Consortium would be physiological;</w:t>
        <w:br/>
        <w:t>- the CITL claims to have never operated any disconnection of the supply (except in the case of illegal connections) despite the “numerous cases of persistent arrears” sometimes continuing even after the notification of payment injunctions. This is in consideration of the essential nature of the water supply service and despite the fact that the Manager is empowered in this regard, as well as by the codified regulations on contractual non-fulfillment and by sector regulations, also by the Water Supply Regulation.</w:t>
        <w:br/>
        <w:t>PUBLISERVIZI S.r.l. specifically observes:</w:t>
        <w:br/>
        <w:t>86. The company notes, based on the Water Supply Regulation and especially the contract of assignment (and related attachments), that it has only support and executive tasks with respect to the competencies of the Manager of the SII, remaining “completely external” to the decision-making and authorization processes for the services carried out on behalf of the Consortium, albeit with its own organizational autonomy.</w:t>
        <w:br/>
        <w:t>87. Regarding the behaviors subject to initiation, the company represents the following:</w:t>
        <w:br/>
        <w:t>PRACTICE A)</w:t>
        <w:br/>
        <w:t>- regarding communication to users about tariff changes involving exceeding the guaranteed minimum, the company states that it does not have, first of all, the availability of contracts previously signed by the Consortium with the users since the contractual relationship with the CITL began in 2011, and, above all, it has no competence and power regarding the presentation of information to users: the billing model is prepared based on the indications provided by the CITL;</w:t>
        <w:br/>
        <w:t>PRACTICE B)</w:t>
        <w:br/>
        <w:t>- as for “billing in deviation from the contract originally signed with the users,” based on the Water Supply Regulation and also the Technical Specifications, the Company states that it has no competence regarding the identification of the tariff criteria to be applied to users. Furthermore, the measurement of consumption and the management of meters is carried out with autonomous organization but based on the specific methods and timelines indicated by the CITL, which maintains the related responsibility. The preparation of invoices by Publiservizi occurs based on instructions and tariff indications approved and communicated by the CITL: the calculations processed by Publiservizi, that is, the application of the tariff criteria to the consumption recorded for each managed user, are nonetheless submitted to the approval of the CITL before being formalized in the invoice sent to the user. As also emerges from the billing model used, the subject responsible for the billing process is the General Director of the CITL;</w:t>
        <w:br/>
        <w:t>- “Regarding the alleged inconsistencies concerning the recorded consumption, charged to users and referred to different billing periods,” the company limits itself to reiterating, in general, that it operates in accordance with Articles 40 and 42 of the Water Supply Regulation and that the user, in the event of any anomalies in the measurement of consumption, can always request verification of the correct functioning of the meter;</w:t>
        <w:br/>
        <w:t>- “Regarding the alleged late sending of invoices to be paid in a single installment,” it states that, in the activity carried out on behalf of the Consortium, the “five-year limitation period referred to in Article 2948 of the Civil Code applicable to the fees in question” has always been respected;</w:t>
        <w:br/>
        <w:t>PRACTICE C)</w:t>
        <w:br/>
        <w:t>- regarding the complaint system, Publiservizi states that it has a responsibility limited to mere support tasks for the Consortium, which retains all decision-making and communication powers to the user. Moreover, what is contained in the “Quality Objectives” established for the year 2014 would already attest to the company's willingness to streamline the services entrusted to it and, in particular, “the timelines for processing practices related to the collection of water fees.” Currently, pending the complaint, the collection procedure is suspended: this procedure is not formalized in an act/internal document but would always be concretely followed;</w:t>
        <w:br/>
        <w:t>- regarding the issuance and notification of tax injunctions pursuant to RD No. 639/1910 for the enforced collection of water fees, the professional states that this is, first of all, an activity that is a specific subject, among others, of the existing contract with the CITL, to be carried out in execution of the decisions of the latter. Therefore, the company could not refrain from carrying it out. In any case, the use of this tool for enforced collection would be fully legitimate based on the current regulatory framework and on the basis of established jurisprudence, given the public nature of the managing entity, the specific authorization of the contracting company, as well as the suitability of the tool to be applied to all revenues, including property revenues, of local authorities. The party also claims the full correctness of the procedure actually followed: the defaulting user is urged – however, according to an unspecified timing concerning the expected payment deadlines – by sending specific “notices” requesting payment, within 60 days of receipt, of the amounts indicated in the invoice increased by notification costs. Publiservizi expressly states that this notice would serve, in addition to informing the debtor, also to “render the credit claim certain, liquid, and enforceable.” In the event that these notices remain unheeded and that no appeal is filed with the judicial authority for annulment or correction, Publiservizi proceeds with the issuance and notification of tax injunctions.</w:t>
        <w:br/>
        <w:t>4) Observations of the interveners</w:t>
        <w:br/>
        <w:t>National Association of Concessionary Companies for Local Authority Revenue Services - ANACAP</w:t>
        <w:br/>
        <w:t>88. Following the acceptance of the request to participate in the proceedings and the hearing granted to it, the trade association ANACAP has produced a note of observations regarding the present proceedings, first contesting, like the professionals, the competence of the AGCM on the issues under review that would instead fall within the regulatory perimeter of the AEEGSI. In summary, regarding the merits of the proceedings, the Association focuses exclusively on Practice C) contested to the professionals – and in particular to Publiservizi – specifically regarding the issuance of tax injunctions for the enforced recovery of water arrears. The company, in particular, could not be directly attributed such conduct as it constitutes, first of all, a specific subject of the contract of assignment with the CITL. In any case, the use of this enforcement procedure could not constitute an unfair commercial practice: the tax injunction would, in fact, be an evidently and inherently “aggressive” tool as it is thus configured by law to allow the public entity and its collector – as a priority – to seize the assets of the defaulting debtor. Since aimed at acquiring a public revenue, this enforcement procedure is mandatory – on the part of the Creditor – and also indispensable even in the presence of a complaint from the executed debtor: this is because “the rules governing the collection of public revenues are established in favor of the subject.</w:t>
      </w:r>
    </w:p>
    <w:p>
      <w:r>
        <w:rPr>
          <w:b/>
        </w:rPr>
        <w:t>[Pages 262–264]</w:t>
      </w:r>
    </w:p>
    <w:p>
      <w:r>
        <w:t>264 BULLETIN NO. 50 OF JANUARY 25, 2016</w:t>
        <w:br/>
        <w:t>proceeding (favor aerari) and are different from those governing the collection of private debts, because they are aimed at protecting a prevailing interest, such as the public interest."</w:t>
        <w:br/>
        <w:t>Consumer Association CO.DI.CI</w:t>
        <w:br/>
        <w:t>89. Following the acceptance of the request to participate in the procedure and access the documents of the related file, the consumer association CO.DI.CI submitted some written observations regarding the use of the "tax injunction for the collection of overdue water service fees"106. There, after recalling the current regulatory framework on the SII tariff and highlighting, based on established constitutional and merit jurisprudence, the private law nature of the same tariff and the relationship between the user and the Service Manager, it deduced the illegitimate use of the tax injunction for the collection of debts related to the provision of water. In summary, according to the association, this tool, reserved for public entities under the current regulations, is based on the need to ensure these entities the rapid collection of their revenues without resorting to the judiciary to obtain the necessary enforceable title for forced execution. If this privilege – which corresponds to an inevitable compression of the citizen's defense rights – appears justified in relation to the public interest that supports the recovery of taxes, the same cannot be said regarding the collection of property revenues (i.e., "non-tax" revenues, such as the water tariff) since, in relation to them, the PA does not have a position of supremacy over the user, but rather maintains a privatistic relationship. Within such a relationship, the Water Manager, in order to obtain the settlement of overdue payments, already has the possibility of disconnecting the supply as an effect of the principle inadimplenti non est adimplendum: this possibility, moreover, guarantees him a position of supremacy over the consumer since the latter cannot turn to another Manager due to the provision of the primary good-water in a monopoly regime.</w:t>
        <w:br/>
        <w:t>IV. OPINION OF THE AUTHORITY FOR ELECTRICITY, GAS AND WATER SYSTEM</w:t>
        <w:br/>
        <w:t>90. Since the commercial practice subject to this provision concerns the water services sector, on November 5, 2015, the opinion was requested from the Authority for Electricity, Gas and Water System (AEEGSI), pursuant to and for the effects of Article 27, paragraph 1-bis, of the Consumer Code.</w:t>
        <w:br/>
        <w:t>91. In a note received on December 11, 2015, the aforementioned Authority made various general observations on the water sector and provided some information acquired by AEEGSI during a procedure initiated against CITL, the subject of which - as noted by the same regulatory authority - does not present overlapping profiles with the subject of this provision.</w:t>
        <w:br/>
        <w:t>92. In the general part, AEEGSI focused on peculiar aspects and critical issues present, transversally, within the activities of the Integrated Water Service Managers, making extensive observations that are reported here as relevant to this procedure:</w:t>
        <w:br/>
        <w:t>106 Doc. 117.1</w:t>
      </w:r>
    </w:p>
    <w:p>
      <w:r>
        <w:t>BULLETIN NO. 50 OF JANUARY 25, 2016 265</w:t>
        <w:br/>
        <w:t>- the SII sector is a natural monopoly that remains entirely regulated as a result of: (i) national measures (e.g., dPCM April 29, 1999 "General reference framework for the preparation of the integrated water service charter") and local measures (e.g., SII Charters adopted by the Area Authorities); as well as considering (ii) future regulatory interventions by AEEGSI, which should be adopted by the end of 2015 and come into force in July 2017 (DCO 560/2015/R/IDR);</w:t>
        <w:br/>
        <w:t>- regarding the actions taken by the Managers for the recovery of their credits, account must be taken of the high levels of overdue payments that characterize the water sector (especially in the Campania Region), which translate into burdens placed on all users: applying the full cost recovery principle provided for the SII, the costs of overdue payments would ultimately lead to a generalized increase in tariffs. The reasons for the levels of overdue payments - higher than those in the energy sectors - likely reside largely in the historical perception of the SII as a free service - previously financed through general taxation and characterized by a very low level of investment - of which the user, unlike in the energy sectors, does not perceive the industrial and environmental cost;</w:t>
        <w:br/>
        <w:t>- regarding the detection of consumption and consequent billing, AEEGSI observes that, at present, there is no regulation that imposes the billing of the SII solely based on actual consumption: resorting to billings based also on estimated readings, on the one hand, allows avoiding the additional costs that would arise from using actual readings for each billing and, on the other hand, becomes inevitable where access to the meters is objectively problematic. The possibility of billing estimated consumption - also allowed by the dPCM of 1999 - is generally accompanied by obligations - regarding attempts to read and the provision of a self-reading system - provided in the Service Charters submitted to the Area Authorities, to which reference is made for competence. The behavior of the Manager may therefore be deemed negligent – and, consequently, subject to censure - if it is demonstrated that it has not made the prescribed attempts to read or that, for the formulation of estimates, it has not used the actual measurement data at its disposal;</w:t>
        <w:br/>
        <w:t>- AEEGSI also notes that the submission of a complaint should not entail a prohibition on suspending the supply for overdue payments, as it is necessary to balance the user's need to obtain a conclusive and accurate response to their complaints about billing with the need not to encourage opportunistic behavior. This is especially true in the current context, due to the high levels of overdue payments that impact the tariff and, therefore, all users;</w:t>
        <w:br/>
        <w:t>- regarding the methods of communication to users regarding the applied tariffs, AEEGSI recalls the regulations formalized in its resolution AEEGSI of December 28, 2012 no. 586/2012/R/1DR where it is prescribed, as a necessary and sufficient fulfillment for the Manager, that "The bill shall report the values of the tariff applied to the final user and the last update, indicating in a complete manner the regulatory source and the body from which it derives" (Article 10).</w:t>
        <w:br/>
        <w:t>93. In the part relating to the specific profiles of the individual proceedings, AEEGSI first informed that it conducted an inspection visit at the headquarters of the Caserta Manager on February 24, 25, and 26, 2015, following which – and based on the related findings – it initiated an investigative procedure aimed at verifying violations of the tariff regulation of the integrated water service that is still ongoing107. In this regard, AEEGSI preliminarily highlights "that</w:t>
        <w:br/>
        <w:t>107 Resolution 370/2015/S/IDR of July 23, 2015.</w:t>
      </w:r>
    </w:p>
    <w:p>
      <w:r>
        <w:t>266 BULLETIN NO. 50 OF JANUARY 25, 2016</w:t>
        <w:br/>
        <w:t>there are no overlapping profiles between the disputes subject to the aforementioned sanctioning procedure (...) and those subject to the procedure initiated by AGCM."</w:t>
        <w:br/>
        <w:t>94. In any case, the regulator deemed it appropriate to report some of the evidence that emerged during its inspection as relevant to two of the practices contested to the professionals by AGCM, as described above under A) and B).</w:t>
        <w:br/>
        <w:t>95. With reference to practice A), AEEGSI noted that, during the period 2010-2012, "there are no changes to the tariff structure to be communicated to users that are related to exceeding the minimum committed consumption and that have resulted in a reduction of consumption falling within the lowest tariff bracket." On the one hand, in fact, the minimum committed consumption for domestic users would have been disregarded by CITL in 2005. On the other hand, between 2010 and 2012, the unit tariff applied remained constant, while in 2011 the width of the first and second brackets was expanded108, resulting in a reduction of user expenses.</w:t>
        <w:br/>
        <w:t>96. Regarding practice B), AEEGSI reported that the data declared by the Consortium would highlight an increase in the number of consumption readings in the period 2011-2014 carried out by an "appointed company" (currently Publiservizi), as well as self-readings. In particular, AEEGSI reports CITL's statements that while until the end of 2013, 2 reading cycles per year were planned, in 2014, 3 were carried out and in 2015, 4 reading cycles were expected to be carried out. Readings performed by the "appointed company" would have increased from over 66,000 in 2011 to over 156,000 in 2014. At the same time, self-readings would have increased from about 1250 in 2011 to over 2500 in 2014.</w:t>
        <w:br/>
        <w:t>AEEGSI also reports that from the tables provided by CITL, it appears that for some municipalities the Consortium has not issued bills since 2011. In this regard, in the period 2011-2013, the Consortium would have issued invoices for over 90% of the served users; this percentage would have decreased to 72% in 2014. The percentage of billed users who received bills determined based on two readings would have increased from 78% in 2011 to 95% in 2014.</w:t>
        <w:br/>
        <w:t>AEEGSI reported that CITL stated it estimates consumption based on the pro-die method, applied to the consumption of the last three readings. For new users, only the fixed fee is billed in the absence of actual reading. The regulator then reported the results of the examination of some of the bills acquired from the Consortium, from which "inconsistencies in the estimates of the charged consumption do not emerge [...] but only a problem of correct restitution of the advances in the settlement following reading." For a first customer, the 2011 advance was based on data related to consumption from 2007-2009 and the 2011 settlement was based on the readings from 2011 and 2012. For a second customer, the advances for 2011-2013 were calculated on a "not very consistent estimate" based on a reading dating back to 2010; following the replacement of the meter in 2014, the Consortium would have revised the estimate upwards, but would have waived settling the advances for 2011-2013. For a third user, the advances for 2012 and 2013 would have been calculated on the same pro-die based on the readings from previous periods; following a reading carried out in 2014, CITL would have revised the pro-die estimate downwards, but would have settled only for 2013, and not for 2012. It also appears that for a fourth user, no settlements have been made in favor of them for the</w:t>
        <w:br/>
        <w:t>108 In its opinion, AEEGSI mistakenly cites resolution 4/2009 of CITL in reference to this expansion of the brackets. The expansion (effective from 1/1/2012) actually occurred with resolution 4/2011 of CITL.</w:t>
      </w:r>
    </w:p>
    <w:p>
      <w:r>
        <w:rPr>
          <w:b/>
        </w:rPr>
        <w:t>[Pages 265–267]</w:t>
      </w:r>
    </w:p>
    <w:p>
      <w:r>
        <w:t>BULLETIN NO. 50 OF JANUARY 25, 2016 267</w:t>
        <w:br/>
        <w:t>2012 and 2013; furthermore, for this user, the 2011 advance was based on readings dating back to 2007 and 2008.</w:t>
        <w:br/>
        <w:t>V. CONCLUDING EVALUATIONS</w:t>
        <w:br/>
        <w:t>97. As a preliminary matter, the exception of lack of jurisdiction of the Authority raised by the professionals in their defense memos must be addressed, which does not merit acceptance for the reasons that follow.</w:t>
        <w:br/>
        <w:t>98. First, it is noted that the present proceeding concerns complex commercial practices characterized by high levels of aggressiveness, which do not translate into a mere lack of professional diligence but present a quid pluris represented by the undue conditioning exercised by the professional over consumers.</w:t>
        <w:br/>
        <w:t>99. Secondly, the behaviors examined in this proceeding are not subject to regulation by AEEGSI. Aside from the transparency of billing documents (regulated only by resolution 586/2012 of December 28, 2012) 109, on which the Authority does not intervene, the other aspects related to contractual quality, as noted by AEEGSI in its opinion, are currently the subject of a consultation procedure that has not yet resulted in the adoption of a definitive measure. Within this consultation, AEEGSI has proposed that the measures contained in the definitive provision come into effect gradually, starting from July 1, 2016; therefore, until June 30, 2016, the previous regulatory measures at the national level (dPCM April 29, 1999, which identifies the general reference framework for the SII Cards) and local (Water Supply Regulation and SII Card), which do not contain sector-specific rules derived from the EU, will continue to apply.</w:t>
        <w:br/>
        <w:t>100. Thirdly, Article 27, paragraph 1-bis, of the Consumer Code expressly provides that the competence to intervene against the behaviors of professionals that constitute an unfair commercial practice belongs to the Antitrust Authority even in regulated sectors110.</w:t>
        <w:br/>
        <w:t>101. In any case, in the specific instances at hand, not only have the majority of consumer reports received by the Authority been transmitted - "for jurisdictional profiles" - directly from AEEGSI; but as already noted, the latter has also stated in the opinion rendered here that there are no profiles of "overlap" between its investigative procedure and the unfair commercial practices subject to this provision.</w:t>
        <w:br/>
        <w:t>102. It follows from the above that the general and exclusive competence of the Authority to know the cases under consideration is established.</w:t>
        <w:br/>
        <w:t>103. Now turning to the merits, it is noted that the subject of this provision is the conduct of the Consorzio Idrico Terra di Lavoro and Publiservizi S.r.l. in the provision of the integrated water service (SII). The CITL is a public consortium established, pursuant to Article 31 of the TUEL, for the management of the integrated water service entrusted to it over fifty years ago by the municipalities and the province of Caserta. Currently, the municipalities - both consortia and non-consortia - served by the professional are about thirty, for a total of seventy thousand users.</w:t>
        <w:br/>
        <w:t>Publiservizi S.r.l. is the company entrusted by the Consortium with the collection of water fees as well as support for the same Authority in various services related to water supply.</w:t>
        <w:br/>
        <w:t>104. The integrated water service refers to the set of public services for the capture, conveyance, and distribution of water as well as sewage and wastewater treatment services. The consumption relationship between the SII manager and the consumer arises with the activation of the user and is governed by the supply contract, the Integrated Water Service Charter, and the Water Supply Regulation.</w:t>
        <w:br/>
        <w:t>105. The essential nature of the good subject to the consumption relationship, together with the legal monopoly position enjoyed by the Manager - which deprives the consumer of the possibility of changing supplier in the event of a decline in service quality - places the user in a situation of significant contractual weakness.</w:t>
        <w:br/>
        <w:t>106. This weakness also allows the Manager to exert undue conditioning on the economic choices of the consumer, based on the threat (implicit or explicit) of actual disconnection of the supply of this essential service as well as, in this specific case, on the ability - facilitated by the public nature of the Manager - to enforce its credits coercively through direct and faster means.</w:t>
        <w:br/>
        <w:t>107. In this context, the behavior of the professionals - of the Manager but also of the company that offers its support to the same for the same economic objectives - must be guided by a particularly high standard of diligence, which has not been respected in the present case. The investigation has indeed highlighted that in some areas the professionals - each according to their degree of responsibility and decision - have neglected the obligations of correctness, diligence, and transparency provided for by the Consumer Code, also resorting to coercive and aggressive tools.</w:t>
        <w:br/>
        <w:t>It should finally be noted that the situation of arrears existing among the users managed by CITL, adopted by the Manager and confirmed by AEEGSI with reference to the entire Campania region, while on one hand may necessitate the use of incisive tools for the recovery of amounts due, cannot in any case compress the right of users to the prior verification of the correctness of the charges requested.</w:t>
        <w:br/>
        <w:t>108. Regarding the merits of the individual unfair commercial practices attributable to the professionals, it is preliminarily noted that the various behaviors adopted by the professional are closely linked to each other, to the point that the failure to comply with professional diligence in one of them inevitably reverberates on the others, appreciably distorting the economic behavior of the consumer. They, although individually considered, are all potentially harmful to the provisions of the Consumer Code, and can therefore be traced, with regard to the phase of the consumer relationship to which they refer, to three distinct unfair commercial practices.</w:t>
        <w:br/>
        <w:t>109. The behaviors described in paragraph II, sub A) can be traced back to a single unfair commercial practice, consisting of the omission of adequate communication to users regarding the entry into force of potentially more burdensome tariff changes, and related deadlines and application methods that alter the commercial choices of the user regarding the opportunity to modify their water consumption and the consequent planning of the related expenditure.</w:t>
      </w:r>
    </w:p>
    <w:p>
      <w:r>
        <w:t>BULLETIN NO. 50 OF JANUARY 25, 2016 269</w:t>
        <w:br/>
        <w:t>110. The behaviors described in paragraph II, sub B) can be traced back to a single unfair commercial practice, consisting of the request for payment of late or incorrect invoices based on incongruous estimates of consumption due to the undue conditioning of the consumer - regarding the payment of amounts based on consumption different from the actual or due in different methods and times - resulting from the implicit threat of disconnection of the supply or in any case of the tax injunction;</w:t>
        <w:br/>
        <w:t>111. The behaviors described in paragraph II, sub C) can be traced back to a single unfair commercial practice, consisting of the inefficient management of complaints and systematic recourse to the tax injunction for the coercive collection of credits of uncertain amount allegedly due to the Manager, even pending responses to complaints, as it pertains to the undue conditioning of the economic choices of the consumer imposed by the lack of timely and comprehensive handling of their complaint and by the failure to suspend collection, which is guaranteed, on the part of the public Manager, by the rapid and direct exercise of the coercive tool of the tax injunction.</w:t>
        <w:br/>
        <w:t>112. Such practices are contrary to the Consumer Code, in the senses that are indicated below.</w:t>
        <w:br/>
        <w:t>PRACTICE A)</w:t>
        <w:br/>
        <w:t>113. The evidence collected overall shows that until the first half of 2009, the water tariff applied by CITL was structured on numerous categories of users (12 for domestic ones), differentiated based on the width of the consumption band at a reduced rate, varying from 72 mc/year to 544 mc/year for domestic users. The tariff structure introduced from the second half of 2009, on the other hand, provided for a single reduced band equal to 72 mc/year until the end of 2011 and subsequently expanded to 108 mc/year starting from January 1, 2012.</w:t>
        <w:br/>
        <w:t>114. The tariff change thus introduced was of great significance and significantly impacted the expenditure incurred by users for water supply, particularly increasing it for most user categories: this was due to the shifting of part of the previously reduced consumption quota into higher tariff bands, as already highlighted in the investigative findings. For example, consider the case of a user with a consumption of 108 mc/year: before the change in the tariff structure, this quantity was entirely included in the reduced consumption band (domestic user of category 2) and for it, as shown in the following table, until the first half of 2009, this user would have paid 43.2 euros. With the new tariff (effective from the second half of 2009), the same user would have paid, for the same consumption, 54.3 euros, experiencing a 25% increase in expenditure solely due to the shift to the first excess band of part of the consumption previously included in the reduced tariff111.</w:t>
        <w:br/>
        <w:t>111 As noted from the investigative findings, the actual increase in expenditure was greater because the rates associated with the new tariff bands were also increased.</w:t>
      </w:r>
    </w:p>
    <w:p>
      <w:r>
        <w:rPr>
          <w:b/>
        </w:rPr>
        <w:t>[Pages 268–270]</w:t>
      </w:r>
    </w:p>
    <w:p>
      <w:r>
        <w:t>270 BULLETIN NO. 50 OF JANUARY 25, 2016</w:t>
        <w:br/>
        <w:t>Domestic user category 2 (discounted rate 1st half 2009 = 108 mc/year)</w:t>
        <w:br/>
        <w:t>With tariff structure 1st half 2009 With tariff structure 2nd half 2009</w:t>
        <w:br/>
        <w:t>tier mc rate expense tier mc rate expense</w:t>
        <w:br/>
        <w:t>0‐108 108 0.4 43.2 0‐72 72 0.4 28.8</w:t>
        <w:br/>
        <w:t>73‐108 36 0.71 25.56</w:t>
        <w:br/>
        <w:t>54.36</w:t>
        <w:br/>
        <w:t>115. The incremental effect on expenses would have been even greater for other categories of domestic users related to broader discounted tiers: for example, for a category 4 user with a consumption exactly equal to 180 mc/year, the expense would have increased from 72 to over 121 euros, with an increase of 68%.</w:t>
        <w:br/>
        <w:t>Domestic user category 4 (discounted rate 1st half 2009 = 180 mc/year)</w:t>
        <w:br/>
        <w:t>With tariff structure 1st half 2009 With tariff structure 2nd half 2009</w:t>
        <w:br/>
        <w:t>tier mc rate expense tier mc rate expense</w:t>
        <w:br/>
        <w:t>0‐180 180 0.4 72 0‐72 72 0.4 28.8</w:t>
        <w:br/>
        <w:t>73‐108 36 0.71 25.56</w:t>
        <w:br/>
        <w:t>&gt; 108 72 0.93 66.96</w:t>
        <w:br/>
        <w:t>121.32</w:t>
        <w:br/>
        <w:t>116. It should be emphasized that the increase in expenses has been permanent (i.e., not diminished by the expansion – from 72 to 108 mc/year - of the single tier at a discounted rate starting from January 1, 2012) for all those consumers whose water supply contracts provided, in the first half of 2009, for a discounted consumption tier exceeding 108 mc/year (domestic users from category 3 to 12).</w:t>
        <w:br/>
        <w:t>117. Therefore, despite the extent of the tariff modification introduced - also due to its greater burden imposed, permanently, on a very significant portion of users for their respective water consumption - the CITL adopted truly minimal informational measures, limiting itself to merely displaying the new tariff structure on the bill, insufficient to ensure full awareness of consumers regarding this change in the tariff structure and its consequences on their water consumption expenses. This informational omission has therefore caused a distortion in the consumption choices of users served by CITL, leading them to make choices they would not have otherwise made.</w:t>
        <w:br/>
        <w:t>118. Moreover, even in the years following the introduction of the new tariff structure, any additional communication to users was omitted, even on the occasion of the aforementioned expansion of the discounted tier, as decided in 2011 and applied starting from January 2012.</w:t>
        <w:br/>
        <w:t>119. The informational opacity found on this point seems to be underscored in light of the provisions of the Service Charter adopted by the same Operator, which, in fact, expressly imposes on them an obligation of clarity and punctuality in communication to customers regarding all elements of the "service delivery methods" and, specifically, "regarding the tariff composition mechanism as well as any variation thereof." Such transparency must translate, according to the Charter, on one hand, into the adoption of "easy and accessible language" and, on the other hand, into a timely and continuous commitment from the Operator, expressly extended to the periodic verification "of the effectiveness of the information and communications made and to capture any further needs of customers."</w:t>
        <w:br/>
        <w:t>120. This evident attention to informational aspects is logically motivated, within the Charter, by the full awareness of the Operator regarding the needs of users "to facilitate the planning of family expenses," needs that are even stronger when, as in the present case, it concerns new tariff modifications that directly impact - and certainly increase, compared to the past - the fees due for the provision of the service.</w:t>
        <w:br/>
        <w:t>121. Therefore, the terse informational statements contained in the bills, with which consumers were informed of exceeding the so-called guaranteed minimum (i.e., the consumption tier at a discounted rate of the width chosen by the user) already subject to the original contracts, do not evidently align with - the high - standard of diligence on this point theoretically guaranteed by the Operator itself in its Service Charter.</w:t>
        <w:br/>
        <w:t>122. It should also be noted, in light of what emerged during the investigation, that, in addition to the lack of transparency in the bill communication regarding exceeding the so-called guaranteed minimum - both at the time of introducing the tariff modifications and subsequently - the Consortium did not even supplement this with adequately analytical and "personalized" information in response to the numerous requests for clarification/complaints submitted, on this specific point, by consumers.</w:t>
        <w:br/>
        <w:t>123. This conduct of the Consortium, therefore, appears to be in contrast with Articles 20, 22, paragraphs 1 and 2, of the Consumer Code, as the lack of clear and complete information on exceeding the so-called "guaranteed minimum" already applied to contracts with users - and, more generally, the absence of sufficient indications to adequately understand new and potentially more burdensome tariff rules for the consumer - are likely to induce the user to make commercial decisions they would not have otherwise made. This is particularly true regarding the opportunity to modify their water consumption and to set aside the necessary amounts for the payment of future bills.</w:t>
        <w:br/>
        <w:t>124. The accountability for this conduct must be excluded from Publiservizi - which, among other things, has a contractual obligation with the Consortium only since September 13, 2011 - as, in this specific case, the preparation of the bill structure and, specifically, the information attached to it for users, are entirely decided and approved by the Consortium, leaving the company with only an executive obligation based on the specific instructions received.</w:t>
        <w:br/>
        <w:t>PRACTICE B)</w:t>
        <w:br/>
        <w:t>125. The findings on record show how, in a context characterized by a new tariff structure that had significantly reduced the discounted consumption tier for numerous users, CITL proceeded to bill with serious delays to almost all users and largely based on advances and subsequent adjustments, due to the lack of actual readings. Such conduct has prevented almost all served users from making correctly informed choices regarding their water consumption, as well as unduly conditioned them to pay amounts not corresponding to actual consumption and/or related to the time of consumption.</w:t>
        <w:br/>
        <w:t>126. Specifically, at least since 2011, CITL has issued a significant number of invoices not corresponding to actual consumption, due to the failure to carry out the required readings and the use of estimates of uncertain reliability. In the years examined, there are indeed high percentages of unmeasured users, a circumstance that in 2011 affected even more than half of the managed users; although the situation has improved over the years, there remains, to this day, the critical data of a significant percentage of meters that do not receive any reading during the reference year. As reported by the AEEGSI data, the Consortium has used only a few measurement data from self-readings. Although there is no concrete evidence of how, and with what timing, self-readings are accounted for in the database of measurements, this reduced number could be at least partly due to the exclusion of those deemed by the Operator to be inconsistent with previous consumption.</w:t>
        <w:br/>
        <w:t>127. The unreliable estimates of consumption made in the absence of readings have produced values that turned out to be very distant from actual consumption, leading to the request for payment of amounts not due, as evidenced by the fact that 87% of the complaints recorded by CITL and Publiservizi regarding the incorrect attribution of consumption (which represent a large part of the total complaints received by CITL and Publiservizi) have been upheld, as well as by the outcomes of disputes raised by users before local Justices of the Peace. Furthermore, in some cases, as emerges from the AEEGSI opinion, the Operator would not have made adjustments in favor of the user resulting from the acquisition of actual measurements.</w:t>
        <w:br/>
        <w:t>128. Even where readings have been made and actual measurement data were available, the issuance of advance and adjustment invoices occurred with significant and serious delays. The evidence collected also indicates how CITL has sent invoices on actual consumption, advances, and adjustments with at least 6-12 months of delay, which extends up to three years for users in some municipalities; indeed, according to what is reported by the AEEGSI in its opinion, some municipalities have not received invoices since 2011. These delays also concern adjustment and correction invoices, which have sometimes been issued even after 3/5 years.</w:t>
        <w:br/>
        <w:t>129. CITL thus appears to have failed to meet the normal degree of specific diligence and attention that is reasonable to expect from the monopolist of the SII, billing with serious delays both amounts not corresponding to actual consumption and adjustments based on actual measurement data, and in some cases not even issuing invoices for some municipalities for years or not executing adjustments in favor of users. Such behavior, preventing SII users from timely relating the actual accrued consumption to the corresponding expenditure, has led them to make water consumption choices that they would not have otherwise made; the alteration of the consumer's commercial choice appears even more serious considering that it occurred in a context where the increased expenditure due to the new tariff structure would have necessitated a reconsideration of water consumption options by CITL users.</w:t>
      </w:r>
    </w:p>
    <w:p>
      <w:r>
        <w:rPr>
          <w:b/>
        </w:rPr>
        <w:t>[Pages 271–273]</w:t>
      </w:r>
    </w:p>
    <w:p>
      <w:r>
        <w:t>BULLETIN NO. 50 OF JANUARY 25, 2016 273</w:t>
        <w:br/>
        <w:t>130. Therefore, the conduct in question constitutes a commercial practice that appears to be contrary to Articles 20, 24, and 25 of the Consumer Code, as it distorts the consumption choices of users, preventing them from timely correlating their consumption to the related expenditure and inducing them to pay amounts not due (in the case of incorrect or incongruent estimated billing) or due but with different methods and timings (in the case of delayed billing), given the undue conditioning arising from the fear of a disconnection of the supply or a tax injunction that CITL has the authority to issue in the event of user non-compliance.</w:t>
        <w:br/>
        <w:t>131. Also with reference to this conduct, liability must be excluded for Publiservizi, as, in this specific case, the services related to consumption checks, meter management, and billing operations are entirely decided and approved by the Consortium, leaving the company with only an executive obligation based on the specific instructions received.</w:t>
        <w:br/>
        <w:t>PRACTICE C)</w:t>
        <w:br/>
        <w:t>132. Evidence in the records shows that CITL and Publiservizi have placed unjustified obstacles to the exercise of consumers' contractual rights regarding the management of user complaints, also engaging in aggressive conduct as it is supported by the undue conditioning created by the continuation of collection actions through the instrument of tax injunction, even while awaiting a reasoned and comprehensive response to complaints and requests from users.</w:t>
        <w:br/>
        <w:t>133. As admitted during the inspection by the Consortium itself, the professionals currently do not have a structured and efficient system for accepting and managing user complaints, starting from the methods of acquiring them and extending to the timing of processing. This is also in violation of the standards prescribed by the Charter of Services for the benefit of consumers.</w:t>
        <w:br/>
        <w:t>134. The professionals systematically acquire only the complaints received at their physical counters without taking into account those received through other means, despite the Charter of Services also providing for transmission by "correspondence." Considering that the professionals have set up only four physical counters (one at the Consortium's headquarters in Caserta and three established by Publiservizi in three municipalities in the province), this method of acquisition makes it more difficult to submit complaints about the service provided by CITL (directly or through Publiservizi).</w:t>
        <w:br/>
        <w:t>135. This obstacle to the exercise of contractual rights appears only marginally mitigated by the fact that the Consortium, as also emerged from certain reports and other evidence in the records, accepts and provides feedback – in limited and non-systematic cases – to requests received through other means (via fax and correspondence), taking into account the fact that the bills sent to users until 2015 do not reference these alternative methods, exclusively inviting contact with the available physical counters.</w:t>
        <w:br/>
        <w:t>136. The investigative findings have also highlighted further obstacles to the exercise of contractual rights arising from delays or lack of motivation in responses. In relation to the complaints received, in fact, the processing and handling times are on average much longer than the standards established by the Charter of Services (which are 20 or 30 days, depending on whether a site visit is necessary). As indicated above, the overall average for the four-year period 2011-2014 is around two months but can reach, for not entirely isolated cases, several months or even years. Between 2012 and 2014, there was a reduction in the percentage of complaints that received responses within the expected times, and in 2014, still about 10% of complaints required six months to a year for a response, and for a non-negligible percentage, over a year.</w:t>
        <w:br/>
        <w:t>137. The evidence collected during the inspection has also confirmed what was reported by the complainants regarding the brevity and lack of motivation in the Consortium's responses to complaints, especially concerning requests for clarifications and/or corrections regarding the recorded consumption and the tariff criteria used for the resulting charges to the user. In particular, in response to numerous requests regarding the tariff changes experienced due to exceeding the "guaranteed minimum," the Consortium has consistently and indiscriminately limited itself to indicating the details of the CIPE resolutions and its own acts of acceptance, claiming, without further analytical motivations, the correctness of its actions. The situation is no different regarding the complaints (also numerous and prevalent alongside those just mentioned) from users about inconsistencies between the billing period and the consumption recording period: regarding these, the Consortium has limited itself to providing the reading of the meters – where available – and to recalling, without further details, the legitimacy of using the "pro-die" criterion concerning estimated consumption. The assertive brevity of the responses has resulted in repeated and serial complaints from many users.</w:t>
        <w:br/>
        <w:t>138. The scant procedures for handling complaints in use by the professionals do not provide for the suspension of collection during the pendency of complaints submitted through the "institutional" channels. Both professionals have confirmed the existence only of a "practice" of suspending the collection procedure; there are no procedural guidelines in place regarding the cases in which such suspension may or must be applied, nor the methods for imposing any "blocks" on collection procedures in the companies' IT systems. The absence of such suspension is even more significant in the case of complaints received outside the institutional channels.</w:t>
        <w:br/>
        <w:t>139. The absence of suspension of the collection procedure following a complaint (particularly regarding billing) means that complaining users are treated – before the validity of their complaint has been decided – as if they were delinquent customers, against whom a payment reminder ("collection notice") is first issued and then, in the case of continued delinquency, a tax injunction. In a context where 87% of billing complaints are found to be valid, such conduct constitutes undue conditioning against consumers, who are discouraged from contesting bills for fear of the tax injunction.</w:t>
        <w:br/>
        <w:t>140. Evidence available shows that the tax injunction is used, in many cases, against disputed credits and thus lacking the characteristic of "certainty" that should characterize the credit claimed in the case of enforcement proceedings. In fact, there has been massive and evidently "systematic" and "exclusive" use of this instrument for the recovery of users' "delinquencies," even and especially in those cases where the consumer could not concretely contest the charged credit due to the lack of or erroneous management of the complaint(s).</w:t>
        <w:br/>
        <w:t>141. Both professionals have indeed argued that the lack of contestation or reaction from the user regarding such notice, along with the failure to pay the charge in the amount and within the terms indicated therein, would be sufficient to render the same credit "certain, liquid, and enforceable," directly enabling the activation of the coercive collection procedure through "tax injunction" against the same user.</w:t>
        <w:br/>
        <w:t>142. The Consortium and Publiservizi have consistently applied, even in the face of user delinquencies arising from a complaint pending resolution, a "privileged" instrument pre-established by the legal system in favor of the public entity and the company entrusted with collection, in order to ensure them, in a more convenient manner – especially, more quickly and directly – the collection of the relevant revenue.</w:t>
        <w:br/>
        <w:t>143. In this regard, it should be noted that while the current legal framework – starting from the letter of the founding norm (Royal Decree No. 639/1910) – legitimizes the use of this instrument due to the public nature of the Creditor concerning the revenues due to it – both tax and patrimonial – it is equally evident that the same legal framework, in its evolutionary phase, empowers and does not obligate this subject (and its delegates) to use the instrument concerning non-tax revenues, i.e., "patrimonial," among which water tariffs fall.</w:t>
        <w:br/>
        <w:t>144. Given the now established privatistic nature of the water tariff and the relationship maintained between the SII Manager and the user, the credit claimed by CITL for the provision of water does not find title in the legal framework.</w:t>
      </w:r>
    </w:p>
    <w:p>
      <w:r>
        <w:rPr>
          <w:b/>
        </w:rPr>
        <w:t>[Pages 274–276]</w:t>
      </w:r>
    </w:p>
    <w:p>
      <w:r>
        <w:t>276 BULLETIN NO. 50 OF JANUARY 25, 2016</w:t>
        <w:br/>
        <w:t>the taxing power of the Public Entity but constitutes the consideration for a commercial service, which finds its source exclusively in the contract between the user and the supplier.</w:t>
        <w:br/>
        <w:t>145. Since, within the scope of this relationship, the objective prerequisites for conferring the Manager a position of privilege and strength over the consumer do not occur, it is evident that the only prerequisite, in this specific case for the use of the tax injunction for the purpose of the forced collection of the water tariff, is to be traced solely to subjective reasons, that is to say, to the public nature of the Consortium.</w:t>
        <w:br/>
        <w:t>146. For this reason, the presence of the fundamental prerequisite for the use of the tax injunction should be verified with particular rigor, namely the existence of a credit that presents the characteristics of liquidity, certainty, and collectability.</w:t>
        <w:br/>
        <w:t>147. In the specific case, and in light of the above, it is believed that, both in the case of billing related to estimated consumption and in the case of a complaint that has not received an adequately motivated (negative) response, the requirement of certainty of the credit is not satisfied and that, therefore, the prerequisites for the correct use of such an immediate and invasive instrument as the tax injunction do not occur. It should therefore be limited to cases of established and persistent default, in which the Manager's interest in obtaining easy and rapid liquidity at the expense of the guarantees to which the other contracting party should be subject can be relevant.</w:t>
        <w:br/>
        <w:t>148. Based on the previous arguments, the use of the tax injunction by CITL and Publiservizi appears to constitute an aggressive practice. In fact, the nature of a preliminary act to forced tax execution makes the tax injunction a tool of strong and undue conditioning for the consumer, who is inevitably induced to pay the amount due within the prescribed time regardless of the actual validity of the credit claimed by the Manager.</w:t>
        <w:br/>
        <w:t>149. The undue conditioning exercised by CITL and Publiservizi through the use of the tax injunction emerges even more clearly when it is observed that the Consortium, as the manager of the water service, also has the power to suspend the supply - so-called disconnection - in case of default, by virtue of the principle inadimplenti non est adimplendum, which reflects the contractual nature of the relationship between the manager and the user. It follows that CITL, as a local public entity managing the water service, is in a position to exploit, at the same time, both its public nature and the private condition of the contracting party to the detriment of the consumer, who will be induced to make immediate payment in order to avoid consequences that are more unfavorable to him, both of an economic nature (resulting from the Manager's ability to seize the entire assets of the user to satisfy its claims), and of a material nature - such as the suspension of the supply of a primary and indispensable good, which cannot be obtained otherwise than from its local reference Manager.</w:t>
        <w:br/>
        <w:t>150. In light of the previous considerations, the practice under examination - consisting of creating obstacles to the exercise of consumer rights, through the failure to establish an adequate complaint management system that provides for the suspension of collection procedures pending a reasoned response to the complaint, and in the related massive and almost exclusive issuance of tax injunctions by the local water service manager for investment and operating costs according to the principle of cost recovery and according to the principle "the polluter pays." All portions of the integrated water service tariff have the nature of consideration."</w:t>
        <w:br/>
        <w:t>The private nature of the water tariff has been, first of all, recognized by the Constitutional Court (with the well-known ruling no. 335/2008 and, recently, also ruling of July 9, 2015 no. 142) as well as by the Supreme Court (among others, ruling no. 11720/2010) and by administrative jurisprudence (see, T.A.R. Campania, section Salerno, no. 24/2009).</w:t>
      </w:r>
    </w:p>
    <w:p>
      <w:r>
        <w:t>BULLETIN NO. 50 OF JANUARY 25, 2016 277</w:t>
        <w:br/>
        <w:t>collect its credits, even if not certain - constitutes the elements of aggressive commercial practice pursuant to Articles 20, 24, and 25 of the Consumer Code. This is because the behavior of the consumer - who cannot turn to others for the acquisition of a primary good - is unduly conditioned by the position of supremacy that the entity claims thanks to the availability of multiple instruments, including coercive ones, to satisfy its economic claims.</w:t>
        <w:br/>
        <w:t>151. This conduct must also be attributed to Publiservizi, as, in the specific case, it directly and primarily deals with the investigative phase related to the same and is therefore jointly responsible for the timing of processing. Furthermore, the company is, based on the contract with the Manager, directly responsible for the collection service.</w:t>
        <w:br/>
        <w:t>VI. QUANTIFICATION OF THE SANCTION</w:t>
        <w:br/>
        <w:t>152. Pursuant to Article 27, paragraph 9, of the Consumer Code, with the provision that prohibits the unfair commercial practice, the Authority orders the application of an administrative pecuniary sanction from 5,000 to 5,000,000 euros, taking into account the severity and duration of the violation.</w:t>
        <w:br/>
        <w:t>153. In the case of proceedings concerning a plurality of established administrative offenses, the jurisprudence has clarified that in the presence of a plurality of conducts with structural and functional autonomy, attributed to the responsibility of professionals, the criterion of material cumulation of sanctions applies, instead of legal cumulation (see among others, Council of State, Section VI, ruling no. 209 of January 19, 2012).</w:t>
        <w:br/>
        <w:t>154. Regarding the quantification of the sanction, the criteria identified by Article 11 of Law no. 689/81 must be taken into account, as applicable,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br/>
        <w:t>155. With reference to the size of the professionals, it should be noted that the Consortium, although it finds itself in a monopoly position in the provision of an essential good, presents modest revenue and is operating at a loss. Publiservizi also presents modest revenue.</w:t>
        <w:br/>
        <w:t>156. Regarding the severity of the practice under A), consideration is given to: i) the extent of the economic harm suffered by consumers consisting of the inability to timely plan household expenses related to water consumption; ii) the spread of the practice in question, which affects all consumers served by the Consortium.</w:t>
        <w:br/>
        <w:t>157. As for the duration of the violation, from the available elements in the records, it appears that it has been continuously implemented from July 2009 until the end of 2012, at the time of the entry into force of the relevant regulation of the AEEGSI122. Furthermore, for the effects of the statute of limitations, the duration of the practice is considered here limited to the period 2010-2012.</w:t>
        <w:br/>
        <w:t>122 In 2012, the AEEGSI intervened regarding informational transparency in bills, with Resolution no. 586/2012/R/idr, concerning the "approval of the first directive for the transparency of billing documents of the SII." Therein, the related annex details the type of information to be provided to consumers starting from the bill regarding, among other things, billing and consumption and, in this specific area, also the "type of tariff applied."</w:t>
      </w:r>
    </w:p>
    <w:p>
      <w:r>
        <w:t>278 BULLETIN NO. 50 OF JANUARY 25, 2016</w:t>
        <w:br/>
        <w:t>158. Based on these elements - and considering the peculiar socio-economic context in which the Manager operates as recalled in the AEEGSI opinion - it is deemed appropriate to determine the amount of the applicable administrative pecuniary sanction to the Consorzio Idrico Terra di Lavoro in the amount of €50,000 (fifty thousand euros).</w:t>
        <w:br/>
        <w:t>159. However, considering the economic situation of the professional, which presents unfavorable conditions with a loss-making balance, it is deemed appropriate to determine the amount of the applicable administrative pecuniary sanction to the Consorzio Idrico Terra di Lavoro for the practice under A) in the amount of €40,000 (forty thousand euros).</w:t>
        <w:br/>
        <w:t>160. Regarding the severity of the practice under B), consideration is given to: i) the nature of the infringement, characterized by a significant degree of offensiveness; ii) the extent of the economic harm suffered by consumers; iii) the contractual weakness of consumers who, in addition to being in a situation of informational asymmetry, do not have the possibility to change supplier and face the threat of having their supply suspended in case of non-payment of amounts or tax injunction; iv) the spread of the practice, which affects all consumers served by the Consortium.</w:t>
        <w:br/>
        <w:t>161. As for the duration of the violation, from the available elements in the records, it appears that it has been implemented since 2011 and is still ongoing.</w:t>
        <w:br/>
        <w:t>162. Based on these elements - and considering the peculiar socio-economic context in which the Manager operates as recalled in the AEEGSI opinion - it is deemed appropriate to determine the amount of the applicable administrative pecuniary sanction to the Consorzio Idrico Terra di Lavoro in the amount of €50,000 (fifty thousand euros).</w:t>
        <w:br/>
        <w:t>163. However, considering the economic situation of the professional, which presents unfavorable conditions with a loss-making balance, it is deemed appropriate to determine the amount of the applicable administrative pecuniary sanction to the Consorzio Idrico Terra di Lavoro for the practice under B) in the amount of €40,000 (forty thousand euros).</w:t>
        <w:br/>
        <w:t>164. Regarding the severity of the practice under C), all the elements mentioned in reference to the practice under B) are taken into account.</w:t>
        <w:br/>
        <w:t>165. As for the duration of the violation, from the available elements in the records, it appears that it has been implemented since 2011 and is still ongoing.</w:t>
        <w:br/>
        <w:t>166. Based on these elements - and considering the peculiar socio-economic context in which the Manager operates as recalled in the AEEGSI opinion - it is deemed appropriate to determine the amount of the applicable administrative pecuniary sanction to the Consorzio Idrico Terra di Lavoro as well as to Publiservizi S.r.l. - as the professional operationally involved in the investigative phase of complaints as well as the direct responsible for the collection service of water fees on behalf of the Consorzio Idrico Terra di Lavoro - in the amount of €100,000 (one hundred thousand euros).</w:t>
        <w:br/>
        <w:t>167. However, considering the economic situation of the Consortium which presents unfavorable economic conditions with a loss-making balance, it is deemed appropriate to determine the amount of the applicable administrative pecuniary sanction to the Consorzio Idrico Terra di Lavoro for the practice under C) in the amount of €80,000 (eighty thousand euros).</w:t>
        <w:br/>
        <w:t>CONSIDERING, therefore, based on the above considerations, that the commercial practice under A) is deemed unfair pursuant to Articles 20, 22, paragraphs 1 and 2, of the Consumer Code as it is contrary to professional diligence and suitable, through an omissive and insufficient information</w:t>
      </w:r>
    </w:p>
    <w:p>
      <w:r>
        <w:rPr>
          <w:b/>
        </w:rPr>
        <w:t>[Pages 277–279]</w:t>
      </w:r>
    </w:p>
    <w:p>
      <w:r>
        <w:t>BULLETIN NO. 50 OF JANUARY 25, 2016 279</w:t>
        <w:br/>
        <w:t>on the tariff changes introduced, is likely to appreciably distort the economic behavior of the average consumer in relation to the services offered by the SII Manager;</w:t>
        <w:br/>
        <w:t>THEREFORE, based on the considerations outlined above, that the commercial practice under B) is deemed incorrect pursuant to Articles 20, 24, and 25 of the Consumer Code as it is contrary to professional diligence and likely to cause undue conditioning in the consumer – arising from the fear of disconnection of the supply – regarding the payment of sums not due related to irregularly or unverified consumption;</w:t>
        <w:br/>
        <w:t>THEREFORE, based on the considerations outlined above, that the commercial practice under C) is deemed incorrect pursuant to Articles 20, 24, and 25 of the Consumer Code as it is contrary to professional diligence and likely to cause undue conditioning in the consumer – arising from the obstacles placed to the exercise of the right to complain as well as from the fear of being subjected to a privileged procedure for enforced recovery – regarding the payment of sums due related to irregularly or unverified consumption;</w:t>
        <w:br/>
        <w:t>RESOLVES</w:t>
        <w:br/>
        <w:t>a) that the commercial practice described in point II, letter A), of this provision, carried out by the Consorzio Idrico Terra di Lavoro, constitutes, for the reasons and within the limits set forth in the motivation, an unfair commercial practice pursuant to Articles 20 and 22, paragraphs 1 and 2, of the Consumer Code, and prohibits its dissemination;</w:t>
        <w:br/>
        <w:t>b) that the commercial practice described in point II, letter B), of this provision, carried out by the Consorzio Idrico Terra di Lavoro, constitutes, for the reasons and within the limits set forth in the motivation, an unfair commercial practice pursuant to Articles 20, 24, and 25 of the Consumer Code, and prohibits its continuation;</w:t>
        <w:br/>
        <w:t>c) that the commercial practice described in point II, letter C), of this provision, carried out by the Consorzio Idrico Terra di Lavoro, as well as by the company Publiservizi S.r.l., constitutes, for the reasons and within the limits set forth in the motivation, an unfair commercial practice pursuant to Articles 20, 24, and 25 of the Consumer Code, and prohibits its continuation;</w:t>
        <w:br/>
        <w:t>d) to impose on the Consorzio Idrico Terra di Lavoro, for the violations referred to in the previous letter a), an administrative pecuniary sanction of €40,000 (forty thousand euros);</w:t>
        <w:br/>
        <w:t>e) to impose on the Consorzio Idrico Terra di Lavoro, for the violations referred to in the previous letter b), an administrative pecuniary sanction of €40,000 (forty thousand euros);</w:t>
        <w:br/>
        <w:t>f) to impose on the Consorzio Idrico Terra di Lavoro, for the violations referred to in the previous letter c), an administrative pecuniary sanction of €80,000 (eighty thousand euros);</w:t>
        <w:br/>
        <w:t>g) to impose on the company Publiservizi S.r.l., for the violations referred to in the previous letter c), an administrative pecuniary sanction of €100,000 (one hundred thousand euros);</w:t>
      </w:r>
    </w:p>
    <w:p>
      <w:r>
        <w:t>280 BULLETIN NO. 50 OF JANUARY 25, 2016</w:t>
        <w:br/>
        <w:t>h) that the Consorzio Idrico Terra di Lavoro communicates to the Authority, within sixty days from the notification of this provision, the initiatives taken in compliance with the injunction referred to in points b) and c);</w:t>
        <w:br/>
        <w:t>i) that the company Publiservizi S.r.l. communicates to the Authority, within sixty days from the notification of this provision, the initiatives taken in compliance with the injunction referred to in point c).</w:t>
        <w:br/>
        <w:t>The administrative sanctions imposed under letters d), e), f), and g) must be paid within thirty days from the notification of this provision, using the tax codes indicated in the attached model F24 with identifying elements, pursuant to Legislative Decree No. 241/1997.</w:t>
        <w:br/>
        <w:t>Payment must be made electronically by debiting one's bank or postal account, through the home banking and CBI services provided by banks or Poste Italiane S.p.A., or by using the telematic services of the Revenue Agency, available on the website www.agenziaentrate.gov.it.</w:t>
        <w:br/>
        <w:t>After the aforementioned deadline, for a delay period of less than six months, late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role is transmitted to the collector for collection; in this case, the increase absorbs the late interest accrued during the same period.</w:t>
        <w:br/>
        <w:t>Immediate communication of the payment must be given to the Authority by sending the documentation certifying the payment made.</w:t>
        <w:br/>
        <w:t>This provision will be notified to the interested parties and published in the Bulletin of the Antitrust Authority.</w:t>
        <w:b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BULLETIN NO. 50 OF JANUARY 25, 2016 281</w:t>
        <w:br/>
        <w:t>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provision itself.</w:t>
        <w:br/>
        <w:t>THE SECRETARY GENERAL THE PRESIDENT</w:t>
        <w:br/>
        <w:t>Roberto Chieppa Giovanni Pitruzzella</w:t>
      </w:r>
    </w:p>
    <w:p>
      <w:r>
        <w:rPr>
          <w:b/>
        </w:rPr>
        <w:t>[Pages 280–280]</w:t>
      </w:r>
    </w:p>
    <w:p>
      <w:r>
        <w:t>Antitrust Authority Weekly Bulletin</w:t>
        <w:br/>
        <w:t>of Competition and Market Year XXV - No. 50 - 2015</w:t>
        <w:br/>
        <w:t>Editorial Coordination Giulia Antenucci</w:t>
        <w:br/>
        <w:t>Editorial Staff Sandro Cini, Alberto Fardin, Francesca Melchiorri,</w:t>
        <w:br/>
        <w:t>Valerio Ruocco, Simonetta Schettini</w:t>
        <w:br/>
        <w:t>Antitrust Authority for Competition and Market</w:t>
        <w:br/>
        <w:t>Statistics and IT Applications Office</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