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http://www.agcm.it/dotcmsdoc/bollettini/2019/50-19.pdf</w:t>
      </w:r>
    </w:p>
    <w:p>
      <w:r>
        <w:t>Pages translated : 162</w:t>
      </w:r>
    </w:p>
    <w:p/>
    <w:p>
      <w:r>
        <w:rPr>
          <w:b/>
        </w:rPr>
        <w:t>[Pages 1–3]</w:t>
      </w:r>
    </w:p>
    <w:p>
      <w:r>
        <w:t>Bulletin</w:t>
        <w:br/>
        <w:t>Weekly</w:t>
        <w:br/>
        <w:t>Year XXIX - No. 50</w:t>
        <w:br/>
        <w:t>Published on the website www.agcm.it</w:t>
        <w:br/>
        <w:t>December 16, 2019</w:t>
      </w:r>
    </w:p>
    <w:p>
      <w:r>
        <w:t>SUMMARY</w:t>
        <w:br/>
        <w:t>AGREEMENTS AND ABUSE OF DOMINANT POSITION 5</w:t>
        <w:br/>
        <w:t>I821 - VARIOUS AWARDS OF PRIVATE SECURITY SERVICES</w:t>
        <w:br/>
        <w:t>Decision No. 27993 5</w:t>
        <w:br/>
        <w:t>A511 - ENEL/ANTICOMPETITIVE CONDUCT IN THE ELECTRICITY SALES MARKET</w:t>
        <w:br/>
        <w:t>Decision No. 28001 113</w:t>
        <w:br/>
        <w:t>I838 - RESTRICTIONS ON THE PURCHASE OF EXHAUSTED LEAD BATTERIES</w:t>
        <w:br/>
        <w:t>Decision No. 28015 117</w:t>
        <w:br/>
        <w:t>CONCENTRATION OPERATIONS 127</w:t>
        <w:br/>
        <w:t>C12246 - FRATELLI ARENA/BRANCHES OF SMA COMPANY - DISTRIBUTION CAMBRIA-ROBERTO ABATE</w:t>
        <w:br/>
        <w:t>Decision No. 28002 127</w:t>
        <w:br/>
        <w:t>C12256 - SISAL GROUP/BRANCH OF BANK 5</w:t>
        <w:br/>
        <w:t>Decision No. 28003 129</w:t>
        <w:br/>
        <w:t>C12265 - ZUCCHETTI/AMILON</w:t>
        <w:br/>
        <w:t>Decision No. 28004 133</w:t>
        <w:br/>
        <w:t>C12266 - GUCCI LOGISTICS - SOCI COLONNA/COLONNA</w:t>
        <w:br/>
        <w:t>Decision No. 28005 138</w:t>
        <w:br/>
        <w:t>C12267 - ASTM-SIAS/A.T.I.V.A.</w:t>
        <w:br/>
        <w:t>Decision No. 28006 142</w:t>
        <w:br/>
        <w:t>C12269 - INTERBANK DEPOSIT PROTECTION FUND/BANCA CARIGE S.P.A.</w:t>
        <w:br/>
        <w:t>Decision No. 28007 146</w:t>
        <w:br/>
        <w:t>REPORTING AND CONSULTATIVE ACTIVITIES 148</w:t>
        <w:br/>
        <w:t>AS1627 - DRAFT CONTRACT PROGRAM 2020-2024 BETWEEN THE MINISTRY OF ECONOMIC DEVELOPMENT AND POSTE ITALIANE 148</w:t>
        <w:br/>
        <w:t>AS1628 - AUTHORIZATION OF ADVERTISING TO THE PUBLIC OF MEDICINAL PRODUCTS 153</w:t>
        <w:br/>
        <w:t>AS1629 - DIRECT AWARD OF SUBSTITUTE/ADDITIONAL AUTOMOTIVE SERVICES FOR RAIL SERVICES 155</w:t>
        <w:br/>
        <w:t>AS1630 - CONSIP - TENDER FOR THE AWARD OF FACILITY MANAGEMENT SERVICES TO UNIVERSITY OFFICES AND RESEARCH ENTITIES - EDITION 1 162</w:t>
      </w:r>
    </w:p>
    <w:p>
      <w:r>
        <w:t>BULLETIN NO. 50 OF DECEMBER 16, 2019 5</w:t>
        <w:br/>
        <w:t>AGREEMENTS AND ABUSE OF DOMINANT POSITION</w:t>
        <w:br/>
        <w:t>I821 - VARIOUS AWARDS OF PRIVATE SECURITY SERVICES</w:t>
        <w:br/>
        <w:t>Decision No. 27993</w:t>
        <w:br/>
        <w:t>THE ANTITRUST AUTHORITY</w:t>
        <w:br/>
        <w:t>IN ITS MEETING of November 12, 2019;</w:t>
        <w:br/>
        <w:t>HEARD the Rapporteur Dr. Gabriella Muscolo;</w:t>
        <w:br/>
        <w:t>HAVING REGARD to Article 101 of the Treaty on the Functioning of the European Union (TFEU);</w:t>
        <w:br/>
        <w:t>HAVING REGARD to Council Regulation No. 1/2003 of December 16, 2002, concerning the application of the competition rules laid down in Articles 101 and 102 TFEU;</w:t>
        <w:br/>
        <w:t>HAVING REGARD to Law No. 287 of October 10, 1990;</w:t>
        <w:br/>
        <w:t>HAVING REGARD to the Presidential Decree No. 217 of April 30, 1998;</w:t>
        <w:br/>
        <w:t>HAVING REGARD to the reports from the National Anti-Corruption Authority (ANAC), received on May 14, 2015, from Trenord s.r.l., received on April 8, 2015, from the National Association of Private Security Institutes and Fiduciary Security Services (ANIVP) and from the Italian Association of Security and Fiduciary Services (ASSIV) dated February 2, 2018, as well as the anonymous complaint of February 7, 2018;</w:t>
        <w:br/>
        <w:t>HAVING REGARD to its resolution adopted on February 21, 2018, which initiated an investigation pursuant to Article 14 of Law No. 287/90, against the companies Coopservice S.Coop.p.A., Allsystem S.p.A., Istituti di Vigilanza Riuniti S.p.A. and its parent companies Skibs S.r.l. and Biks Group S.p.A., Italpol Vigilanza S.r.l.coop and its parent company MC Holding S.r.l., Sicuritalia S.p.A. and its parent company Lomafin SGH S.p.A.;</w:t>
        <w:br/>
        <w:t>HAVING REGARD to the resolution of May 29, 2018, extending the objective scope of the procedure to the coordination activities in the offer of services to public and private entities, as well as to agreements concerning mutual awards of services between the Parties;</w:t>
        <w:br/>
        <w:t>HAVING REGARD to the resolution of April 24, 2019, which extended the deadline for concluding the procedure to July 31, 2019;</w:t>
        <w:br/>
        <w:t>HAVING REGARD to the Communication of Investigative Results, sent to the Parties on June 4, 2019;</w:t>
        <w:br/>
        <w:t>HAVING REGARD to the resolution of June 27, 2019, which extended the deadline for concluding the procedure to November 30, 2019;</w:t>
        <w:br/>
        <w:t>HAVING REGARD to the final submissions of the companies Coopservice S.Coop.p.A., Allsystem S.p.A., Istituti di Vigilanza Riuniti S.p.A. and its parent companies at the time of the facts Skibs S.r.l. and Biks Group S.p.A., Italpol Vigilanza S.r.l. and its parent company MC Holding S.r.l., Sicuritalia S.p.A. and its parent company Lomafin SGH S.p.A.;</w:t>
        <w:br/>
        <w:t>HEARD in the final hearing the representatives of the companies Axitea S.p.A., Coopservice S.Coop.p.A., Allsystem S.p.A., Istituti di Vigilanza Riuniti S.p.A. and its parent companies at the time of the facts Skibs</w:t>
      </w:r>
    </w:p>
    <w:p>
      <w:r>
        <w:rPr>
          <w:b/>
        </w:rPr>
        <w:t>[Pages 4–6]</w:t>
      </w:r>
    </w:p>
    <w:p>
      <w:r>
        <w:t>6 BULLETIN NO. 50 OF DECEMBER 16, 2019</w:t>
        <w:br/>
        <w:t>S.r.l. and Biks Group S.p.A., Italpol Vigilanza S.r.l. and its parent company MC Holding S.r.l., Sicuritalia S.p.A. and its parent company Lomafin SGH S.p.A.;</w:t>
      </w:r>
    </w:p>
    <w:p>
      <w:r>
        <w:t>HAVING REGARD to the acts of the proceedings and the documentation acquired during the investigation;</w:t>
      </w:r>
    </w:p>
    <w:p>
      <w:r>
        <w:t>CONSIDERED the following:</w:t>
        <w:br/>
        <w:t>I. THE PARTIES TO THE PROCEEDINGS</w:t>
        <w:br/>
        <w:t>1. Allsystem S.p.A. is active in the provision of security services and, since 2016, concierge services. Through the company Allsystem-1 S.r.l., Allsystem also provides control and management services for security systems. The company holds the prefectural license to operate in Milan, Monza-Brianza, Bergamo, Varese, Novara, Turin, Vercelli, Biella, Asti, Alessandria, Genoa, Cuneo, Aosta Valley, and Vercelli1. The total revenue generated by Allsystem in 2018 was € 92.4 million. In 2018, the revenue from armed security services was € [30-100]* million, of which € [10-30] million was from awards of public tenders issued by public administrations2.</w:t>
      </w:r>
    </w:p>
    <w:p>
      <w:r>
        <w:t>2. Coopservice S.coop.p.A. is made up of a diverse group of companies, capable of offering a wide range of services nationwide in the sectors of security, cleaning, ecology, logistics, etc. Coopservice is a member of the National Consortium Services-CNS. The company holds the prefectural license to operate in Liguria (Genoa, La Spezia, and Savona); Lombardy (Mantua and Cremona); Emilia Romagna (except for Piacenza); Tuscany (Florence, Pistoia, and Prato); Lazio (Rome, Frosinone, and Latina); Abruzzo (Chieti and Pescara) and Sardinia3. The total revenue generated by Coopservice in 2018 was € 502.3 million. In 2018, the revenue from armed security services was € [100-498] million, of which € [30-100] million was from awards of public tenders issued by public administrations4.</w:t>
      </w:r>
    </w:p>
    <w:p>
      <w:r>
        <w:t>3. Italpol Vigilanza S.r.l. offers fixed and mobile security services, cash transport and custody, remote surveillance, unarmed observation and security, Security Engineering, and operational consulting. The Company holds the prefectural license to operate in the entire Regions of Lazio, Lombardy, Campania, and Sardinia5. Italpol is 94.2% controlled by MC Holding S.r.l., a company that exerts a decisive influence over it, whose share capital was held, until 2016, by G.D. and N.C. (spouses) at 50% each. Currently, the share capital of the company is still held 50% by N.C. and the remaining 50% by the heirs of G.D. Until December 2017, N.C. also owned 90% of the company Italservizi 2007, active in the field of fiduciary services. Until March 30, 2016, the administrator of Italservizi 2007 was G.D. (then CEO of Italpol), succeeded by his son G.A., a partner of Italpol. The total revenue generated by Italpol in 2018 was € 101.2 million. In 2018, the revenue from armed security services was € [30-100] million, of which € [10-30] million was from awards of public tenders issued by public administrations6.</w:t>
      </w:r>
    </w:p>
    <w:p>
      <w:r>
        <w:t>4. The IVRI group is active in security services, cash transport, and alarm system management. It specializes in designing services for the protection of homes, individuals, businesses, and public places such as airports, ports, banks, and commercial establishments. The IVRI group consists of the companies IVRI S.p.A., IVRI Servizi Integrati S.p.A. (now in Liquidation), IVRI Servizi Fiduciari S.r.l., Progetti Speciali Investigation and intelligence s.r.l., MABRO S.r.l., and IVRI Tecnologia S.r.l. At the time of the contested facts, the group was controlled by Skibs S.r.l., which held the entire capital of IVRI S.p.A., IVRI Servizi Fiduciari S.r.l., and Mabro S.r.l. Skibs S.r.l. is in turn wholly controlled by Biks Group S.p.A., established in 2014. The share capital of Biks Group is held by KSM S.p.A. (32%), Sicurtransport (36%), and Società di Operazioni di Sicurezza S.r.l. (32%). It must therefore be considered that Biks Group S.p.A. exerted a decisive influence over the IVRI group by holding 100% of the shares of Skibs S.r.l., which, in turn, held the entirety of the share capital of the group companies, including IVRI S.p.A. The IVRI group is currently controlled by Sicuritalia S.p.A.7. IVRI holds the prefectural license to operate in the provinces of Milan, Monza Brianza, Varese, Bergamo, Como, Bari, Barletta-Andria-Trani (BAT), Brindisi, Salerno, Chieti, L'Aquila, Pescara, Teramo, Campobasso, Isernia, Rieti, Ascoli Piceno, Florence, Parma, Reggio Emilia, Modena, Bologna, Piacenza, Cremona, Genoa, Lodi, Turin, Lecce, Taranto, Foggia, and Pavia as well as in partial territorial areas of Pisa, Prato, Pistoia, Lucca, and Livorno8. The total revenue generated by the IVRI Group in the 2018 financial year was € 243 million, entirely generated in Italy. In 2018, the revenue from armed security services was € [30-100] million, of which € [10-30] million was from awards of public tenders issued by public administrations9.</w:t>
      </w:r>
    </w:p>
    <w:p>
      <w:r>
        <w:t>5. Sicuritalia S.p.A. offers security services throughout Italy, is authorized to operate nationwide, and boasts the largest extent in terms of holding prefectural licenses among security institutes in Italy, covering more than 60% of the Italian territory. Sicuritalia holds the prefectural license to operate in the provinces of Milan, Monza-Brianza, Rome, Turin, Genoa, Como, Lecco, Bergamo, Brescia, Varese, Piacenza, Bologna, Prato, Pistoia, Florence, Frosinone, Bari, Barletta-Andria-Trani (BAT), Vercelli (limited to the municipalities of Saluggia and Trino Vercellese), Parma, Modena, Reggio Emilia, Mantua, Pavia, Padua, Verona, Vicenza, Venice, Treviso, Brindisi, Lecce, Alessandria (limited to the municipalities of Serravalle Crivia and Bosco Marengo), La Spezia, Cagliari (limited to the municipalities of Cagliari, Sarroch, Capoterra, Quartu S. Elena, Selargius, Elmas, Sestu, Settimo San Pietro, Assemini, Decimoputzu, Guasila, San Sperate, Dolianova, and Ussana), Medio Campidano (limited to the municipalities of Serramanna, Serrenti, Samassi, and Furtei), Terni (limited to the municipality of Terni), Belluno, Rovigo, Gorizia, Pordenone, Trieste, Udine, Trento, and Bolzano10. As previously mentioned, the Sicuritalia group acquired the IVRI group in July 201911. 99% of the share capital of Sicuritalia is held by Lomafin SGH S.p.A. The Sicuritalia Group achieved total revenue of € 352.6 million, entirely generated in Italy. In 2018, the revenue from armed security services was € [30-100] million, of which € [30-100] million was from awards of public tenders issued by public administrations12. Through the wholly owned company Sicuritalia Group Service S.r.l., Sicuritalia offers concierge services.</w:t>
      </w:r>
    </w:p>
    <w:p>
      <w:r>
        <w:t>II. THE INVESTIGATIVE ACTIVITY CARRIED OUT</w:t>
        <w:br/>
        <w:t>6. On February 21, 2018, the Authority decided to initiate an investigative procedure against the companies Coopservice S.Coop.p.A. (Coopservice), Allsystem S.p.A. (Allsystem), Istituti di Vigilanza Riuniti S.p.A. (IVRI) and its parent companies Skibs S.r.l. and Biks Group S.p.A., Italpol Vigilanza S.r.l. (Italpol) and its parent company MC Holding S.r.l., Sicuritalia S.p.A. (Sicuritalia) and its parent company Lomafin SGH S.p.A., to ascertain whether these companies had engaged in one or more agreements in violation of Article 2 of Law No. 287/90 and/or Article 101 of the TFEU, during certain public tender procedures for the award of private security services.</w:t>
      </w:r>
    </w:p>
    <w:p>
      <w:r>
        <w:t>7. The procedure, considering in particular the evidence acquired during the inspections carried out, was subsequently objectively extended by resolution No. 27192 of May 29, 2018, in order to also include the coordination activity in the offering of services to public and private entities, as well as agreements concerning mutual awards between the Parties.</w:t>
      </w:r>
    </w:p>
    <w:p>
      <w:r>
        <w:t>8. The investigation originated from various reports regarding the conduct of public tenders related to the awarding of security services. In particular, the complaints from ANIVP and ASSIV and an anonymous report indicated that the tender issued by the Regional Central Purchasing Company S.p.A. (hereinafter ARCA)13, divided into 12 lots for a total of over € 47 million, had been awarded almost entirely (11 lots out of 12) to a Temporary Business Group (RTI) composed of the main companies active in the market: Sicuritalia, Allsystem, Italpol, IVRI. The reporters highlighted the excess of the RTI and the anomaly arising from the fact that the companies had won almost all the lots put out to tender.</w:t>
      </w:r>
    </w:p>
    <w:p>
      <w:r>
        <w:t>9. Also noteworthy are the reports received from Trenord S.r.l. (Trenord)14, regarding the tender it issued in 2014, and from ANAC15, concerning the tender issued by Expo 2015 S.p.A. in 2013, which highlighted similar critical issues in the participation methods and outcomes of the tenders.</w:t>
      </w:r>
    </w:p>
    <w:p>
      <w:r>
        <w:rPr>
          <w:b/>
        </w:rPr>
        <w:t>[Pages 7–9]</w:t>
      </w:r>
    </w:p>
    <w:p>
      <w:r>
        <w:t>BULLETIN NO. 50 OF DECEMBER 16, 2019 9</w:t>
        <w:br/>
        <w:t>the tender, in which the four companies mentioned above also participated, as well as, in the case of Trenord, another major market operator, Coopservice.</w:t>
        <w:br/>
        <w:t>10. During the proceedings, two additional reports were received: one anonymous16 reporting possible distorting effects of a future concentration between Sicuritalia and IVRI, and the other from the Lombardy Company for Residential Construction (ALER), which reported a contract for a change of contractor in the name of Italservizi 2007 that was signed by Italpol17.</w:t>
        <w:br/>
        <w:t>11. In the course of the investigative activity, requests for information were made to the companies involved in the proceedings and to the main contracting authorities whose tenders are affected by the concertation, in order to obtain a complete informational framework also in light of what was acquired during the inspection18.</w:t>
        <w:br/>
        <w:t>12. On May 14, 201819, the company Axitea requested to be admitted to participate in the proceedings. The request was accepted on May 21, 201820; the company exercised its right to access the documents multiple times and was heard in a hearing21.</w:t>
        <w:br/>
        <w:t>13. The parties involved in the proceedings were heard in a hearing (except for Coopservice, which did not wish to exercise this right of defense22) and have repeatedly exercised the right to access the documents of the proceedings23; the Parties submitted written statements during the proceedings, which were taken into account in the drafting of this provision24.</w:t>
        <w:br/>
        <w:t>14. On October 1, 2019, the final hearing took place before the Board, attended by all Parties and Axitea25.</w:t>
        <w:br/>
        <w:t>15. Coopservice, IVRI, Sicuritalia, Italpol, and Allsystem submitted compliance programs26. The assessment of the relevance, for sanctioning purposes, of the programs adopted is reported in the section of this Provision relating to the determination of the amount of fines.</w:t>
        <w:br/>
        <w:t>16. During the proceedings, and in any case before the deadline for closing the evidence-gathering phase, some requests for a reduction of the sanction were received pursuant to Article 31 of the Authority's Guidelines on the calculation of sanctions, from the companies Italpol/MC holding and IVRI/Skibs and Biks27.</w:t>
        <w:br/>
        <w:t>16 Cfr. doc. 3770.</w:t>
        <w:br/>
        <w:t>17 Cfr. doc. 3707.</w:t>
        <w:br/>
        <w:t>18 Cfr. doc. from 3702 to 3706; from 3708 to 3717 and from 3803 to 3808.</w:t>
        <w:br/>
        <w:t>19 Cfr. doc. 3652.</w:t>
        <w:br/>
        <w:t>20 Cfr. doc. 3657.</w:t>
        <w:br/>
        <w:t>21 Cfr. doc. 3777 and 3778 (clarifications to the Minutes)</w:t>
        <w:br/>
        <w:t>22 Cfr. doc. 3640, in which Coopservice stated that it did not wish to exercise the right to be heard in a hearing before the offices. Cfr. also doc. 3788, minutes of the hearing of Allsystem; doc. 3789, minutes of the hearing of IVRI; doc. 3791 minutes of the hearing of Sicuritalia and doc. 3798 minutes of the hearing of Italpol.</w:t>
        <w:br/>
        <w:t>23 Cfr. doc. 3689-3695; 3698-3670; 3762-3767; 3927-3931.</w:t>
        <w:br/>
        <w:t>24 Cfr. doc. 3915 (Coopservice); 3917 (Allsystem); 3918 (IVRI, Skibs and Biks); 3919 (Italpol and MC Holding); 3920 (Sicuritalia and Lomafin). Axitea did not submit statements (Cfr. doc. 3916).</w:t>
        <w:br/>
        <w:t>25 Cfr. doc. 3932, minutes of the final hearing.</w:t>
        <w:br/>
        <w:t>26 Cfr. docs. 3793, 3802, 3809, 3812 and 3914.</w:t>
        <w:br/>
        <w:t>27 Cfr. doc. 3918 (IVRI) and 3919 (Italpol).</w:t>
      </w:r>
    </w:p>
    <w:p>
      <w:r>
        <w:t>10 BULLETIN NO. 50 OF DECEMBER 16, 2019</w:t>
        <w:br/>
        <w:t>III. NORMATIVE FRAMEWORK</w:t>
        <w:br/>
        <w:t>17. The security services sector includes armed security services, cash transport and counting services, and concierge services.</w:t>
        <w:br/>
        <w:t>18. The activity of private security is governed by multiple normative and regulatory sources. Among these, the main ones are represented by Royal Decree of June 18, 1931, No. 773, containing the Consolidated Text of Public Security Laws and subsequent amendments (hereinafter, "TULPS") and by Royal Decree of May 6, 1940, No. 635, approving the regulation for the execution of the consolidated text of June 18, 1931-IX, No. 773, of public security laws and subsequent amendments (hereinafter, "Regulation"). Also noteworthy are the decree of the Minister of the Interior of October 1, 2010, No. 269, amended by ministerial decree of February 25, 2015, No. 56, containing the Regulation of the minimum characteristics of the organizational project and the minimum quality requirements of the institutes and services referred to in Articles 256-bis and 257-bis of the Regulation for the execution of the Consolidated Text of Public Security Laws, as well as the professional and technical capacity requirements required for the management of the same institutes and for the performance of organizational tasks within the same institutes28.</w:t>
        <w:br/>
        <w:t>19. It is first worth recalling the provisions of the TULPS that provide for two different modes of carrying out private security: that exercised directly by the owner of the assets (public entities, collective entities, private individuals) through the employment of special guards under their dependence and appointed by the competent Prefect for the territory (art. 133) and that, which is the subject of the present proceedings, consisting of the performance of security activities by private legal entities or individual natural persons who employ their own employees, professionally and entrepreneurially, in the service of movable or immovable property (art. 134)29.</w:t>
        <w:br/>
        <w:t>20. The license for the exercise of security activities is issued by the Prefect in the presence of specific prerequisites and requirements indicated in Articles 134, 136, and 138 of the TULPS. The methods of submitting the application for the issuance of the license referred to in Article 134 of the TULPS are governed by Article 257 of the Regulation, which provides, among other things, that such application must indicate the requesting subject, the organizational composition and ownership structure of the latter, the indication of the territorial scope, including in different provinces or regions, in which the institute intends to carry out its activities, the indication of the services for which authorization is requested, the means and technologies intended to be employed. The application is accompanied by an organizational and technical-operational project of the institute, as well as documentation proving the possession of the necessary technical capacities, both of the institute itself and of the persons in charge of the operational units of the institute and the availability of the financial, logistical, and technical means necessary for the activity to be carried out and its related characteristics, in compliance with the provisions in force. Article 257, paragraph 4, of the Regulation then delegates to a decree of the Minister of the Interior the definition of the minimum characteristics to which the organizational project and the minimum quality requirements of the institutes and services must conform, as well as the professional and technical capacity requirements required for the management of the institute and for the performance of organizational tasks. In implementation of this article, the decree of the Minister of the Interior of October 1, 2010, No. 269 was issued.</w:t>
        <w:br/>
        <w:t>21. With the provisions briefly indicated above, the types of services reserved for private security institutes have been defined (Annex D, section III, paragraph 3.a, of the decree of the Minister of the Interior 269/2010) and the cases in which, for special security needs, the private security service must be performed by sworn guards (hereinafter also GPG) have been expressly identified.</w:t>
        <w:br/>
        <w:t>22. It is relevant at this point to acknowledge the liberalization of security services implemented to respond to the indications of the judgment of December 13, 2007, of the Court of Justice of the European Communities in Case C-465/05 regarding the regulation of private security. In this Judgment, the Community judge established that certain provisions of the TULPS in force at the time and the corresponding ones of the implementing Regulation were in conflict with Articles 43 and 49 of the Treaty establishing the European Community, which concern, respectively, the freedom of establishment and the free provision of services. This judgment prompted the Italian legislator to intervene, with D.L. 59 of April 8, 2008 (converted with amendments by L. June 6, 2008, No. 101), on these provisions by removing the restrictive access regime based on i) a system of provincial prefectural licenses (with the obligation to hold certain local infrastructures) and ii) quantitative constraints both in terms of authorized operators to operate in the local context and in terms of the size of the available workforce. The reform of the sector has reduced barriers to entry, increasing market contestability.</w:t>
        <w:br/>
        <w:t>23. The new regulation contained in Article 257-ter of the Regulation, added by D.P.R. August 4, 2008, No. 153, provides that "if there are no obstacles to the issuance of the license, the office notifies the interested party of the deadline, not exceeding sixty days, within which the provision is issued, subject to the presentation of documentation proving: a) the activation of compliance with insurance and social security obligations towards the dependent personnel, in the number and with the necessary professional skills; b) the payment to the competent prefect for the issuance of the license of the deposit or the substitute guarantees allowed by law and by this regulation, in an amount commensurate with the organizational project referred to in Article 257 and to what is provided for in Article 260-bis. For companies already authorized in another Member State of the European Union, the prefect takes into account the deposit, or other substitute guarantees allowed by law, possibly already provided in the State of establishment, provided they are suitable, in terms of amount and payment methods, to meet the needs referred to in Article 137 of the law. […] 3. If the license is requested for the exercise of activities in multiple provinces, it is issued by the prefect of the province in which the institute is based, after notifying the competent prefects for the territory. Prior notification is not required for activities without territorial characterization, such as those of remote alarm, video surveillance, cash transport, mobile security, as well as for those of security for specific events, or for investigations and research, whose assignments have been conferred in the place where the institutes are based, nor for occasional or cross-border services referred to in Article 260-bis. Other communications for purposes of</w:t>
      </w:r>
    </w:p>
    <w:p>
      <w:r>
        <w:rPr>
          <w:b/>
        </w:rPr>
        <w:t>[Pages 10–12]</w:t>
      </w:r>
    </w:p>
    <w:p>
      <w:r>
        <w:t>12 BULLETIN NO. 50 OF DECEMBER 16, 2019</w:t>
        <w:br/>
        <w:t>control. […] 5. For the purpose of extending the license to other services or to other provinces, the holder of the license must notify the prefect who issued the license of the means, technologies, and other resources that they intend to employ, as well as the new or additional operational locations if provided, and any other possible integration to the acts and documents referred to in Article 257, paragraphs 2 and 3. The related services commence ninety days after the notification, within which the prefect may request clarifications and integrations to the technical-organizational project and prohibit the activity if it cannot be authorized, or if the conditions for the suspension or revocation of the license, as per Article 257-quater, are met.</w:t>
      </w:r>
    </w:p>
    <w:p>
      <w:r>
        <w:t>24. In addition to the introduction of a tacit consent regime, Article 4 of Decree Law 59/2008 repealed Article 136, paragraph 2, of the TULPS, which provided that the license could be denied "considering the number and importance of the already existing institutes," and Article 1 of Presidential Decree 153/2008 introduced Article 252 bis of the TULPS, which provides for the establishment of a public register of Special Guards, thus reducing the costs of selection and training of qualified personnel for companies.</w:t>
      </w:r>
    </w:p>
    <w:p>
      <w:r>
        <w:t>IV. THE MARKET</w:t>
        <w:br/>
        <w:t>25. Regarding demand, the clientele, as is known, is both private and public. The former (which generates 78% of the total demand for security services30) freely chooses its suppliers, while the latter (which represents the remaining 22% of demand) selects them through public tenders. It should be noted that, with reference to the companies involved in the proceedings, public contracts account for about 40% of the revenue generated in security services31.</w:t>
      </w:r>
    </w:p>
    <w:p>
      <w:r>
        <w:t>26. The numerous tenders analyzed during the investigation have revealed that, in fact, sometimes security services are combined with other unarmed security services (trust services) and that, even where a tender exclusively concerns security services, they are further distinguished into various types (guarding, inspection rounds, patrolling, cash transport and counting, onboard train security, security with canine units, etc.).</w:t>
      </w:r>
    </w:p>
    <w:p>
      <w:r>
        <w:t>27. Regarding public demand, it should be highlighted that Article 35 of Legislative Decree 50/2016 (hereinafter Public Contracts Code) provides that the threshold of community relevance for the awarding of security services is set at 750,000 euros. Above this amount, therefore, contracting authorities are required to award such services pursuant to Articles 59 et seq. of the Public Contracts Code.</w:t>
      </w:r>
    </w:p>
    <w:p>
      <w:r>
        <w:t>28. With respect to the awarding of security services, jurisprudence has developed, over the years, a series of principles, recently reiterated by the National Anti-Corruption Authority (ANAC) in guidelines no. 10 "Awarding of Private Security Services"32. In summary, it should be recalled: i) the prohibition of inviting, in the procedures for the awarding of security services with Special Guards, intermediary companies referred to in Article 115 TULPS (so-called agencies) that subsequently identify the security companies to which to award the service; ii) the prohibition of awarding concierge or global service instead of security services where the sector regulations would require recourse to the latter service; iii) the obligation for contracting authorities to admit to the tender the competitor already holding a prefectural license under Article 134 of the TULPS for a specific provincial territory who has submitted a request for the extension of the authorization in another Province, provided that the relevant authorization (extension) is received before the conclusion of the contract. Regarding this last aspect, ANAC emphasizes the introduction of the tacit consent regime provided for in Article 257 ter of the Regulation, stating that "while possession of the license under Article 134 of the TULPS constitutes a condition for participation in tenders for the awarding of private security services, obtaining the territorial extension or for other activities, under Article 257, paragraph 5, mentioned above constitutes a condition for the conclusion of the contract, after the award"33.</w:t>
      </w:r>
    </w:p>
    <w:p>
      <w:r>
        <w:t>29. In the aforementioned guidelines, ANAC also addressed the issue of contract change, provided for, starting from 2013, by the CCNL 2013-2015 in Articles 24 et seq. In particular, Article 24 of the CCNL provides that: "the contracting parties, noting: - that the phenomenon of contract changes often leads to significant imbalances in the organizational structures of companies engaged in private security activities, with possible repercussions on the employment of staff, due to the redundancies that may consequently arise at the terminating Institutes; - that the occupational safeguarding of the security guards falls within the objectives of Article 252 bis of Royal Decree 6 May 1940, no. 635 as amended by Presidential Decree 153 of 4 August 2008; for the specific purpose of maintaining employment levels and also avoiding the consequent dispersion of the skills acquired by the security guards, deem it appropriate and necessary to establish a binding contractual discipline regarding contract changes, setting forth the terms and procedures for a specific procedure in this regard, according to the criteria set forth in the subsequent articles."</w:t>
      </w:r>
    </w:p>
    <w:p>
      <w:r>
        <w:t>30. ANAC, firstly, states that "the social clause cannot alter or force the evaluation of the awardee regarding the sizing of the company and, in this sense, cannot impose an obligation for the complete absorption of the workers from the previous contract, without adequate consideration of the changed conditions of the new contract, the social and market context, or the entrepreneurial context in which these workers are inserted." Secondly, it is specified that "it is necessary to provide that the tender documentation clearly and expressly contains the social clause, as a method of execution of the contract"34.</w:t>
      </w:r>
    </w:p>
    <w:p>
      <w:r>
        <w:t>31. Regarding the offer, based on public data, at the end of 2016 there were over a thousand companies operating in the private security sector in Italy, with a total revenue of approximately 2.2 billion euros35. The total number of employees in the sector is just under 70,000 units, of which about 41,000 are represented by armed guards.</w:t>
      </w:r>
    </w:p>
    <w:p>
      <w:r>
        <w:t>32. The sector is characterized by a small number of large operators and a plurality of small operators: while the former are able to access large public and private contracts of national value and size, the latter tend to focus on advantageous prices and geographical proximity, normally addressing medium-small private clients. The majority of security companies have a very wide and articulated offer in their portfolio, providing all the main services such as guarding, daytime and nighttime patrols, video surveillance, alarm control, escorts, and cash transport.</w:t>
      </w:r>
    </w:p>
    <w:p>
      <w:r>
        <w:t>33. The degree of concentration in the sector is not particularly high, with the top eight companies accounting for 50% of the total revenue. In 2015, the parties involved in the proceedings were among the top eight companies in the sector in terms of revenue, representing almost a third of the entire value36.</w:t>
      </w:r>
    </w:p>
    <w:p>
      <w:r>
        <w:t>V. THE EVIDENCE COLLECTED</w:t>
        <w:br/>
        <w:t>V.1 Introduction</w:t>
        <w:br/>
        <w:t>34. Below, the main evidentiary elements collected during inspections and subsequently during the proceedings will be described, from which the existence of an agreement between the aforementioned Parties emerges, aimed at coordinating participation in a series of tenders issued by public entities from 2013 to 2017. As will be seen, this coordination also occurred through an anti-competitive use of instruments such as RTI and subcontracting.</w:t>
      </w:r>
    </w:p>
    <w:p>
      <w:r>
        <w:t>35. The set of evidence acquired indeed allows for the configuration of a complex collusive scheme that binds the parties involved in the proceedings, aimed at the division of a series of significant public tenders for the awarding of armed security services. In particular, the Parties acted in a coordinated manner in participating in numerous tenders, using the instrument of RTI and subcontracting in an anti-competitive manner, sometimes even participating in tenders with fictitious RTIs (so-called "fake ATI," see below) that concealed a geographical division of the lots (as in the case of the ARCA tenders), at other times entering into non-participation agreements prior to the tender, which, in exchange, provided for the allocation of subcontracting shares (as, for example, in "Trenord 2" and in ATAC).</w:t>
      </w:r>
    </w:p>
    <w:p>
      <w:r>
        <w:t>36. The tenders subject to coordination are among the most significant tenders in Lombardy, Emilia Romagna, and Lazio, where the risk of competition among the cartel parties was higher due to their operations and the importance of the procedures.</w:t>
      </w:r>
    </w:p>
    <w:p>
      <w:r>
        <w:t>37. Such conduct in tenders is accompanied by a complex system of compensations that sees the Parties, through bilateral agreements, systematically proceeding to a mutual awarding of contracts in order to rebalance their respective "give-take" relationships.</w:t>
      </w:r>
    </w:p>
    <w:p>
      <w:r>
        <w:t>38. The tenders in which, as will be described in more detail below, the Parties' concerted strategy was realized - namely, the ARCA 1 and 2 tenders, the Trenord 1 and 2 tenders, the Expo tender, the Intercent-ER 1 and 2 tenders, and the ATAC tender, constitute about 23% - in terms of base amount - of the main tenders in which the Parties participated, which were issued in the period 2013-2017 in Lombardy, Emilia-Romagna, and Lazio, regions where their operations tend to overlap. The value of the tenders subject to the proceedings compared to the total of tenders issued in the regional context is particularly significant in Lombardy (over 40% of the total value based on the tender) and in Emilia-Romagna (equal to 40%)37.</w:t>
      </w:r>
    </w:p>
    <w:p>
      <w:r>
        <w:rPr>
          <w:b/>
        </w:rPr>
        <w:t>[Pages 13–15]</w:t>
      </w:r>
    </w:p>
    <w:p>
      <w:r>
        <w:t>BULLETIN NO. 50 OF DECEMBER 16, 2019 15</w:t>
        <w:br/>
        <w:t>V.2 Evidence on individual tenders</w:t>
        <w:br/>
        <w:t>39. The elements on record have allowed for the identification of a series of public tenders in which the Parties participated in a coordinated manner with anticompetitive purposes through:</w:t>
        <w:br/>
        <w:t>i) the submission of applications in a Temporary Group of Companies (RTI or Temporary Association of Companies ATI);</w:t>
        <w:br/>
        <w:t>ii) the participation of some companies as subcontractors;</w:t>
        <w:br/>
        <w:t>iii) abstention from participation.</w:t>
        <w:br/>
        <w:t>40. A summary of the aforementioned conduct, which is further described below, can be found in the following Table 1.</w:t>
        <w:br/>
        <w:t>41. It is anticipated from now that, in relation to the collusive hypothesis regarding participation in the tenders for the security services Expo "Construction Site" and Expo "Post Event", as will be seen, the Authority deemed the elements collected during the investigation insufficient for the ascertainment of a restrictive agreement on competition.</w:t>
        <w:br/>
        <w:t>Table 1 - Tender procedures in which a concertation was realized</w:t>
        <w:br/>
        <w:t>Date Deadline Date Mode</w:t>
        <w:br/>
        <w:t>Tender Allsystem Italpol IVRI Sicuritalia Coopservice</w:t>
        <w:br/>
        <w:t>announcement offers award participation</w:t>
        <w:br/>
        <w:t>Arca 1 10/4/16 12/22/16 10/9/17 X X X X</w:t>
        <w:br/>
        <w:t>RTI + agreement</w:t>
        <w:br/>
        <w:t>Arca 2 11/30/17 2/1/18 8/9/18 X X X X</w:t>
        <w:br/>
        <w:t>Trenord 1 6/21/14 1/31/17 X X X X X RTI + agreement +</w:t>
        <w:br/>
        <w:t>Trenord 2 4/18/16 5/30/16 1/18/17 X X X X subcontracting</w:t>
        <w:br/>
        <w:t>Intercent-ER 1 6/20/13 12/7/13 X X X</w:t>
        <w:br/>
        <w:t>RTI + agreement</w:t>
        <w:br/>
        <w:t>Intercent-ER 2 11/19/15 6/16/15 X X X</w:t>
        <w:br/>
        <w:t>Expo (Lots 1, 2, and 3)</w:t>
        <w:br/>
        <w:t>12/7/13 7/18/14 / X X X X</w:t>
        <w:br/>
        <w:t>prequalification</w:t>
        <w:br/>
        <w:t>RTI + partition</w:t>
        <w:br/>
        <w:t>Expo (Lots 1, 2, and 3) 11/21/2014 X</w:t>
        <w:br/>
        <w:t>8/8/14 1/30/15 X X X lots + abstention</w:t>
        <w:br/>
        <w:t>Phase II (last extension) (excluded)</w:t>
        <w:br/>
        <w:t>Expo ex Lot 3 3/5/15 3/24/15 5/6/15 X X X</w:t>
        <w:br/>
        <w:t>RTI + agreement +</w:t>
        <w:br/>
        <w:t>ATAC 2/27/15 12/4/15 X X X</w:t>
        <w:br/>
        <w:t>subcontracting</w:t>
        <w:br/>
        <w:t>Source: elaborations on data in the case file</w:t>
        <w:br/>
        <w:t>V.2.1 Tenders on properties of the Lombardy Region</w:t>
        <w:br/>
        <w:t>42. The following will analyze a series of tenders issued by Lombardy contracting authorities that are particularly relevant both in terms of the importance and value of the services (Infrastrutture Lombarde and ARCA) and with reference to the significance, also in terms of visibility for the companies, of the contracting authority (Expo and Trenord)38.</w:t>
        <w:br/>
        <w:t>38 See, for example, what was stated regarding the Expo tender (event) by IVRI in an internal email to its group dated October 27, 2014, in which it highlights "The relevance of the Event at the national level and not only - The business that it could bring us - The risk both reputational and of loss of business in case of NON-participation." Doc. 412.</w:t>
      </w:r>
    </w:p>
    <w:p>
      <w:r>
        <w:t>16 BULLETIN NO. 50 OF DECEMBER 16, 2019</w:t>
        <w:br/>
        <w:t>V.2.1.1 The tender "Arca 1"</w:t>
        <w:br/>
        <w:t>43. On October 4, 2016, the Regional Central Purchasing Company S.p.A. (hereinafter "ARCA"), as the Central Purchasing Authority of the Lombardy Region pursuant to Article 1, paragraph 3, of L.R. No. 33 of December 28, 2007, announced a community tender with an open procedure, pursuant to Article 60 of Legislative Decree No. 50/2016, for the awarding of the provision of Armed Security Service in Favor of the Regional Council of the Lombardy Region and the Entities of the Regional System referred to in Law 33/2007, as well as in favor of the Entities of the Regional Health Service referred to in Article 1 of L.R. No. 30 of December 27, 2006 (hereinafter tender Arca 1). The tender aims to establish a single Agreement pursuant to Article 26 of Law No. 488/1999 as amended, as recalled by Article 1, paragraph 4, letter a), of L.R. No. 33/2007, which regulates the Supply Contracts implementing the same Agreement, which the individual Entities enter into by issuing Supply Orders.</w:t>
        <w:br/>
        <w:t>44. The tender announcement provided, as specific participation requirements39:</w:t>
        <w:br/>
        <w:t>1) authorization to exercise the professional activity. Among others, for each competitor to have possession of the prefectural license pursuant to Article 134 TULPS, for functional classes A and B, valid for the province of the lot for which an offer is submitted; - or alternatively - possession of a license pursuant to Article 134 TULPS, for any of the provinces or parts of provinces of the Italian territory, along with the notification of extension submitted to the competent prefecture by the deadline for the submission of offers, for the entire province of the lot for which an offer is submitted;</w:t>
        <w:br/>
        <w:t>2) turnover requirements (general and specific) as per Table 2;</w:t>
        <w:br/>
        <w:t>3) possession of a valid qualification issued by a SOA regularly authorized pursuant to and for the effects of DPR No. 207/2010 for the SOA category OS 30 (at least) class I.</w:t>
        <w:br/>
        <w:t>39 See Tender Announcement, Section III.1) participation conditions: “III.1.1) Authorization to exercise the professional activity, including the requirements related to registration in the professional register or in the commercial register. List and brief description of the conditions: Under penalty of exclusion from the tender as essential elements of the offer, each competitor must meet, also pursuant to what is established in the Tender Regulations, the following conditions: a) registration for activities related to the subject of this contract in the C.C.I.A.A. or in the register of provincial commissions for crafts in accordance with the provisions of paragraph 3 of Article 83 of Legislative Decree 50/2016; b) absence of the exclusion grounds referred to in Article 80 of Legislative Decree No. 50/2016 (in the case of RTI or Consortia, see what is established in the Tender Regulations). c) Possession of the prefectural license pursuant to Article 134 TULPS, for functional classes A and B, valid for the province of the lot for which an offer is submitted; - Or alternatively - Possession of a license pursuant to Article 134 TULPS, for any of the provinces or parts of provinces of the Italian territory, along with the notification of extension submitted to the competent prefecture by the deadline for the submission of offers, for the entire province of the lot for which an offer is submitted.</w:t>
        <w:br/>
        <w:t>III.1.2) Economic and financial capacity: Under penalty of exclusion from the tender as an essential element of the offer, each competitor must meet, also pursuant to what is established in the Tender Regulations, the following conditions: a) having achieved a total turnover in the last three financial years closed at the date of submission of the offer, of an amount at least equal to 70% of the total value of the lot put to auction for which an offer is intended to be submitted.</w:t>
        <w:br/>
        <w:t>III.1.3) Professional and technical capacity: Under penalty of exclusion from the tender as an essential element of the offer, each competitor must meet, also pursuant to what is established in the Tender Regulations, the following conditions: a) possession of a valid qualification issued by a SOA regularly authorized pursuant to and for the effects of DPR No. 207/2010 for the SOA category OS 30 (at least) class I. b) having achieved a total turnover in the last three financial years closed at the date of submission of the offer, for Armed Security services of an amount at least equal to 40% of the total value of the lot put to auction for which an offer is intended to be submitted, indicating the amounts, dates, and clients, public or private.”</w:t>
      </w:r>
    </w:p>
    <w:p>
      <w:r>
        <w:t>BULLETIN NO. 50 OF DECEMBER 16, 2019 17</w:t>
        <w:br/>
        <w:t>Table 2 - ARCA 1 Tender: participation requirements (turnover)</w:t>
        <w:br/>
        <w:t>Source: tender regulations, extract, Table No. 1 p. 5</w:t>
        <w:br/>
        <w:t>45. The auction bases for the individual services were as follows.</w:t>
        <w:br/>
        <w:t>Table 3 - ARCA 1 Tender: unit auction bases</w:t>
        <w:br/>
        <w:t>Source: tender regulations</w:t>
        <w:br/>
        <w:t>46. The tender regulations dictated specific rules, which were subsequently modified/integrated through clarifications, regarding the demonstration of possession of the requirements and participation in RTI and subcontracting.</w:t>
        <w:br/>
        <w:t>47. In particular, since the performance of maintenance work on alarm systems was also foreseen, the special law required possession of a specialist qualification in the field of maintenance of systems: the SOA OS30. This qualification concerns the provision, installation, and maintenance or restructuring of electrical, telephone, radiotelephone, and television systems as well as</w:t>
      </w:r>
    </w:p>
    <w:p>
      <w:r>
        <w:rPr>
          <w:b/>
        </w:rPr>
        <w:t>[Pages 16–18]</w:t>
      </w:r>
    </w:p>
    <w:p>
      <w:r>
        <w:t>18 BULLETIN NO. 50 OF DECEMBER 16, 2019</w:t>
        <w:br/>
        <w:t>of data transmission networks and similar, complete with all related masonry, complementary, or accessory works, to be carried out in interventions belonging to the general categories that have already been completed or are under construction. According to the provisions of the announcement, such qualification had to be held by at least one company constituting the RTI40. The tender law also provided for: i) the impossibility of demonstrating possession of such qualification through the institution of avvalimento41 and ii) the admission of subcontracting to companies holding the SOA OS 30 qualification only within the limits of Article 12, paragraph 2, letter b), of Law No. 80 of 201442. The contracting authority also specified that "the competitor who, as a single company, does not possess and does not exercise the powers referred to in the aforementioned sub i) [including possession of SOA OS 30 N.d.R.] must use the associative business tools pursuant to Article 48 of Legislative Decree 50/216, and collectively satisfy - among the associated or grouped companies - the requirements in terms of security service and maintenance and installation activities of video surveillance systems (e.g., RTI: security company associated with a plant installation company with OS 30 qualification, classification I)"43.</w:t>
      </w:r>
    </w:p>
    <w:p>
      <w:r>
        <w:t>48. With specific reference to the SOA OS30 qualification, Allsystem held it through the company Allsystem-1 S.r.l.44, a company subject to its exclusive control. Sicuritalia, which exclusively held the SOA OG 11 qualification, declared, at the time of application for participation in the tender, its intention to avail itself of subcontracting companies with SOA OS 30 qualification, including Allsystem-1 itself. Regarding the licenses, all companies, in addition to being already authorized to carry out security activities in numerous provinces included in the tender, had taken advantage of the possibility to submit, at the time of application for participation, the request for extension of the license in the provinces where they were not present, as summarized in the following Table 4.</w:t>
      </w:r>
    </w:p>
    <w:p>
      <w:r>
        <w:t>40 See tender specifications p. 21.</w:t>
        <w:br/>
        <w:t>41 See Clarifications, Errata corrige, RESPONSE No. 2 Prot. No. 11811/2016 of 10/19/2016 which specifies: "It should be noted that by virtue of the combined provisions of Article 216, paragraph 15 of Legislative Decree 163/2006 and Article 89, paragraph 11 of Legislative Decree 50/2016, avvalimento of OS 30 is not permitted."</w:t>
        <w:br/>
        <w:t>42 See Clarifications, Errata corrige, RESPONSE No. 2 Prot. No. 11811/2016 of 10/19/2016 which specifies: "The SOA can be subcontracted within the limits and terms of Article 12, paragraph 2, letter b of Law No. 80 of 2014." The cited article provides that: "b) the works indicated in the tender notice or in the invitation letter, of an amount exceeding the limits indicated by Article 108, paragraph 3, of the regulation pursuant to the Presidential Decree of May 5, 2010, No. 207, related to the categories of general works identified in Annex A to the aforementioned decree, as well as the categories identified in the same Annex A with the acronym OS, listed below: OS 2-A, OS 2-B, OS 3, OS 4, OS 5, OS 8, OS 10, OS 11, OS 12-A, OS 13, OS 14, OS 18-A, OS 18-B, OS 20-A, OS 20-B, OS 21, OS 24, OS 25, OS 28, OS 30, OS 33, OS 34, OS 35. The aforementioned works are, however, subcontractable to companies holding the relevant qualifications. They are also separable and are indicated in the tender notices for the purpose of establishing temporary associations of a vertical type. The limit set forth in Article 37, paragraph 11, of the code pursuant to Legislative Decree No. 163 of April 12, 2006, remains firm, regarding the limit of Article 170, paragraph 1, of the regulation pursuant to Presidential Decree No. 207 of 2010 for the categories referred to in paragraph 1 of this article, of an amount individually exceeding 15 percent; Article 92, paragraph 7, of the aforementioned regulation applies."</w:t>
        <w:br/>
        <w:t>43 See Clarifications, Errata corrige, RESPONSE No. 1. On this point see also RESPONSE No. 35 ... "it is therefore not permitted for a participating company lacking the technical requirement of SOA OS 30 Class I certification to directly subcontract such activity. Conversely, it is allowed for the company lacking this requirement to associate with another company in RTI that possesses this requirement and for the same activity to be subcontracted to a third company holding the correct qualification. It is also provided that the company lacking this requirement associates with another company in RTI that does not possess the SOA OS 30 Class I requirement but another type of SOA qualification and, due to the amount, can subcontract the installation activity within the limits and terms of Article 12, paragraph 2, letter b of Law No. 80 of 2014."</w:t>
        <w:br/>
        <w:t>44 See certification No. 21197/35/00, as it appears from the ANAC database.</w:t>
      </w:r>
    </w:p>
    <w:p>
      <w:r>
        <w:t>BULLETIN NO. 50 OF DECEMBER 16, 2019 19</w:t>
        <w:br/>
        <w:t>49. Eleven of the twelve lots put to tender were awarded to RTIs formed, with different compositions, by Italpol, Allsystem, IVRI, and Sicuritalia, as evidenced by the award report of which Table 5 is an extract. For all lots, the Parties declared an identical list of subcontractors, composed of Allsystem-1 S.r.l.; Rizzi Fausto &amp; C Snc and TSI System S.p.A. The three companies mentioned above are all qualified with SOA OS30.</w:t>
      </w:r>
    </w:p>
    <w:p>
      <w:r>
        <w:t>Table 4 - ARCA 1 Tender: ownership of licenses.</w:t>
        <w:br/>
        <w:t>* for this lot, the Parties did not submit any offer.</w:t>
        <w:br/>
        <w:t>Source: applications for participation in the tender (D.E.= extension request) highlighted the awarded lots based on the distribution see infra.</w:t>
      </w:r>
    </w:p>
    <w:p>
      <w:r>
        <w:t>Table 5 - ARCA 1 Tender: awardees</w:t>
        <w:br/>
        <w:t>MAXIMUM</w:t>
        <w:br/>
        <w:t>LOT NAME ATI LEAD COMPANY DISTRIBUTION</w:t>
        <w:br/>
        <w:t>LOT</w:t>
        <w:br/>
        <w:t>Lot 1 - Milan SICURITALIA/IVRI/ALLSYSTEM/ITALPOL SICURITALIA S.p.A. 40,034,520.00 30.5-18.5-29.5-21.5</w:t>
        <w:br/>
        <w:t>Lot 2 - Varese SICURITALIA/IVRI/ALLSYSTEM/ITALPOL SICURITALIA S.p.A. 1,553,184.00 50-10-30-10</w:t>
        <w:br/>
        <w:t>Lot 3 - Brescia SICURITALIA/IVRI/ALLSYSTEM/ITALPOL SICURITALIA S.p.A. 1,036,364.00 70-10-10-10</w:t>
        <w:br/>
        <w:t>Lot 4 - Cremona IVRI/SICURITALIA/ALLSYSTEM/ITALPOL I.V.R.I. 821,436.68 70-10-10-10</w:t>
        <w:br/>
        <w:t>Lot 5 - Monza and Brianza ALLSYSTEM/SICURITALIA/IVRI/ITALPOL ALLSYSTEM 754,689.65 50-10-30-10</w:t>
        <w:br/>
        <w:t>Lot 6 - Bergamo ALLSYSTEM/SICURITALIA/IVRI/ITALPOL ALLSYSTEM 714,259.34 50-10-10-30</w:t>
        <w:br/>
        <w:t>Lot 7 - Como SICURITALIA/IVRI/ALLSYSTEM/ITALPOL SICURITALIA S.p.A. 694,822.40 70-10-10-10</w:t>
        <w:br/>
        <w:t>Lot 8 - Pavia IVRI/SICURITALIA/ALLSYSTEM/ITALPOL I.V.R.I. 658,909.63 70-10-10-10</w:t>
        <w:br/>
        <w:t>Lot 9 - Sondrio ITALPOL/SICURITALIA/IVRI/ALLSYSTEM ITALPOL VIGILANZA SRL 420,973.06 70-10-10-10</w:t>
        <w:br/>
        <w:t>Lot 10 - Lecco SICURITALIA/IVRI/ALLSYSTEM/ITALPOL SICURITALIA S.p.A. 391,890.40 70-10-10-10</w:t>
        <w:br/>
        <w:t>Lot 12 - Mantova C.I.V.I.S./Felma Srl C.I.V.I.S. 363,924.11 98-2</w:t>
        <w:br/>
        <w:t>Lot 11 - Lodi IVRI/SICURITALIA/ALLSYSTEM/ITALPOL I.V.R.I. 325,931.40 70-10-10-10</w:t>
        <w:br/>
        <w:t>Source: award report Arca Lombardia, doc. 3784</w:t>
      </w:r>
    </w:p>
    <w:p>
      <w:r>
        <w:t>50. The ARCA tender was awarded to the aforementioned RTIs with the following scores.</w:t>
      </w:r>
    </w:p>
    <w:p>
      <w:r>
        <w:t>20 BULLETIN NO. 50 OF DECEMBER 16, 2019</w:t>
        <w:br/>
        <w:t>Table 6 - ARCA 1 Tender: offer summary</w:t>
        <w:br/>
        <w:t>Source: award proposal Arca doc. 3784, annex.</w:t>
      </w:r>
    </w:p>
    <w:p>
      <w:r>
        <w:t>51. As can be easily deduced from the analysis of the scores reported above, the RTI in question always achieves a technical score far superior to that of the other competitors. Table 7 reports the award rates.</w:t>
      </w:r>
    </w:p>
    <w:p>
      <w:r>
        <w:rPr>
          <w:b/>
        </w:rPr>
        <w:t>[Pages 19–21]</w:t>
      </w:r>
    </w:p>
    <w:p>
      <w:r>
        <w:t xml:space="preserve">BULLETIN NO. 50 OF DECEMBER 16, 2019 21  </w:t>
        <w:br/>
        <w:t xml:space="preserve">Table 7 - ARCA 1 Tender: award rates  </w:t>
        <w:br/>
        <w:t xml:space="preserve">Source: docs. 3730, 3755 and responses of the Parties to information requests (docs. 3743, 3744, 3745 and 3754, 3746, 3747). The award rates are available at:  </w:t>
        <w:br/>
        <w:t xml:space="preserve">http://www.arca.regione.lombardia.it/wps/portal/ARCA/Home/bandi-convenzioni/convenzioni/DettaglioConvenzione/2017/attivazione/terzo-quadrimestre/6-dicembre-ARCA_2016_48-lotti-vari/6-dicembre-ARCA_2016_48-lotti-vari  </w:t>
        <w:br/>
        <w:t xml:space="preserve">52. The RTI Allsystem, IVRI, Sicuritalia, and Italpol is the only participating RTI composed exclusively of security companies. The other RTIs, in fact, are composed of security companies and plant maintenance companies, equipped with SOA OS3045. Limiting to Lot 1, for which the specific revenues required are significantly higher, Table 8 indicates the general and specific revenues of the companies that formed the ATI.  </w:t>
        <w:br/>
        <w:t>45 See Table 8 and documents provided by ARCA 3796 and 3797 (attachments).</w:t>
      </w:r>
    </w:p>
    <w:p>
      <w:r>
        <w:t xml:space="preserve">22 BULLETIN NO. 50 OF DECEMBER 16, 2019  </w:t>
        <w:br/>
        <w:t xml:space="preserve">Table 8 - ARCA 1 Tender: participation requirements Lot 1  </w:t>
        <w:br/>
        <w:t xml:space="preserve">Source: declarations of the Parties during the tender (docs. 3796 and 3797)  </w:t>
        <w:br/>
        <w:t xml:space="preserve">NB: the specific revenues indicated in the tender documents appear, at least for the parties in the proceedings, to be significantly underestimated  </w:t>
        <w:br/>
        <w:t xml:space="preserve">53. Numerous documents related to participation in this procedure have been found in the records, from which it emerges that the Parties, in order to identify the shares of the ATI, proceeded to map the services performed in various areas (territorial and local for Lot 1). For example, in a document found at Allsystem created on October 10, 2016, titled "preliminary consistencies," the 2015 expenditure, the 2016 needs, the variations, and the execution share of the four companies participating in the ATI are included for each public client of Lot 1 of the ARCA tender46.  </w:t>
        <w:br/>
        <w:t xml:space="preserve">54. Also regarding the Arca 1 tender, some preparatory emails are noteworthy, such as one sent by Sicuritalia to IVRI, Allsystem, and Italpol on November 25, 2016, which states: "Dear all, regarding the ARCA tender, we need you to provide the following information: Which administrations included in the convention you already provide service to; How many resources are employed on these contracts; What type of service is provided (of those included in the convention); If there are services with particular characteristics that exceed the requirements of the convention..."47. Similarly, an email from Sicuritalia to the other ATI participants on December 2, 2016, states: "As you may have seen from the tender documents, price is of great relevance in the award methods of the tender. I ask you, in order to protect the position of the ATI (as the main supplier of the contracted administrations) to produce the list of employed personnel and, according to you, what the average cost of personnel for the contract change is. The idea is to make an instrumental clarification to avoid dumping offers. What do you think?"48. Also significant is an email sent by IVRI to Sicuritalia, Allsystem, and Italpol on December 16, 2016, which, following the formal division of the lots, states: "We reiterate that the private agreement with the values shared from previous negotiations must obviously be signed BEFORE THE SUBMISSION"49.  </w:t>
        <w:br/>
        <w:t xml:space="preserve">55. Following such analyses, the Parties decided on the methods of participation in the tender, providing for joint participation in all lots while also ensuring the safeguarding of their previous activities. In this perspective, it is worth first reporting the content of an agreement signed by IVRI, Sicuritalia, Allsystem, and Italpol, present in numerous files acquired during inspections, regarding the "true" composition of the RTI, from which a substantially different distribution compared to that communicated to the contracting authority and subject to award is evident. The issue is explained in various documents. In an internal email from Sicuritalia dated December 16, 2016, in which the necessary formalities for participating together in the tender at hand are being organized, it states: "The [distribution N.d.R.] that I forwarded to ... is the formal one with the shares, including fictitious ones, for the participation of all in all lots. It was indeed decided to do everything together to avoid the risk of a cartel. There will be shareholders' agreements that will redefine the shares to return to your table"50. On the occasion of the opening of the tender envelopes, in an internal email from IVRI dated July 6, 2017, it states: "Hi [...], next Wednesday at 2:00 PM there will be the opening of the ECONOMIC ENVELOPE of Arca REGIONE LOMBARDIA. We had participated in ATI with Sicuritalia, Italpol, Allsystem on 11 Lots. The TRUE ATI (we had to simulate a fake ATI as well) was defined as follows:  </w:t>
        <w:br/>
        <w:t xml:space="preserve">48 See doc. 104.  </w:t>
        <w:br/>
        <w:t xml:space="preserve">49 See doc. 342. Similarly, see also docs. 340 and 341 where Italpol writes to the other participants of the RTI: "the solution of 11 distinct participations is paradoxical ... and frankly very risky for the error ... that can happen. The only possible solution, to save all aspects, legal and logistical, is that of 4 distinct RTIs, one for each leading company ...". Also see doc. 92 where it states: "Based on recent exits on tenders in Lombardy/Piedmont from our potential competitors, we can say that the range goes from € 17.06/hour of ISSV on Expo to € 20.00 of Security Service on INPS. Based on the specifications of the contract and the form of the award, which is in fact a convention, it is possible to hypothesize a very aggressive competitor around € 18.30/18.50. Below is a simulation of exit rates compared to our aggressive competitor with the differential in terms of score on the economic part to be recovered with the technical offer... [...] If, for example, our competitor proposed € 18.45 and we € 19.50, the gap would be 9.29 points. Clearly, if the discount were higher, let's hypothesize € 18.01 against € 19.50, the gap would be 11.98 points and, at that point, hardly recoverable with our project, although certainly of excellent level.".  </w:t>
        <w:br/>
        <w:t>50 See doc. 2508.</w:t>
      </w:r>
    </w:p>
    <w:p>
      <w:r>
        <w:rPr>
          <w:b/>
        </w:rPr>
        <w:t>[Pages 22–24]</w:t>
      </w:r>
    </w:p>
    <w:p>
      <w:r>
        <w:t>24 BULLETIN NO. 50 OF DECEMBER 16, 2019</w:t>
      </w:r>
    </w:p>
    <w:p>
      <w:r>
        <w:t xml:space="preserve">51. The overall distribution of the "true ATI" is as follows and is reported in various documents.  </w:t>
        <w:br/>
        <w:t>51 See doc. 441, internal email IVRI, July 6, 2017.</w:t>
      </w:r>
    </w:p>
    <w:p>
      <w:r>
        <w:t xml:space="preserve">BULLETIN NO. 50 OF DECEMBER 16, 2019 25  </w:t>
        <w:br/>
        <w:t xml:space="preserve">Table 9 - ARCA 1 Tender: actual distribution of ATI Parties ("True ATI")  </w:t>
        <w:br/>
        <w:t>Source: doc. 1732 excerpt (emphasis added) 52</w:t>
      </w:r>
    </w:p>
    <w:p>
      <w:r>
        <w:t xml:space="preserve">57. As can be seen from the reading of Tables 5 and 9, despite participation in RTI in the 11 lots, in as many as 7 of these, the companies have agreed that the service would be performed by a single company and in 3 lots only by two.  </w:t>
        <w:br/>
        <w:t>58. Relevant, with reference to the phase following the award, are also the documents that highlight how the Parties have established an RTI detached from efficiency reasons. In particular, in an email from December 2017, the Parties discuss the costs of ARCA services in the following terms: "I am only now reading calmly and with greater attention than yesterday the table of cost distribution that you forwarded to us. I believe it is important to discuss it much better item by item before our (IVRI) eventual approval. First of all, as a principle, the management costs of a Tender should be shared and known at the time of the collegial decision on the offer price (usually this is how it is done) even if not precise obviously, in this case they are ALL EX POST (and not insignificant)"53. In response, it reads: "Mauro, the personnel costs are those of the company... regarding the issue of a prior agreement, not knowing any of us the extent of the management commitment, it was not possible to propose one..."54. In response to this email, Allsystem writes: "allSYSTEM also shares IVRI's reflections and also part of Sicuritalia's arguments. The principle that must guide us is that no one should enrich themselves improperly at the expense of others and, equally, no one should impoverish themselves to the advantage of others. [...] Also set a date, now next week, to meet and agree on costs at sustainable levels"55.</w:t>
      </w:r>
    </w:p>
    <w:p>
      <w:r>
        <w:t xml:space="preserve">V.2.1.2 The "Arca 2" tender  </w:t>
        <w:br/>
        <w:t xml:space="preserve">59. On November 30, 2017, Arca announced a new community tender with an open procedure, pursuant to Article 60 of Legislative Decree No. 50/2016, for the awarding of the provision of Armed Security service in favor of the Regional Council of Lombardy and the Entities of the Regional System referred to in Law No. 33/2007, as well as in favor of the Entities of the Regional Health Service referred to in Article 1 of Regional Law No. 30 of December 27, 2006 (hereinafter Arca 2 tender). The tender rules are identical to those of the previous Arca 1 tender. Since the base amounts are lower56, the required revenue thresholds have also been slightly lowered57.  </w:t>
        <w:br/>
        <w:t xml:space="preserve">Table 10 - ARCA 2 Tender: participation requirements (revenue)  </w:t>
        <w:br/>
        <w:t xml:space="preserve">Source: tender specifications  </w:t>
        <w:br/>
        <w:t xml:space="preserve">55 See doc. 82. See also doc. 81, email between the Parties of similar content: "since the Convention in question has been formally activated as of 12/4/2017 (it is visible on the NECA portal), I consider it quite urgent to meet very soon to share the commercial actions to be implemented, obviously not after having decided 'who does what' within their own tender shares."  </w:t>
        <w:br/>
        <w:t xml:space="preserve">56 The base auction prices are Fixed Guard 19.60 €/h; Patrol 0.45 €/minute and Alarm Monitoring 45€ per month.  </w:t>
        <w:br/>
        <w:t>57 See tender specifications, Table No. 1.</w:t>
      </w:r>
    </w:p>
    <w:p>
      <w:r>
        <w:rPr>
          <w:b/>
        </w:rPr>
        <w:t>[Pages 25–27]</w:t>
      </w:r>
    </w:p>
    <w:p>
      <w:r>
        <w:t>BULLETIN NO. 50 OF DECEMBER 16, 2019 27</w:t>
      </w:r>
    </w:p>
    <w:p>
      <w:r>
        <w:t>60. The participation methods are identical to those of the previous tender, also with reference to the list of subcontractors indicated at the time of application submission by the RTI58.</w:t>
      </w:r>
    </w:p>
    <w:p>
      <w:r>
        <w:t>61. The RTI Allsystem, IVRI, Sicuritalia, and Italpol is, as in the previous Arca 1 tender, the only participating RTI composed exclusively of security companies where the SOA certification is held only by subcontractors. The other RTIs, in fact, are composed of security companies and plant maintenance companies, equipped with SOA OS3059. Focusing on Lot 1, Table 11 indicates the general and specific revenues of the companies that formed the ATI.</w:t>
      </w:r>
    </w:p>
    <w:p>
      <w:r>
        <w:t xml:space="preserve">Table 11 - ARCA 2 Tender: participation requirements  </w:t>
        <w:br/>
        <w:t>Source: declarations of the Parties in the tender (doc. 3796)</w:t>
      </w:r>
    </w:p>
    <w:p>
      <w:r>
        <w:t>62. As can be seen from a quick comparison between Table 9 and Table 12, the participation in RTI for the two ARCA tenders is identical. This circumstance is confirmed by the documents acquired during the inspection.</w:t>
      </w:r>
    </w:p>
    <w:p>
      <w:r>
        <w:t>63. Firstly, it is essential to understand the actions of Sicuritalia, Allsystem, IVRI, and Italpol during the ARCA 2 tender, the email from Sicuritalia dated December 5, 2017, which, addressing the other aforementioned companies, proposes: “since the new ARCA tenders have been released, and the outcome of the previous tenders was not bad, I propose not to reopen further negotiation tables, but to leave everything unchanged. Participation shares, roles in the ATI, etc. Naturally, I am ready to discuss any suggestions with you. I have already gathered your opinions individually, and you all agree. Let me know”60. In response to this email, Allsystem writes: “Ok, that works for me”61. As emerged during the hearing with Allsystem62, in fact, the latter had just begun to offer concierge services and seems to leverage participation in ATI in the ARCA tender to obtain participation in ATI also for the concierge tender63.</w:t>
      </w:r>
    </w:p>
    <w:p>
      <w:r>
        <w:t>64. Also noteworthy are some emails from January 2018, preparing Sicuritalia's participation to the other members of the RTI in which it reads: “I am forwarding a first hypothesis of division that takes into account the shares and homogeneity with respect to what the individual companies are currently doing. The distribution has been made based on the actual orders that currently do not cover the maximum of the lot. I will refer to a call in the late afternoon to delve into the needs of each individual company. Some eligible entities are still missing. Let's see how the orders develop on which we will precisely define the new division.” In response, IVRI writes: “… [Sicuritalia] I am again asking to be able to perform armed services in Areaexpo for reasons I will not repeat to avoid being tedious. I am sure you will also consider this “simple” request.” Sicuritalia responds: “we will have to change with Italpol and we will be 4 in the Region. Let's see how to proceed”64.</w:t>
      </w:r>
    </w:p>
    <w:p>
      <w:r>
        <w:t xml:space="preserve">Table 12 - ARCA 2 Tender: ATI Parties distribution  </w:t>
        <w:br/>
        <w:t>Source: extract doc. 852.</w:t>
      </w:r>
    </w:p>
    <w:p>
      <w:r>
        <w:t>65. In document 852, obtained from IVRI, it is also evident that a fake ATI is planned for the ARCA 2 tender, practically identical to that of the ARCA 1 tender, as shown in the following extract.</w:t>
      </w:r>
    </w:p>
    <w:p>
      <w:r>
        <w:t>66. During the participation in this tender, the Parties discussed the distribution of services and compliance with the established shares. Of particular relevance is an email from IVRI dated February 19, 2018, to the other participants of the ATI in which it reads: “Hi [Allsystem N.d.R.], I just spoke again with [Sicuritalia N.d.R.], I think it is useful for us to sit around a table calmly to define at least the logic of the distribution of the tender in question. I will try to summarize: given that the “fixed point” and essential aspect of the tender are the % shares of distribution, these must be corrected WITH RESPECT TO WHAT THE ENTITIES WILL ORDER and not what was PRESUMABLE at the time of the tender, on this I believe there are no doubts. It seems, as Antonio says, that instead of the 40 million over three years, Arca Milano has so far ordered 34.4 million but above all IT WILL BE VERY DIFFICULT TO REACH THE 40 MILLION QUOTA!! It remains evident therefore, if this is the case, that the % of each of us must be on the ordered and not on the presumed that does not exist and will not exist! Therefore, following this logic, Allsystem, from the table, is at 10.5 million so it has already exceeded its share (30% of 34.3 million) just as Italpol and Sicuritalia are slightly below but.... IVRI not including anything more than what it is doing in the Region (500k over three years) is at 2,609,000 against 6,355,000!!! therefore 40% below!!!”65.</w:t>
      </w:r>
    </w:p>
    <w:p>
      <w:r>
        <w:t xml:space="preserve">67. Unlike the Arca 1 tender, the Arca 2 tender was awarded on August 9, 2018, after the start of the current investigation, to the competing RTI composed of International Security Service S.p.A., Cittadini dell’Ordine S.p.A., and Secureline S.r.l. As can be seen from the following table, the aforementioned RTI achieved a very high score also in the evaluation of the technical offer.  </w:t>
        <w:br/>
        <w:t>65 Cf. doc. 255, 429, 2501, and 2504. See also doc. 235. See also doc. 2506, email from IVRI to Sicuritalia, Italpol, and Allsystem dated January 30, 2018, in which it reads: “as per yesterday's conversation, having carried out a simple simulation regarding the tender formula for the allocation of the ECONOMIC score, I confirm the “low tariff danger” from possible competitors... for the tender in question. Simply put, if we maintained our current rate and someone came out at €18.50, the negative gap for us would be about 22 points!! That’s not little! Even if on the technical side we could gain good margins of difference ([omitted] check better how the previous tender went) but I would limit myself to considering a maximum advantage in the technique of 10/15 points, no more.”</w:t>
      </w:r>
    </w:p>
    <w:p>
      <w:r>
        <w:rPr>
          <w:b/>
        </w:rPr>
        <w:t>[Pages 28–30]</w:t>
      </w:r>
    </w:p>
    <w:p>
      <w:r>
        <w:t>30 BULLETIN NO. 50 OF DECEMBER 16, 2019</w:t>
        <w:br/>
        <w:t>Table 13 - ARCA 2 Tender: tender results</w:t>
        <w:br/>
        <w:t>Source: award minutes ARCA 2 doc. 3782.</w:t>
        <w:br/>
        <w:t>68. As emerges from the analysis of Table 13, the winning ATI, in terms of size, is significantly smaller than the ATI composed of the parties to the proceedings. In fact, there are only 2 security companies, and the general and specific revenues are far lower than those of the RTI composed of the Parties.</w:t>
        <w:br/>
        <w:t>69. Table 14 reports the award rates of the ARCA 2 tender.</w:t>
      </w:r>
    </w:p>
    <w:p>
      <w:r>
        <w:t>BULLETIN NO. 50 OF DECEMBER 16, 2019 31</w:t>
        <w:br/>
        <w:t>Table 14 - ARCA 2 Tender: award rates Lots 1-12</w:t>
        <w:br/>
        <w:t>* Lot 12 was awarded to the company CIVIS. The Parties did not submit offers for this Lot.</w:t>
        <w:br/>
        <w:t>Source: docs. 3730, 3755 and responses of the Parties to information requests (docs. 3743, 3744, 3745 and 3754, 3746, 3747). The award rates are available at:</w:t>
        <w:br/>
        <w:t>http://www.arca.regione.lombardia.it/wps/portal/ARCA/Home/bandi-</w:t>
        <w:br/>
        <w:t>convenzioni/convenzioni/DettaglioConvenzione/2019/attivazione/primo-quadrimestrre/2-gennaio-</w:t>
        <w:br/>
        <w:t>ARCA_2017_147</w:t>
        <w:br/>
        <w:t>70. It should be noted that the dynamics observed in the ARCA tenders are very different from those recorded in the previous tender, which had a partially coinciding scope, announced in August 2013 by Infrastrutture Lombarde S.p.A., an in-house company of the Lombardy Region66. This tender, awarded based on the lowest price criterion, had a starting auction value of over 31 million euros and was divided into 14 lots identifying the buildings to be served. The most important lots, Lot 1 (Palazzo Lombardia, Palazzo Sistema, and Ex Manifattura Tabacchi) and Lot 2 (Palazzo Pirelli), had a starting auction value of 20 million euros for the first and 6 million euros for the second, and both were awarded to the same RTI formed by Allsystem, Sicuritalia, and IVRI, which offered a discount of 21.85% on the starting auction price67, with internal shares within the RTI of 67% (Allsystem), 28% (Sicuritalia), and 3% (IVRI)68. For the remaining 12 lots (defined on a provincial basis and all with a starting auction amount of less than 400,000 euros), Sicuritalia, Allsystem, and IVRI participated independently. Allsystem did not win any lots, and Sicuritalia won Lots 5 and 7, as emerges from the tender minutes of November 14, 201369.</w:t>
        <w:br/>
        <w:t>71. Tables 15 and 16 show the award rates of the Infrastrutture Lombarde tender.</w:t>
        <w:br/>
        <w:t>Table 15 - Infrastrutture Lombarde Tender: award rates Lots 1 and 2</w:t>
        <w:br/>
        <w:t>Source: docs. 62, 3804 and 3820</w:t>
        <w:br/>
        <w:t>67 See doc. 62 and doc. 3720, attachments.</w:t>
        <w:br/>
        <w:t>68 See doc. 59.</w:t>
        <w:br/>
        <w:t>69 See doc. 3820 attachment.</w:t>
      </w:r>
    </w:p>
    <w:p>
      <w:r>
        <w:rPr>
          <w:b/>
        </w:rPr>
        <w:t>[Pages 31–33]</w:t>
      </w:r>
    </w:p>
    <w:p>
      <w:r>
        <w:t>BULLETIN NO. 50 OF DECEMBER 16, 2019 33</w:t>
        <w:br/>
        <w:t>Table 16 - Infrastructures Lombarde Tender: award rates Lots 3-14</w:t>
        <w:br/>
        <w:t>Source: doc. 62, 3804 and 3820</w:t>
        <w:br/>
        <w:t>V.2.2 The Trenord Tenders</w:t>
        <w:br/>
        <w:t>V.2.2.1 The “Trenord 1” Tender</w:t>
        <w:br/>
        <w:t>72. On June 21, 2014, Trenord announced a restricted tender procedure for the awarding of the armed security service, provision of change kits, and collection of revenues from systems, ticket offices, and self-service machines, for a total base auction amount of €9,968,270 (hereinafter referred to as the “Trenord 1” tender). The participation requirements for economic and financial capacity required by the tender were the achievement in the three-year period 2011-2013 of a total revenue not less than €20,000,000. Regarding technical capacity, the following was required: a) possession of certification of conformity of its quality system to the UNI EN ISO 9007:2000 standards, issued by accredited bodies in accordance with EN 45012 standards, and related to activities consistent with those subject to the tender; b) possession of the license issued by the Prefecture according to the Implementation Regulation of the TULPS (D.P.R. 4/08/2008 NR. 153 and ministerial implementation decree no. 269 of December 1, 2010, valid across provinces for the Regions of Lombardy, Veneto, and Emilia Romagna) and an average annual workforce in the last three years 2011-2012-2013 not less than 100.</w:t>
        <w:br/>
        <w:t>73. The revenue requirement (revenue in the three-year period 2011-2013 not less than €20,000,000), in the case of RTI, had to be held at least 60% by the lead company and in any case at a minimum of 20% by the other companies that make up the competitor70.</w:t>
        <w:br/>
        <w:t>74. The service was previously provided under a technical extension by Sicuritalia and IVRI in ATI71. The tender was participated in exclusively by the RTI composed of Sicuritalia, IVRI, Italpol, Allsystem, Coopservice, and other companies72. Trenord reported to the Authority the excess of this RTI, simultaneously excluding it from the tender. The TAR Lombardia, with ruling no. 2870 of December 30, 2015, annulled the exclusion stating that there were no elements to link the RTI to a restrictive agreement on competition and readmitted the RTI on the assumption that the existence of the agreement had not been proven. The tender was awarded on January 31, 2017, to the aforementioned RTI which offered a discount of 6.663% on the monthly fee and 6.54% on the tender rates.</w:t>
        <w:br/>
        <w:t>75. Below is the provincial extension of the licenses declared by the Parties at the time of submission of the participation applications for the tender.</w:t>
        <w:br/>
        <w:t>Table 17 - Tender “Trenord 1”: provincial extension of the Parties.</w:t>
        <w:br/>
        <w:t>Source: doc. 1, participation applications of the Parties.</w:t>
        <w:br/>
        <w:t>76. Regarding the “Trenord 1” tender, both the formal contract of ATI73 and the private agreement of July 25, 2014, by which the parties of the RTI defined the division of services to be performed in case of award74, were obtained during the inspection.</w:t>
        <w:br/>
        <w:t>77. The division of services among the Parties also occurs in this case based on pre-established shares, without any reasons for efficiency and rationality of the commitment in ATI75 emerging from the documents, providing for a division in the areas of Lombardy, Piedmont, Veneto, and Emilia Romagna. In this context, it is significant, for example, that in Lombardy, the region where most of the services are located, they are divided exclusively among IVRI, Italpol, Allsystem, and Sicuritalia, reserving the city of Mantova for Coopservice. Coopservice, on the other hand, reserved almost all armed security services in Emilia Romagna (the Region where Coopservice has the highest operational activity) except for Piacenza. It should be noted that the other companies included in the ATI, such as Vigilanza provincia di Sondrio and Mondialpol, have entirely residual shares, having been assigned in Lombardy only the security services in Sondrio, the cash counting as per current services (Mondialpol), or only in the province of Mantova (Battistolli).</w:t>
        <w:br/>
        <w:t>Table 18 - Tender “Trenord 1”: territorial division Lombardy</w:t>
        <w:br/>
        <w:t>Source: extract doc. 147</w:t>
        <w:br/>
        <w:t>78. The assignment to Coopservice of the services in the province of Mantova was already provided for in a previous agreement related to the Trenord 2012 tender (later annulled)76 entered into by Sicuritalia and Coopservice77, in which the aforementioned companies committed to participate together.</w:t>
        <w:br/>
        <w:t>76 Cf. Notice of interruption of June 4, 2013, published in GUCE and available on the Trenord website.</w:t>
        <w:br/>
        <w:t>77 Cf. doc. 3479. See also doc. 3582, internal email from Coopservice, in which, commenting on the letter of commitment related to the tender in question attached to the email, it is noted: “if the commercial objective is to sign a preliminary commitment for joint participation, already defining that Sicuritalia will be the lead company and already establishing that Coopservice will perform security services only in the province of Mantova, the attached text is perfectly fine.”</w:t>
      </w:r>
    </w:p>
    <w:p>
      <w:r>
        <w:rPr>
          <w:b/>
        </w:rPr>
        <w:t>[Pages 34–36]</w:t>
      </w:r>
    </w:p>
    <w:p>
      <w:r>
        <w:t>36 BULLETIN NO. 50 OF DECEMBER 16, 2019</w:t>
        <w:br/>
        <w:t>Figure 1 - Pre-tender Agreement Trenord 2012 Coopservice-Sicuritalia</w:t>
        <w:br/>
        <w:t>Source: extract doc. 3479</w:t>
        <w:br/>
        <w:t>79. It should be noted that this document does not reveal any operational difficulties and Sicuritalia, although operational in Mantova, transfers the services to Coopservice.</w:t>
        <w:br/>
        <w:t>80. The division represented above, established in 2014 during the qualification phase, remained in effect until the submission of the offer, which took place, following the events described above, in 2016. In particular, in an internal email from the IVRI group dated March 3, 2016, it states, "we managed to recover, as we mentioned earlier, the agreements decided and signed between the members of the ATI (July 25, 2014) in terms of percentages of services to be performed even though at that time there was no precise indication of the services to be performed, the locations, and the methods of delivery." In the application for participation in the tender in 2014, the Parties did not communicate to the contracting authority the percentage shares of participation in the ATI, which had already been defined in the private writing of July 2014 and would later be communicated to the contracting authority in 2016 following their readmission to the tender.</w:t>
        <w:br/>
        <w:t>V.2.2.2 The “Trenord 2” Tender</w:t>
        <w:br/>
        <w:t>81. Concurrently with the completion of the tender procedures initiated in 2014 for the “Trenord 1” tender, the contracting authority, on April 18, 2016, announced another tender for the stipulation of a framework agreement for dynamic security services on board trains and in station areas (hereinafter “Trenord 2” tender), in the same provinces as the “Trenord 1” tender, for a value of €9,802,400. The economic and financial capacity requirements stipulated that a total turnover of no less than €18,000,000 must have been achieved in the three-year period 2012-2014. Regarding the technical capacity requirements, it was required a) certification of compliance of its quality system with the UNI EN ISO 9001:2008 standards b) a declaration attesting possession of the license issued by the Prefecture according to the Implementation Regulation of the TULPS (D.P.R. 4.8.2008 n. 153) and the ministerial decree of implementation no. 269 of December 1, 2010, valid across provinces for the Regions of Lombardy, Veneto, Piedmont, and Emilia Romagna), with express authorization for the provision of subsidiary security services; c) a declaration committing to have available: i) upon simple request from the Contracting Authority with 20 days' notice, up to at least 80 GPG equipped with the above-mentioned requirements; and, ii) upon simple request from the Contracting Authority with 3 months' notice, up to 150 GPG equipped with the aforementioned requirements.</w:t>
        <w:br/>
        <w:t>82. Regarding subcontracting, the invitation letter stipulated that those intending to use subcontracting were obliged to communicate it at the time of the application for participation and to indicate the list of subcontractors.</w:t>
        <w:br/>
        <w:t>83. The scope of the tender is partially coincident with that of the previous procedure, including only the security service on board trains, which had a marginal role in the “Trenord 1” tender. The new tender, announced for the stipulation of a framework agreement, was carried out due to the increased need of the contracting authority regarding the security service on board trains.</w:t>
        <w:br/>
        <w:t>84. Three distinct RTIs participated in the tender:</w:t>
        <w:br/>
        <w:t>1) ATI: Civis S.p.A./IVRI S.p.A./Cittadini dell’ordine S.r.l./Telecontrol S.p.A./Vedetta 2 Mondialpol S.p.A./Sicurezza del cittadino S.r.l./Corpo vigili notturni S.r.l.;</w:t>
        <w:br/>
        <w:t>2) ATI: Sicuritalia/Allsystem/Coopservice;</w:t>
        <w:br/>
        <w:t>3) ATI G4 Vigilanza/La Patria S.r.l./Italpol Group/Rangers/MVS/Metronotte Piacenza.</w:t>
        <w:br/>
        <w:t>85. The tender was awarded on January 18, 2017, to the ATI composed of Sicuritalia, Allsystem, and Coopservice, which did not declare their intention to use subcontractors.</w:t>
        <w:br/>
        <w:t>86. Among the inspection documents, some preparatory acts for participation in the “Trenord 2” tender were found. In particular, a pre-tender agreement between Sicuritalia and Italpol from May 2016 is noteworthy, in which the latter commits not to participate in the tender and Sicuritalia, in the event of winning, commits to subcontract to Italpol a share equal to 20% of the services, as reported below:</w:t>
        <w:br/>
        <w:t>“if Sicuritalia, either on its own or as the lead company of an RTI with other companies, is awarded the tender specified in the preamble, it hereby commits to respect the following agreements:</w:t>
        <w:br/>
        <w:t>1. Italpol hereby expresses its intention not to participate in the tender in question, under any form of participation (individually, in ATI, in Consortium, with GEIE, etc.);</w:t>
        <w:br/>
        <w:t>2. Sicuritalia commits to subcontract, in the event of winning the tender, to Italpol a share equal to 20% of the armed security services provided for in the Tender Specifications, possibly within the provinces in which Italpol holds the prefectural license, at the hourly rate equal to that offered in the tender and that will result from the contract for the award of the contract, and in any case not less than €19.80 (nineteen point eighty); if Sicuritalia offers a lower rate, Italpol shall have the option to waive the award;</w:t>
        <w:br/>
        <w:t>3. Sicuritalia commits to declare, within the subcontracting declaration required by the tender documentation, that the activities and services referred to in this agreement will be entrusted to Italpol without exclusivity.”</w:t>
        <w:br/>
        <w:t>87. In document 325, found at Italpol, which reports the division of the RTI in the old “Trenord 1” tender, it states: “Subcontracting (2nd tender) €9,800,000 3 years 20% annual of 40 patrols.” In an internal email from Italpol dated May 23, 2016, with the subject “R Tender Trenord,” it also communicates: “for your information, we are not doing this tender. We will enter into subcontracting.” The awarding of the subcontract appears, from the data provided by Italpol and Sicuritalia, to have actually occurred.</w:t>
        <w:br/>
        <w:t>88. In the context of this relationship, there is also an internal email from Sicuritalia from February 2018 in which the possibility of not activating the subcontract for “Trenord 2” is proposed if Italpol does not agree to cede a share in a different tender (SEA tender): “What should we activate subcontracting for Italpol? Let’s hold them off to get SEA in return.” In response: “Trenord.” “We can hold it off, right?” “Yes, we are not obliged.”</w:t>
        <w:br/>
        <w:t>89. This internal email exchange is linked to another exchange from February 2018 between Sicuritalia and Italpol with the subject “Italpol SEA” in which it states: “Hi [Sicuritalia N.d.R.], I confirm that at the time of the submission of the offer for the procedure in question, you will be declared in subcontracting for the share of 30%.” In response, Sicuritalia writes: “[Italpol N.d.R.] on SEA I can play my cards very heavily. So I would prefer to do AT and with different percentages. Also, you still have to honor a promise regarding the ongoing services for a 20% subcontract. Can you tell me what you want to do about that subcontract?” The emails likely refer to the procedures for which Italpol is the awarded party concerning armed security services and security and porter services, for a total value of approximately €10,000,000, as per the response to Italpol and SEA's request for information. Regarding these documents, Italpol observed: “the email seems to refer to the negotiated procedure for the provision of unarmed security services at the e-Gates of Milan Malpensa and Milan Linate airports, announced by SEA in 2018 (CIG n. 73499488F5). Italpol participated in this procedure independently and was not awarded. Specifically regarding the “promise” of a 20% subcontract, it is believed that</w:t>
      </w:r>
    </w:p>
    <w:p>
      <w:r>
        <w:rPr>
          <w:b/>
        </w:rPr>
        <w:t>[Pages 37–39]</w:t>
      </w:r>
    </w:p>
    <w:p>
      <w:r>
        <w:t>BULLETIN NO. 50 OF DECEMBER 16, 2019 39</w:t>
        <w:br/>
        <w:t>[Sicuritalia N.d.R.] may refer to the negotiated procedure announced by SEA in 2015 for the conclusion of a framework agreement (CIG no. 601943206E), in which Italpol participated independently and was awarded but did not assign any subcontract. It is finally highlighted that the claims of [Sicuritalia N.d.R.] were not followed up on91.</w:t>
      </w:r>
    </w:p>
    <w:p>
      <w:r>
        <w:t>90. Regarding the “Trenord 2” tender under examination, numerous documents have been found in which the Parties allocate the shares of the service to be performed92 even after the award, taking into account the change in the ATI compared to the “Trenord 1” tender which saw the exit of IVRI. As a result, the shares of Italpol and Coopservice are increased, as shown in the following figure.</w:t>
      </w:r>
    </w:p>
    <w:p>
      <w:r>
        <w:t>Table 19 - Trenord Tenders 1 and 2: synoptic framework of service allocation among the Parties</w:t>
        <w:br/>
        <w:t>(Accessible version)</w:t>
        <w:br/>
        <w:t>Source: extract doc. 2594</w:t>
      </w:r>
    </w:p>
    <w:p>
      <w:r>
        <w:t>91. From Table 19, a change in the shares emerges due to the exit of IVRI from the ATI. This exit resulted in the inclusion of Coopservice also in the onboard train transport, with a share of 9%, and the significant increase of the shares of Sicuritalia and Italpol.</w:t>
      </w:r>
    </w:p>
    <w:p>
      <w:r>
        <w:t>V.2.3 The Expo Tenders</w:t>
      </w:r>
    </w:p>
    <w:p>
      <w:r>
        <w:t>92. From the documents on file, four Expo tenders have emerged that are relevant for this investigation: the “Cantiere” tender of 2013, the Expo “Evento” tender of 2013, the Expo “ex Lot 3” tender of 2015, and the “Post Evento” tender of 2016. The tenders, sometimes followed by a prequalification phase, are summarized in Table 20. The tenders had particular importance also considering the indirect benefits they could entail and the reputational impact93.</w:t>
      </w:r>
    </w:p>
    <w:p>
      <w:r>
        <w:t>91 Cfr. doc. 3800.</w:t>
        <w:br/>
        <w:t>92 Cfr. doc. 71, 73, 135, 142, and 147.</w:t>
        <w:br/>
        <w:t>93 Cfr. doc. 412.</w:t>
      </w:r>
    </w:p>
    <w:p>
      <w:r>
        <w:t>40 BULLETIN NO. 50 OF DECEMBER 16, 2019</w:t>
        <w:br/>
        <w:t>Table 20 - Expo Tenders: synoptic framework</w:t>
        <w:br/>
        <w:t>Source: doc 3741</w:t>
      </w:r>
    </w:p>
    <w:p>
      <w:r>
        <w:t>V.2.3.1 The “Cantiere” Tender</w:t>
      </w:r>
    </w:p>
    <w:p>
      <w:r>
        <w:t>93. The “Cantiere” tender (proc. sel. 286/2013) is the tender that concerned the security service on the Expo 2015 construction sites. The tender, announced on June 11, 2013, was awarded on September 12, 2013, to an RTI composed of Allsystem, Sicuritalia, and IVRI (also with their controlled companies IVRI servizi fiduciari S.r.l. and Sicuritalia Group Service Soc. cons. per azioni, for the part related to concierge services) which proposed a discount of 21% on the auction base. An RTI with Italpol as the leading company also participated in the tender, which was excluded for failing to meet the required qualifications of the principal94.</w:t>
      </w:r>
    </w:p>
    <w:p>
      <w:r>
        <w:t>94 Cfr. doc. 3741, attachments.</w:t>
      </w:r>
    </w:p>
    <w:p>
      <w:r>
        <w:t>BULLETIN NO. 50 OF DECEMBER 16, 2019 41</w:t>
        <w:br/>
        <w:t>Table 21 - Expo “Cantiere” Tender: summary of bids</w:t>
        <w:br/>
        <w:t>Source: doc. 3741</w:t>
      </w:r>
    </w:p>
    <w:p>
      <w:r>
        <w:rPr>
          <w:b/>
        </w:rPr>
        <w:t>[Pages 40–42]</w:t>
      </w:r>
    </w:p>
    <w:p>
      <w:r>
        <w:t>42 BULLETIN NO. 50 OF DECEMBER 16, 2019</w:t>
        <w:br/>
        <w:t>Table 22 - Expo "Construction" Tender: outcome</w:t>
        <w:br/>
        <w:t>Source: doc. 3741</w:t>
        <w:br/>
        <w:t>94. During the inspection, the RTI Regulation of November 4, 201395 was found, which outlines the division of services between the Parties as detailed below.</w:t>
        <w:br/>
        <w:t>Figure 2 - Expo "Construction" Tender: RTI Parties distribution</w:t>
        <w:br/>
        <w:t>Source: excerpt doc. 206</w:t>
        <w:br/>
        <w:t>95. The same regulation also governs any distributions for future services.</w:t>
        <w:br/>
        <w:t>95 See doc. 206.</w:t>
      </w:r>
    </w:p>
    <w:p>
      <w:r>
        <w:t>BULLETIN NO. 50 OF DECEMBER 16, 2019 43</w:t>
        <w:br/>
        <w:t>Figure 3 - Expo "Construction" Tender: RTI Parties distribution for additional services</w:t>
        <w:br/>
        <w:t>* a typographical error is noted in point 7.1.2. (read as unarmed security services)</w:t>
        <w:br/>
        <w:t>Source: excerpt doc. 206</w:t>
        <w:br/>
        <w:t>96. It should be noted that the division reported above for future services is the one that will remain in effect between the Parties for the subsequent Expo "Event" tenders (Lots 1 and 2 and the tender for the former Lot 3) as well as for the Expo "post Event" tender. These tenders, as will be seen, concern different services, at least from a quantitative perspective96. The security for the "construction sites" cannot be compared to the security to be exercised during the "Expo 2015" event, which, it is recalled, hosted exhibitions from 137 countries and recorded approximately 22 million attendees over six months.</w:t>
        <w:br/>
        <w:t>V.2.3.2 The "Event" Tender</w:t>
        <w:br/>
        <w:t>97. In 2013, Expo 2015 S.p.A. announced a selective procedure pursuant to Articles 20 and 27 of Legislative Decree 163/2006, concerning the awarding of security and event management support services in the areas pertaining to the Expo Milano 2015 Exhibition Site (proc. 716/2014). The procedure, awarded through the criterion of the economically most advantageous offer, was divided into three lots that identified the areas into which the exhibition site was divided, for a total of over 23 million euros. The tender included a prequalification phase, with a deadline in September 2014, to which Italpol (in RTI with Italservizi 2007) and an RTI composed of CIVIS, Rangers, Domina, and Cooperativa FEMA had submitted applications for all three lots. The RTI Allsystem, IVRI, and Sicuritalia had submitted applications exclusively for Lots 1 and 2, while an RTI composed of Civis Augustus S.r.l., Armed Security Service Sudtiroler Ronda, and Gruppo servizi associati S.p.A. had submitted an application exclusively for Lot 397.</w:t>
        <w:br/>
        <w:t>98. Regarding the aforementioned subjects, a document titled "Expo Tender Projection" (created on October 7, 2014, and last modified on October 28, 2014)98 was found at Italpol, in which possible offers and potential scores of the aforementioned competitors were hypothesized. In this file, Italpol envisioned its participation, even in Phase II of the tender, in all three lots and economic offers, both its own and those of competitors, significantly more aggressive than those actually submitted in Lots 1 and 2. It is emphasized that this document hypothesized the participation of the RTI Italpol in all three lots, and Italpol seemed aware that the RTI Allsystem could present an aggressive offer99 capable of winning the tender.</w:t>
        <w:br/>
        <w:t>99. In the subsequent phase of the tender, only the RTI composed of Allsystem, IVRI, IVRI fiduciary services, Sicuritalia, Sicuritalia Group Service S.p.A., and Consorzio Prodest Milano S.r.l. submitted offers for Lots 1 and 2. For Lot 3, only the RTI composed of Italpol Vigilanza S.r.l., Italservizi 2007 S.r.l., and Security Service S.r.l. submitted an offer. Contrary to what happened in the previously examined "Construction" tender, therefore, the offers from Italpol on one side and Allsystem, Sicuritalia, and IVRI on the other did not overlap but, rather, were complementary since, as will be seen, the special law provided for the possibility of awarding more than one lot only in the case of a single offer submitted in the relevant lots.</w:t>
        <w:br/>
        <w:t>100. Also noteworthy is an internal email from IVRI dated November 21, 2014, coinciding with the date of submission of the offers, which reads: "Good morning to all of you, below you will find the estimate of the EXPO margins limited to the 'technology' that we will have to provide, as you can see I believe a decent job has been done with the suppliers that allows us to divide the 'PROFIT' part written in the last column into three equal parts, in any case we still have 'room for negotiation' once the award is obtained and even more so if, as it seems, we will be the only ones (apart from Italpol with Security Service new entry) to participate. Regarding the rates, I confirm that we proposed € 12.95 (starting bid 13.00) for the concierge service and € 20.95 (starting bid 21.00) for the armed service despite Sicuritalia wanting to offer a lower rate (approximately 12.20 and 20.30), I opposed. The Civis team, barring last-minute changes, WILL NOT participate, so it is likely that they may also award us the other large Lot if they decide to award the third to Italpol"101.</w:t>
        <w:br/>
        <w:t>101. The tender was awarded on January 30, 2015, only in part: Lots 1 and 2 were awarded to the sole bidder RTI Allsystem, while Lot 3 was not awarded as no offers were received.</w:t>
        <w:br/>
        <w:t>97 See doc. 3632, attachments.</w:t>
        <w:br/>
        <w:t>98 See doc. 2328.</w:t>
        <w:br/>
        <w:t>99 In this document, in particular, an economic offer from the RTI Allsystem for Lots 1 and 2 was hypothesized to be € 7,671,344.00 and € 7,221,468.50, respectively. See doc. 2328.</w:t>
        <w:br/>
        <w:t>100 See economic offers doc. 44, 45. See also doc. 53 in which the economic offer for the subsequent "ex Lot 3" tender is mentioned.</w:t>
        <w:br/>
        <w:t>101 See doc. 424. Regarding the value of the rate for armed security, an internal document (doc. 412) mentions that "currently the average cost in Milan for GPG is about € 18.00 [...] excluding obviously the training courses."</w:t>
      </w:r>
    </w:p>
    <w:p>
      <w:r>
        <w:rPr>
          <w:b/>
        </w:rPr>
        <w:t>[Pages 43–45]</w:t>
      </w:r>
    </w:p>
    <w:p>
      <w:r>
        <w:t>BULLETIN NO. 50 OF DECEMBER 16, 2019 45</w:t>
        <w:br/>
        <w:t>serious irregularities were found in the technical offer of the only bidder (RTI Italpol) which led to its exclusion pursuant to Article 46, paragraph 1-bis of Legislative Decree 163/2006.</w:t>
        <w:br/>
        <w:t>102. In particular, the offer submitted by RTI Italpol appeared to be prepared for Lots 1 and 2 and included descriptions of services not present in Lot 3: for example, the offer stated that the schedule was mirrored with respect to Lots 1 and 2, for which RTI Italpol had not submitted any offer. At the same time, RTI Italpol had offered, for Lot 3, provisions that were not requested, which were instead intended for Lots 1 and 2102. Moreover, Italpol, despite having submitted a self-defense appeal, did not file an appeal to the TAR for the exclusion103. During the inspection, the economic offer submitted by RTI Italpol for Lot 3 was also found, which included a discount of 0.99% on the hourly rate and zero on technology104.</w:t>
        <w:br/>
        <w:t>103. More specifically, the distribution of RTI Allsystem, IVRI, Sicuritalia is indicated in documents 43, 47, and 50.</w:t>
        <w:br/>
        <w:t>Table 23 - Expo Tender “Event”: RTI Parties distribution</w:t>
        <w:br/>
        <w:t>Source: doc. 47</w:t>
        <w:br/>
        <w:t>104. The distribution therefore provides for 34% for Allsystem (which at the time was not active in concierge services and used a third-party operator to perform them) and 33% for IVRI and Sicuritalia, in accordance with the agreements made during the “Cantiere” tender regarding additional services (see above).</w:t>
        <w:br/>
        <w:t>102 See technical offer of Italpol and letter of exclusion from EXPO, in doc. 3632, attachments.</w:t>
        <w:br/>
        <w:t>103 See doc. 3632.</w:t>
        <w:br/>
        <w:t>104 See doc. 2011 attachment.</w:t>
      </w:r>
    </w:p>
    <w:p>
      <w:r>
        <w:t>46 BULLETIN NO. 50 OF DECEMBER 16, 2019</w:t>
        <w:br/>
        <w:t>105. The distribution communicated to the contracting authority reflects that elaborated within the RTI105. Regarding participation in Lots 1 and 2 only, an internal email from IVRI dated September 16, 2014, is relevant, in which, in response to the communication of a possible participation in all three lots, it states: “I am forwarding you the division of the ATI EXPO proposed by Allsystem while maintaining the logic of the current ATI [ATI tender “Cantiere” N.d.R.]. As I wrote and said, the other important Milanese player in concierge services, Prodest, has been included, which, however, only takes “the piece of Allsystem” while we and Sicuritalia would maintain, as it currently is, the 33% under the same conditions. However, I just wrote (in addition to having called [Allsystem N.d.R.] who was busy) that we do NOT agree to participate in all three lots but only in the two largest…”106. The email refers to the “logic of the current ATI” and the maintenance of “the same conditions” and is explained by reference to the previous “Cantiere” tender described above, which provided for identical distribution percentages despite having entirely different services.</w:t>
        <w:br/>
        <w:t>106. The ATI Allsystem-IVRI-Sicuritalia won the tender under the following economic conditions.</w:t>
        <w:br/>
        <w:t>Table 24 - Expo Tender “Event”: award</w:t>
        <w:br/>
        <w:t>Source: doc. 3632</w:t>
        <w:br/>
        <w:t>V.2.3.3 The tender “ex Lot 3”</w:t>
        <w:br/>
        <w:t>107. Due to the aforementioned exclusion of the only offer for Lot 3, the contracting authority, on March 5, 2015, announced a negotiated procedure pursuant to Article 57, paragraph 2, letter c) for the only services falling within the former Lot 3 (proc. 64/2015), although modified compared to the previous tender as, given the availability of the Italian Army to perform certain services, both the requested services and, consequently, the technical-economic capacity requirements were reduced. The competitors who had submitted a participation request and qualified for the previous tender were invited to the procedure by invitation letter dated March 5, 2015: RTI Allsystem and RTI Italpol Vigilanza as well as three other RTIs and ISTV S.p.A. Only RTI Allsystem, Sicuritalia IVRI participated in the procedure, which won the tender on May 6, 2015, offering prices identical to the previous tender107 while RTI Italpol, which had been excluded in the previous procedure, did not submit an offer.</w:t>
        <w:br/>
        <w:t>108. The distribution of shares within the RTI was also found for tender 2 (ex Lot 3)108.</w:t>
        <w:br/>
        <w:t>105 See doc. 43.</w:t>
        <w:br/>
        <w:t>106 See doc. 421. Document 2617 also initially provides for participation in all lots.</w:t>
        <w:br/>
        <w:t>107 See doc. 52.</w:t>
        <w:br/>
        <w:t>108 See doc. 52; 55, 56, and 576.</w:t>
      </w:r>
    </w:p>
    <w:p>
      <w:r>
        <w:t>BULLETIN NO. 50 OF DECEMBER 16, 2019 47</w:t>
        <w:br/>
        <w:t>Table 25 - Expo Tender “ex Lot 3”: RTI Parties distribution</w:t>
        <w:br/>
        <w:t>Source: extract doc. 52</w:t>
        <w:br/>
        <w:t>109. As can be easily deduced from Table 25, in this case, the distribution also provides for 33% for each group, except for Allsystem which, not active at the time in concierge services, used a third-party operator to perform them, reaching, together with this operator, a share of about 34%, exactly as in the previous “Cantiere” and “Event” Lots 1 and 2.</w:t>
        <w:br/>
        <w:t>110. Regarding Italpol, it did not participate in the selection and, except as will be stated, there are no documents in the records explaining this action, except for the explanations provided during the inspection and in the hearing, to which reference is made (see position of the Parties)109. In the final submissions, Italpol repeatedly cited document 301, stating that in this context the reason for non-participation in the new tender for Lot 3 could be inferred. In particular, in this document, Italpol compares the profit that could have derived from winning the new tender with that which would have derived from the former Lot 3 and notes that it would have been [1-5%] compared to [1-5%] of the old tender. However, it should be noted that, in the same document, it is indicated that if the company had decided to purchase and then resell the necessary equipment to carry out the contract (so-called technology), the EBITDA would have been [15-20%] for the new tender compared to the lower [15-20%] of the old offer for “Lot 3”.</w:t>
        <w:br/>
        <w:t>V.2.3.4 The “post Event” tender</w:t>
        <w:br/>
        <w:t>111. On December 23, 2015, Expo announced a selective procedure no. 1433/2015 pursuant to Articles 20 and 27 of Legislative Decree 163/2006, concerning services falling within Annex II B, for the awarding of armed security services and access control services for the area corresponding to the exhibition site and its appurtenances (Expo “post Event”).</w:t>
        <w:br/>
        <w:t>112. This procedure was also divided into a prequalification phase, in which 5 competitors applied for participation (including an RTI formed by Italpol and Italservizi 2007), and a “phase II”, in which only two competitors participated: an RTI composed of Allsystem, Sicuritalia, and IVRI in the same composition seen in previous tenders110 and International Security Service S.p.A. (ISSV).</w:t>
        <w:br/>
        <w:t>109 See Doc. 3798 and 1575.</w:t>
        <w:br/>
        <w:t>110 Note that in an email from 2016, Sicuritalia refers to the “distribution you proposed (based on the old ATI)” and adds “I remembered percentages of 34% Allsystem, 33% us and IVRI and the Prodest share was separated from yours.” See doc. 93.</w:t>
      </w:r>
    </w:p>
    <w:p>
      <w:r>
        <w:rPr>
          <w:b/>
        </w:rPr>
        <w:t>[Pages 46–48]</w:t>
      </w:r>
    </w:p>
    <w:p>
      <w:r>
        <w:t>48 BULLETIN NO. 50 OF DECEMBER 16, 2019</w:t>
      </w:r>
    </w:p>
    <w:p>
      <w:r>
        <w:t>113. The bids submitted in the tender are as follows111:</w:t>
      </w:r>
    </w:p>
    <w:p>
      <w:r>
        <w:t>Table 26 - Expo “Post Event” Tender: award</w:t>
        <w:br/>
        <w:t>Source: doc. 3741, annexes 38, 40 and docs. 3744 and 3745 (information from Allsystem and IVRI)</w:t>
      </w:r>
    </w:p>
    <w:p>
      <w:r>
        <w:t>114. The tender was awarded to the company ISSV, which offered the lowest price112.</w:t>
      </w:r>
    </w:p>
    <w:p>
      <w:r>
        <w:t>V.2.4 The Intercent-ER Tenders</w:t>
      </w:r>
    </w:p>
    <w:p>
      <w:r>
        <w:t>V.2.4.1 The “Intercent-ER 1” Tender</w:t>
      </w:r>
    </w:p>
    <w:p>
      <w:r>
        <w:t>115. On June 20, 2013, Intercent-ER, the purchasing center of Emilia Romagna, announced an Open Procedure for the awarding of armed security services, concierge services, maintenance of fire safety systems, and access control for properties primarily used for health and office purposes, with a base auction value of 30 million euros (hereinafter referred to as the “Intercent-ER 1” tender). The tender was awarded to the RTI formed by Coopservice, IVRI, Sicuritalia, and others, the only participating RTI113. The tender notice required an economic and financial capacity requirement, consisting of having achieved, in the last three years, a revenue from armed security services of at least 15 million euros. The notice stipulated that, in the case of an RTI, this requirement had to be met by summing the revenues of the individual companies, provided that the leading company held at least 60% of the required revenue.</w:t>
      </w:r>
    </w:p>
    <w:p>
      <w:r>
        <w:t>The tender was awarded to the RTI Coopservice, IVRI, and Sicuritalia at the following rates.</w:t>
      </w:r>
    </w:p>
    <w:p>
      <w:r>
        <w:t>Table 27 - “Intercent-ER 1” Tender: awarded rates</w:t>
        <w:br/>
        <w:t>Source: doc. 2643, award determination and tender specifications</w:t>
      </w:r>
    </w:p>
    <w:p>
      <w:r>
        <w:t>116. The formal distribution of shares within the ATI is as follows.</w:t>
      </w:r>
    </w:p>
    <w:p>
      <w:r>
        <w:t>111 See doc. 3741 annex.</w:t>
        <w:br/>
        <w:t>112 See doc. 3741 annex.</w:t>
        <w:br/>
        <w:t>113 RTI Coopservice S.Coop.p.a., Sicuritalia S.p.A., IVRI S.p.A., La Patria S.r.l., Civis Augustus S.r.l., and Axitea S.p.A.</w:t>
      </w:r>
    </w:p>
    <w:p>
      <w:r>
        <w:t>BULLETIN NO. 50 OF DECEMBER 16, 2019 49</w:t>
      </w:r>
    </w:p>
    <w:p>
      <w:r>
        <w:t>Table 28 - “Intercent-ER 1” Tender: RTI Parties distribution</w:t>
        <w:br/>
        <w:t>Source: doc. 2618 internal email from Sicuritalia, November 8, 2013</w:t>
      </w:r>
    </w:p>
    <w:p>
      <w:r>
        <w:t>117. The negotiation for the definition of the ATI saw Sicuritalia request and obtain a larger share than initially proposed. This negotiation is documented in a series of emails from August 2013 in which Sicuritalia writes to Coopservice: “The proposal you made is very far from what we would have expected. Again, you propose to give us a 'new' share that is by no means guaranteed to materialize. As you well know, the budget can be absorbed by existing contracts (and that has been the case in the past). So we need to find a solution. I asked you for 20%, you propose 4% with no actual certainty. Does that seem reasonable to you? I don’t want to wage war, but that doesn’t mean you should take advantage of it. So, let’s think differently: instead of 20%, I’ll settle for 10%: 3,000,000 over the two years. On these 3 million, we will have a minimum margin of 10-15% (minimum 300,000-450,000 over the 2 years). Sicuritalia is in the ATI with the agreement that it should bill 3 million over the 2 years. But if that’s not the case, each year it will bill the ATI 10% of the difference between the actual billed amount and 1,500,000 of annual competence. This way: if we bill the client, all is well; otherwise, we recover something and the ATI remains at reasonable rates. This seems reasonable and fair to me and in everyone’s interest. What do you think?”. Coopservice responds: “Dear [Sicuritalia N.d.R.], after discussing with the other members of the ATI, we propose the following, confident that you will understand the effort we all made and that you can consider it as a definitive and mutually satisfactory agreement:</w:t>
        <w:br/>
        <w:t>- ok to bring the new security services to 2 million (in BO, PC, MO, PR, RE) which will primarily be attributed to Sicuritalia</w:t>
        <w:br/>
        <w:t>- ok then to follow the rules for the allocation of subsequent new services which sees Sicuritalia at 40% in Bologna and 20% in Piacenza and 100% on concierge services…”114.</w:t>
      </w:r>
    </w:p>
    <w:p>
      <w:r>
        <w:t>118. From the above email, it is clear that the evaluations within the ATI disregard the actual capacity of the companies to provide the service, being instead based on commercial considerations typical of a distributive logic in which the Parties try to achieve the maximum result.</w:t>
      </w:r>
    </w:p>
    <w:p>
      <w:r>
        <w:t>V.2.4.2 The “Intercent-ER 2” Tender</w:t>
      </w:r>
    </w:p>
    <w:p>
      <w:r>
        <w:t>119. On November 19, 2015, Intercent-ER announced a new open procedure for the awarding of integrated armed security services, concierge services, and other services for all the Administrations of the Emilia-Romagna Region and cash transport and counting for the Health Companies of the Emilia-Romagna Region, with a total base auction amount of 35 million euros. As economic and financial capacity requirements, the notice stipulated, as in the previous tender, that the revenue from armed security services, net of VAT, must be equal to or greater than 15 million euros in the last three years. In the case of R.T.I./Consortium/Network of companies, it was stipulated that this requirement must be met by summing the revenues of the individual companies, provided that the leading company must hold at least 60% of the required revenue. The tender was awarded to the RTI formed by Coopservice, Sicuritalia, IVRI, and others with the following scores indicated115.</w:t>
      </w:r>
    </w:p>
    <w:p>
      <w:r>
        <w:t>Table 29 - “Intercent-ER 2” Tender: tender outcome</w:t>
        <w:br/>
        <w:t>Source: determination no. 142 of 06/17/2016 from Intercent-ER doc. 3453</w:t>
      </w:r>
    </w:p>
    <w:p>
      <w:r>
        <w:t>Table 30 - “Intercent-ER 2” Tender: awarded rates.</w:t>
        <w:br/>
        <w:t>Source: economic offer (see doc. 3002) and tender specifications</w:t>
      </w:r>
    </w:p>
    <w:p>
      <w:r>
        <w:t>120. The formal distribution of activities within the RTI is identical to that of the previous tender, already reported in Table 28, except for the share of Axitea, no longer present in the ATI116, entirely absorbed by Coopservice due to the geographical distribution underlying the RTI, well explained in the following email.</w:t>
      </w:r>
    </w:p>
    <w:p>
      <w:r>
        <w:t>121. The rationale underlying the distribution within the RTI is, in fact, completely disconnected from reasons of efficiency in the organization of the service but derives from an explicit agreement aimed at maintaining unchanged the “balances” consolidated between the parties, as emerges from the email sent by IVRI to KSM (which controls 32% of Biks Group, which in turn controls IVRI) in January 2016: “I called [IVRI N.d.R.] who informed me of the percentages of the current ATI for the tender in question which should close on 01/18 […], this grouping is a ‘child’ of a history</w:t>
        <w:br/>
        <w:t>115 RTI Coopservice S.Coop.p.a., Sicuritalia S.p.A., IVRI S.p.A., La Patria S.r.l., Cittadini dell’Ordine S.r.l.</w:t>
        <w:br/>
        <w:t>116 It is noted that Axitea was, at the time, in preventive agreement.</w:t>
      </w:r>
    </w:p>
    <w:p>
      <w:r>
        <w:rPr>
          <w:b/>
        </w:rPr>
        <w:t>[Pages 49–51]</w:t>
      </w:r>
    </w:p>
    <w:p>
      <w:r>
        <w:t>BULLETIN NO. 50 OF DECEMBER 16, 2019 51</w:t>
        <w:br/>
        <w:t>that extends over time to maintain certain balances that, as [IVRI N.d.R.] tells me, would see:</w:t>
        <w:br/>
        <w:t>• IVRI handling all services in Piacenza and Parma</w:t>
        <w:br/>
        <w:t>• Coopservice handling all services in Reggio, Modena, and part of Bologna</w:t>
        <w:br/>
        <w:t>• La Patria handling part of the services in Bologna</w:t>
        <w:br/>
        <w:t>• Sicuritalia handling part of the services in Bologna</w:t>
        <w:br/>
        <w:t>• cvo (Corpo Vigili Notturni) handling services in Romagna.</w:t>
        <w:br/>
        <w:t>Therefore, the Current ATI is as follows:</w:t>
        <w:br/>
        <w:t>38% Coopservice as Lead Contractor (has taken over the services of Axitea that were in Bologna, thus it has grown)</w:t>
        <w:br/>
        <w:t>17% IVRI</w:t>
        <w:br/>
        <w:t>16% Cvo</w:t>
        <w:br/>
        <w:t>15% La Patria</w:t>
        <w:br/>
        <w:t>14% Sicuritalia</w:t>
        <w:br/>
        <w:t>I asked if we have requested to increase our share compared to the past, but the historical agreement, [IVRI N.d.R.] tells me, is the one mentioned above for Città... therefore the part of Axitea being in Bologna has been acquired by Coopservice (does not know if also by others)117.</w:t>
        <w:br/>
        <w:t>122. The distribution governing the RTI is therefore as follows.</w:t>
        <w:br/>
        <w:t>117 See doc. 404. In response to this email, the representative of KSM states: "It is not possible that they do not consult with the base; we in Bologna do not take anything having the license and the others not having the title like Sicuritalia. Send a formal email to [IVRI N.d.R.] and [IVRI N.d.R.] informing them that commercial choices must be agreed with the Milan headquarters on tenders with a certain amount. CC me." See also docs. 2832 and 3449.</w:t>
      </w:r>
    </w:p>
    <w:p>
      <w:r>
        <w:t>52 BULLETIN NO. 50 OF DECEMBER 16, 2019</w:t>
        <w:br/>
        <w:t>Table 31 - Tender “Intercent-ER 2”: RTI Parties distribution</w:t>
        <w:br/>
        <w:t>Source: doc. 3450</w:t>
        <w:br/>
        <w:t>123. In the same document containing the above distribution, it reads: "Note for Sicuritalia only: exclusively for the new security services (understood as services currently not under contract and not performed by any of the companies belonging to the ATI) that will be awarded in the Provinces of Bologna, Modena, Reggio Emilia, Parma, and Piacenza, Sicuritalia will have the right of first refusal up to reaching a total three-year volume of € 2 million, which may also be compensated through other awards via Network from other security institutes. Beyond that, the distribution logic indicated in the document will follow. In the event that Sicuritalia suffers a reduction in the services currently performed, which is not compensated by the awarding of new assignments of at least equivalent value, the companies comprising the ATI commit to compensate for this reduction with users falling under the Intercent-ER agreement in the first available province, respecting the necessary technical times and subject to the client's consent. It is understood that</w:t>
      </w:r>
    </w:p>
    <w:p>
      <w:r>
        <w:t>BULLETIN NO. 50 OF DECEMBER 16, 2019 53</w:t>
        <w:br/>
        <w:t>Sicuritalia will bear the costs of the resources employed in those services as provided by the CCNL118.</w:t>
        <w:br/>
        <w:t>124. This last pact derives from the negotiations established between Sicuritalia and Coopservice, already present in the distribution of 2013 and described above119.</w:t>
        <w:br/>
        <w:t>125. Regarding the Intercent-ER tenders, the email from January 2016, found at Sicuritalia, with the subject "Coopservice," states: "Do you have any updates?". The response is: "Still nothing. To mediate, I proposed to mix three concessions that they could grant us:</w:t>
        <w:br/>
        <w:t>- part in tariff share (requested 0.70)</w:t>
        <w:br/>
        <w:t>2) - part of subcontracting (requested 1M)</w:t>
        <w:br/>
        <w:t>3) - Part as greater volumes (imbalance of ATI shares) in the Sardinia region. I await responses by tomorrow. Obviously, I also asked for rates in Rome. [Coopservice N.d.R.] might call you on the subject. I explained to them that, despite the great respect we have for them (Intercent-ER Emilia Romagna in general), they cannot consider themselves exempt from competition and close entire regions. What we ask is to form a partnership"120.</w:t>
        <w:br/>
        <w:t>126. In another internal email dated February 23, 2017, Coopservice comments on some requests from Sicuritalia to continue providing armed services under the agreements established under the Intercent-ER tender. Coopservice evaluates the possibility of leaving some fiduciary services to Sicuritalia in subcontracting, while noting that "in the ATI there is already someone providing concierge services without the need for subcontracting, and that is Coopservice." The same document states: "Hi [omitted], I discussed with [omitted] and we agreed that we cannot do anything other than leave them in subcontracting. In fact, there are shareholders' agreements that indisputably state that each party has the right to continue what they have in their portfolio, and regarding the concierge services, it was decided to indicate it also with the possibility of subcontracting it precisely to have more freedom of movement. In fact, we could also decide to award it to our Coopservice Servizi Fiduciari"121.</w:t>
        <w:br/>
        <w:t>127. Also noteworthy is the document, described more extensively below, in which Sicuritalia indicates contracts that Coopservice must transfer to it by sending a file titled "clients to be passed for Intercent-ER"122.</w:t>
        <w:br/>
        <w:t>V.2.5 The Atac tender</w:t>
        <w:br/>
        <w:t>128. Atac announced, on February 27, 2015, a tender for the awarding of armed security and concierge services at Atac locations. The tender was divided into lots as indicated below. For each lot, the technical and economic-financial capacity requirements were specified.</w:t>
        <w:br/>
        <w:t>118 See doc. 3450.</w:t>
        <w:br/>
        <w:t>119 See doc. 3445 and 3446.</w:t>
        <w:br/>
        <w:t>120 See doc. 2499.</w:t>
        <w:br/>
        <w:t>121 See doc. 3599 where it states "... we must decide based on the Agreement whether to maintain the service with Sicuritalia or take it ourselves. The concierge services are among those that can be subcontracted; in this case, being a share much lower than 30%, it could be subcontracted to Sicuritalia Servizi Fiduciari, but in the ATI there is already someone providing concierge services without the need for subcontracting, and that is Coopservice, let's discuss it if possible by tomorrow morning because I absolutely need to send the minutes by tomorrow, otherwise the Region cannot place the Order in time, bye."</w:t>
        <w:br/>
        <w:t>122 See doc. 2498.</w:t>
      </w:r>
    </w:p>
    <w:p>
      <w:r>
        <w:rPr>
          <w:b/>
        </w:rPr>
        <w:t>[Pages 52–54]</w:t>
      </w:r>
    </w:p>
    <w:p>
      <w:r>
        <w:t>54 BULLETIN NO. 50 OF DECEMBER 16, 2019</w:t>
        <w:br/>
        <w:t>Table 32 - Atac Tender: synoptic framework</w:t>
        <w:br/>
        <w:t>Source: doc. 3728</w:t>
        <w:br/>
        <w:t>Table 33 - Atac Tender: technical-financial capacity requirements.</w:t>
        <w:br/>
        <w:t>Source: doc. 3728</w:t>
        <w:br/>
        <w:t>129. The tender was awarded on April 29, 2016, to the RTIs composed of Italpol, Security Services, and Coopservice (Lot 1) and Italservizi 2007, Security Services, National Services, and Sicuritalia (Lot 2). As seen from Table 34, for both lots, the winning RTI offered an overall discount well below that proposed by the direct competitor (0.80% compared to 22.9% in Lot 1 and 0.18 in Lot 2, of the competing offer) and managed to win the service only due to the significant advantage obtained in the evaluation of the technical offer.</w:t>
      </w:r>
    </w:p>
    <w:p>
      <w:r>
        <w:t>BULLETIN NO. 50 OF DECEMBER 16, 2019 55</w:t>
        <w:br/>
        <w:t>Table 34 - Atac Tender: offer scores and outcome</w:t>
        <w:br/>
        <w:t>Source: docs. 3728 and 3840</w:t>
        <w:br/>
        <w:t>130. The tender was also participated in, for Lot 1, by an RTI formed by Città di Roma Metropolitane Soc. Coop. and Secupool Group S.r.l.; for Lot 2, International Security Service Vigilanza S.p.a; RTI composed of C.G.S. General Service Soc. Coop and Sipro Sicurezza Professionale S.r.l. Unipersonale.</w:t>
        <w:br/>
        <w:t>131. Italpol therefore participated in both lots in different ways: in the first lot with Coopservice and in the second lot, through the company Italservizi 2007, with Sicuritalia.</w:t>
        <w:br/>
        <w:t>132. Regarding the ATAC 2015 tender, an agreement was found between Italpol, Italservizi 2007123, and Sicuritalia in which the following terms are reported:</w:t>
        <w:br/>
        <w:t>123 It is noted that Italservizi 2007 was, at the time, controlled by the same individuals who controlled Italpol (C.N. and D.G., the latter at the time Administrator of both companies).</w:t>
      </w:r>
    </w:p>
    <w:p>
      <w:r>
        <w:t>56 BULLETIN NO. 50 OF DECEMBER 16, 2019</w:t>
        <w:br/>
        <w:t>Figure 4 - Extract from the ATAC tender agreement of January 26, 2016</w:t>
        <w:br/>
        <w:t>Source: extract doc. 2606</w:t>
        <w:br/>
        <w:t>133. The agreement therefore provides for Sicuritalia's participation in only Lot 2, in RTI with Italservizi, contemplating two hypotheses:</w:t>
        <w:br/>
        <w:t>1) in the case of awarding only Lot 2, Sicuritalia will perform 100% of the armed security services of the lot;</w:t>
        <w:br/>
        <w:t>2) in the case of awarding only Lot 1, Italpol undertakes to subcontract 75,000 hours of armed security for Lot 1 to Sicuritalia;</w:t>
        <w:br/>
        <w:t>3) in the case of awarding both lots, Italpol will assign 100% of the armed security services of Lot 2 plus 20,000 hours of armed security on Lot 1.</w:t>
        <w:br/>
        <w:t>134. As indicated by the information provided by Italpol and Sicuritalia, the subcontracting has been executed124.</w:t>
        <w:br/>
        <w:t>135. The redistributive logic thus clearly emerges where one observes the absolute "strangeness" of the agreement, which provides that Italpol subcontracts to Sicuritalia (in an evident logic of compensation) more hours in the case of winning only one lot.</w:t>
        <w:br/>
        <w:t>136. Coopservice, another member of the RTI led by Italpol that participated in Lot 1, is not exempt from this redistributive logic. In fact, regarding this procedure, some minutes of the executive committee of Coopservice indicate, "ATAC ROMA We won the tender in ATI with</w:t>
        <w:br/>
        <w:t>124 Cf. docs. 3746 and 3747.</w:t>
      </w:r>
    </w:p>
    <w:p>
      <w:r>
        <w:rPr>
          <w:b/>
        </w:rPr>
        <w:t>[Pages 55–57]</w:t>
      </w:r>
    </w:p>
    <w:p>
      <w:r>
        <w:t xml:space="preserve">BULLETIN NO. 50 OF DECEMBER 16, 2019 57  </w:t>
        <w:br/>
        <w:t xml:space="preserve">Italpol at a rate for security services exceeding €20»125; «ATAC We have requested feedback from Italpol regarding the doubling of the services entrusted to us (as provided for by the agreements)»126; «ATAC In September, we will meet again with Italpol to define the doubling of the services entrusted to us»127 and «ATAC – ROME The doubling of the services entrusted by Italpol is anticipated»128.  </w:t>
        <w:br/>
        <w:t xml:space="preserve">137. It is evident, therefore, that in this case there is also a commercial relationship based on collusive considerations of mutual and reciprocal collaboration - and not on real needs for service execution - in which the guiding criterion for the distribution of the same is not the pursuit of efficiency but rather the maintenance of balances on the overall quantities of services entrusted to the Parties, defined within agreements that accompany the founding acts of the groupings, often linked to the very outcome of the awards.  </w:t>
        <w:br/>
        <w:t xml:space="preserve">V.3 Further evidence on the relationships between the parties in the proceedings  </w:t>
        <w:br/>
        <w:t xml:space="preserve">138. In addition to the evidence regarding the tenders mentioned above, during the inspections, further documents were acquired that testify to the behavior of the Parties in the market, in which relationships seem confirmed that identify collaboration as an efficient and profitable way to avoid competitive confrontation.  </w:t>
        <w:br/>
        <w:t xml:space="preserve">139. The elements can be distinguished into agreements for participation in specific procedures (such as some pre-tender agreements already seen) that highlight an overall relationship of "non-belligerence" between the Parties, even if often expressed bilaterally, and compensation relationships.  </w:t>
        <w:br/>
        <w:t xml:space="preserve">140. Significant in this regard is a document concerning a tender “Allianz” which, although quite dated, exemplifies well the underlying logic of how the companies managed their relationships with each other. In fact, an email dated December 17, 2009, internal to IVRI, was found, with recipients including Sicuritalia, in which it reads: «Hi Andrea, I am updating you, as you requested, on the matter in question. Yesterday, after discussing several times with [Sicuritalia N.d.R.] (who is copied on this), I communicated the proposed rates in the tender offer both for the Concierge (11.40 euros per hour) and for the armed service in Rome (19.40 euros per hour), and we agreed that he will prepare and send me today a proposal for "possible exchange of contracts" with such parameters and indications:  </w:t>
        <w:br/>
        <w:t xml:space="preserve">1) if we were to lose the Allianz contract for the connections, the "return" of the same.  </w:t>
        <w:br/>
        <w:t xml:space="preserve">2) conversely, he will propose an exchange of services with similar values in the areas where we are present, I suggested Milan with armed services.  </w:t>
        <w:br/>
        <w:t xml:space="preserve">I therefore await his written response which we will analyze together, as I hope for a meeting with [Sicuritalia N.d.R.] to define a "more appropriate and correct" course of action for the near future»129.  </w:t>
        <w:br/>
        <w:t xml:space="preserve">141. From the document, it emerges, therefore, the absolute annulment of competition between the Parties who agree to divide the services regardless of the outcome of the tender.  </w:t>
        <w:br/>
        <w:t xml:space="preserve">125 Cfr. doc. 3555, minutes of November 26, 2015.  </w:t>
        <w:br/>
        <w:t xml:space="preserve">126 Cfr. doc. 3610 minutes of October 27, 2016.  </w:t>
        <w:br/>
        <w:t xml:space="preserve">127 Cfr. doc. 3554, minutes of August 25, 2016.  </w:t>
        <w:br/>
        <w:t xml:space="preserve">128 Cfr. doc. 3575 minutes of April 19, 2017.  </w:t>
        <w:br/>
        <w:t xml:space="preserve">129 Cfr. doc. 413. Similarly, see documents no. 39 (De Agostini) and 40 (Enel), which report similar agreements between Sicuritalia and Allsystem dated May 11 and July 29, 2016. It appears that the De Agostini tender was not awarded to either Sicuritalia or Allsystem and the Enel tender was canceled.  </w:t>
        <w:br/>
        <w:t xml:space="preserve">58 BULLETIN NO. 50 OF DECEMBER 16, 2019  </w:t>
        <w:br/>
        <w:t xml:space="preserve">142. It is also noted an email exchange between Coopservice and IVRI from December 2016 in which the former writes to IVRI complaining about the loss of a client and from which the existence of agreements aimed at maintaining mutual clientele emerges, as well as hypotheses to restore the "violated" balance: «below you find the outcome of the negotiation, which I mentioned to you a few days ago, regarding the client in question served partly by us and partly by you. Naturally, the goal was for each to maintain their own according to precise agreements that we have consistently respected and that [IVRI N.d.R.] has disregarded. I am very sorry. I ask for your intervention to verify the possibility of recovering the situation»130. Subsequently, in an internal email to Coopservice, it reads: «I met [IVRI N.d.R.] in Iren Parma on 29.12 and in response to my request for explanations, he replied that he limited himself to applying the rate he has used on other occasions, for extra requests in Parma and also for Crown sites in the south (?). He was annoyed because the INAIL concierges in RE and PR that they were doing have passed to us under the Consip agreement, while he would have preferred them to go to Intercent-ER so that they would remain with him. I pointed out that it is only 100 hours per month for each of the two locations while in Crown Calerno there are 450 hours per month, well paid, that we will lose with major problems of repositioning the two concierges. […] He asked me how we plan to proceed for the IREN tender and I replied that it is being followed by our Tender Office with the Management, so it is likely that he will contact you»131.  </w:t>
        <w:br/>
        <w:t xml:space="preserve">143. Regarding the "compensation" relationships, numerous documents have been examined in which reciprocal exchange relationships with competitors emerge, both within the so-called network132 and outside of it.  </w:t>
        <w:br/>
        <w:t xml:space="preserve">144. In fact, a series of elements have been found in which an intertwining of reciprocal awards interests both public and private contracts, and is largely based on the instrument of subcontracting and/or ATI (in public contracts and, where provided, in private ones) and on the aforementioned network system.  </w:t>
        <w:br/>
        <w:t xml:space="preserve">145. The generalized recourse to this network of reciprocal awards generates an imbalance, either active or passive, in the "trade balance" of each operator, a circumstance that, in turn, determines the need for operators to rebalance the system through what the Parties define as "compensation."  </w:t>
        <w:br/>
        <w:t xml:space="preserve">146. What distinguishes the system of work exchange is the "transversal" and, consequently, compensatory aspect of this practice. In fact, companies, in communications concerning the exchange of work, normally refer to a series of movements of debit/credit to be compensated even in different tenders, already won, or of presumed future award, both public and private133.  </w:t>
        <w:br/>
        <w:t xml:space="preserve">147. The instrument to formalize the work exchange agreements is usually a private writing between the Parties134. It is interesting to note how the private writing does not only include a commitment, in the event of winning a certain tender, to provide a certain quantity of work or services (e.g., in subcontracting). The scope of the private writings is often broader and includes a series of conditions based on logics foreign to those of competitive confrontation as it prescinds from the actual need to be able or not to entrust a certain service but appears rather aimed exclusively at maintaining balances.  </w:t>
        <w:br/>
        <w:t xml:space="preserve">148. Of particular relevance, in this context, is the agreement between Allsystem and Sicuritalia attached to an email between the aforementioned Parties dated October 19, 2017, which states: whereas «the Parties have defined important collaboration projects for the provision of security and concierge services in favor of primary clients for the three-year period 2017/2019;  </w:t>
        <w:br/>
        <w:t xml:space="preserve">- That Allsystem, within the framework of the aforementioned agreement intends to entrust Sicuritalia with the performance of services related to security and concierge, defining with this writing the terms of collaboration […] Allsystem with this agreement commits to entrust Sicuritalia security and concierge services for an annual turnover of €1,550,000.00 […] In the event that Allsystem does not comply, even partially, with the total hours provided in the previous point, for reasons attributable to it, the latter will recognize Sicuritalia the amount of €300,000.00 as a penalty»135.  </w:t>
        <w:br/>
        <w:t xml:space="preserve">149. In correspondence between Sicuritalia and Allsystem dated July 28, 2017, the latter attaches a spreadsheet indicating some services divided by region, type of service, and value (for a total of €915,552.00) specifying that «the attachment represents a first indication regarding the activities that could be the subject of Compensation. If there are any impediments on your part, please let us know. For other positions, it is necessary to involve the Clients and the season is not among the most favorable. Upon achieving the objective, if not otherwise achievable, we could remedy by redefining the Allsystem perimeter in Trenord and ARCA»136.  </w:t>
        <w:br/>
        <w:t xml:space="preserve">133 Numerous documents testify to the exchange of work. In doc. 3600, for example, Allsystem asks Coopservice for the availability to carry out about 17,000 hours of work in 36 months within a certain contract (not specified in the document), in case Allsystem were to win it. Coopservice specifies that «I report below the offer from Allsystem in case they win the tender. In Chieti, there are about 8,000 hours of gpg and about 4,000 hours of O.F. in three years without a change of contract. In Chieti, they have included IVRI as a partner but they could still pass it to us under the same conditions as Forlì. Eventually, it could be one of our conditions». In response, it reads: «Hi …, having heard … we would be inclined to give our availability on the condition that we are also entrusted with the services in Chieti».  </w:t>
        <w:br/>
        <w:t xml:space="preserve">134 For example, in document 415, found at IVRI, internal email dated February 16, 2016, it reads: «I spoke with [Italpol N.d.R.] and he agrees to leave the emergency response to Ivri and to compensate with other services, all to be regulated with a specific private writing». It then refers to subsequent agreements with Italpol aimed at "compensating" through other services the fact of entrusting IVRI with a certain service not further specified.  </w:t>
        <w:br/>
        <w:t xml:space="preserve">135 Cfr. doc. 170.  </w:t>
        <w:br/>
        <w:t xml:space="preserve">136 See doc. 174. See also doc. 2588, email from Sicuritalia to Allsystem dated March 1, 2018, which seems to be another application of the aforementioned agreement in which it reads: «as per agreements, the following must be activated (three-year duration):  </w:t>
        <w:br/>
        <w:t xml:space="preserve">Starting April 1:  </w:t>
        <w:br/>
        <w:t xml:space="preserve">• Contract 3-4-5-9-12-13-14-16 for a total of about €420,000  </w:t>
        <w:br/>
        <w:t>• 50% of contract 10 for a total of about €390,000 (This share from the Lombardy Region is additional to the % of ATI of Sicuritalia)</w:t>
      </w:r>
    </w:p>
    <w:p>
      <w:r>
        <w:rPr>
          <w:b/>
        </w:rPr>
        <w:t>[Pages 58–60]</w:t>
      </w:r>
    </w:p>
    <w:p>
      <w:r>
        <w:t>60 BULLETIN NO. 50 OF DECEMBER 16, 2019</w:t>
      </w:r>
    </w:p>
    <w:p>
      <w:r>
        <w:t>150. Also with reference to the compensations linking the Parties and the tenders in question, an internal email from Sicuritalia dated September 14, 2016, titled “Clients to be transferred to Intercent-ER sent on 12_09_16.xls,” is relevant, containing an attachment of the same title. The email states: “... please call [Coopservice N.d.R.], they need to transfer this work to us, negotiate the rates well and start the services as soon as possible”137. The content of the attached file is shown in the following figure.</w:t>
      </w:r>
    </w:p>
    <w:p>
      <w:r>
        <w:t xml:space="preserve">Table 35 - Clients to be transferred to Intercent-ER.  </w:t>
        <w:br/>
        <w:t>Source: doc. 2498</w:t>
      </w:r>
    </w:p>
    <w:p>
      <w:r>
        <w:t xml:space="preserve">151. A series of interesting pieces of information for understanding the compensation system comes from the minutes of the so-called Executive Committees held by Coopservice on a more or less monthly basis, which account for the ongoing contracts with competitors. In a minute from January 28, 2016, it states: “SICURITALIA The possibility of entrusting us with services in Rome for Deutsche Bank and Credito Valtellinese is emerging from February 2016”138. In a minute from February 24, 2016, it states: “SICURITALIA They have entrusted us with services for Credito Valtellinese in Latina and Frosinone; we are awaiting the assignment of other services in Rome”139. In a minute from August 25, 2016, it states: “SICURITALIA  </w:t>
        <w:br/>
        <w:t xml:space="preserve">Starting from May 1:  </w:t>
        <w:br/>
        <w:t xml:space="preserve">• Contract 6-7-8-11 for a total of approximately €128,000  </w:t>
        <w:br/>
        <w:t xml:space="preserve">• 50% of contract 10 for a total of approximately €390,000 (This share from the Lombardy Region is additional to the % of ATI of Sicuritalia)  </w:t>
        <w:br/>
        <w:t>The total amounts to approximately €1,300,000; about €300,000 is missing for which I would ask you to indicate which services you could activate.” Allsystem responds: “Perfect, here’s how we will proceed: we will start from station 16 and as we can take over, we will send you the contract with the effective date (unfortunately we have already had problems with the client who was supposed to start in October 2017) after the signature we will start the services you forgot point 15... the value of €1,661,000 is higher than necessary (i.e., €1,400,000.00) anyway, I would say to start... as soon as ready we will send the first contract... a few days because [omissis] is busy with a big tender...”. Sicuritalia responds: “[Allsystem N.d.R.], we cannot take Abruzzo... what big tender?” and “I meant that it is not €1,661,000 because we cannot take Abruzzo. It really needs to be explained everything!!”.</w:t>
      </w:r>
    </w:p>
    <w:p>
      <w:r>
        <w:t xml:space="preserve">137 Cf. doc. 2498.  </w:t>
        <w:br/>
        <w:t xml:space="preserve">138 Cf. doc. 3558.  </w:t>
        <w:br/>
        <w:t>139 Cf. doc. 3550.</w:t>
      </w:r>
    </w:p>
    <w:p>
      <w:r>
        <w:t>BULLETIN NO. 50 OF DECEMBER 16, 2019 61</w:t>
      </w:r>
    </w:p>
    <w:p>
      <w:r>
        <w:t xml:space="preserve">- We have reached an agreement to carry out cash transport services for CARIGE in Rome, Latina, and Frosinone; we will start operations.  </w:t>
        <w:br/>
        <w:t>- They have confirmed their interest in transferring the €10 million cash transport revenue, of which 80% is entrusted to third parties. The operation could be interesting for us especially to rebalance the exchange of services with other operators”140.</w:t>
      </w:r>
    </w:p>
    <w:p>
      <w:r>
        <w:t>152. Similarly for Italpol, in the minutes of March 1, 2017, it states: “ITALPOL VIGILANZA ROMA has won the SKY contract and has entrusted us with services in Sassari, in addition to the surveillance of vehicles for the recording of contracted football matches, starting with those of Sassuolo in Reggio Emilia”141. In the minutes of March 30, 2017, it states: “ITALPOL VIGILANZA ROMA We are awaiting the formal assignment of services for SKY; with the definition of the rates, including the tele-alarm”142.</w:t>
      </w:r>
    </w:p>
    <w:p>
      <w:r>
        <w:t>153. From the elements on file, it has emerged that the compensation system links the companies involved in the proceedings and is also used as a tool to guide the behavior of partners in the market. In this sense, a series of emails indicating some disputes between IVRI and Sicuritalia are telling143. In particular, for example, in 2014 IVRI hypothesizes “attacking” some clients of Sicuritalia in order to lead it to “sit around a table”144. During the same period, Sicuritalia begins to question “clients to take away from IVRI”145. In an internal email to Sicuritalia from 2015, for example, it states: “I called [IVRI N.d.R.] the one with whom I was making the agreement. He was very embarrassed and upset... about the behavior of his... anyway, in substance, it is war, even if not declared... but creeping, as is their usual way [...]. I believe we must 1) immediately open branches in Palermo and Catania; 2) Take Telecom away from them... 6) Heavily attack them on Mediaset”146. In response to this email, it states: “... we will gradually start taking away some of their work. We will monitor the reactions. We will see what we save by taking away work from them and what we lose if they take away what they give us...” and “let’s prepare the licenses for NA, PA, and CT, we will gradually start internalizing the services, without violent breaks, in the meantime, let’s see if they intend to balance the accounts on the assignments”147.</w:t>
      </w:r>
    </w:p>
    <w:p>
      <w:r>
        <w:t>154. The “commercial” function of mutual assignments is also highlighted in the internal minutes of Coopservice. In the minutes from August 2015 (doc. 3557): Coopservice titles a section of the minutes “EXCHANGE WITH COMPETITORS” and specifies that “On approximately €130 million in revenue, our Line receives service assignments from third parties for about €15 million and assigns for €5; a ratio that therefore should be rebalanced to give us greater bargaining power, developing acquisitions as a Network”148.</w:t>
      </w:r>
    </w:p>
    <w:p>
      <w:r>
        <w:t>155. These documents highlight how a substantial part of the bargaining power of the Parties is constituted by the active and passive position in the “trade balance” of the exchange of work.</w:t>
      </w:r>
    </w:p>
    <w:p>
      <w:r>
        <w:t>156. From the minutes of February 2016 (3550), it emerges that Sicuritalia has entrusted Coopservice with a series of services and that Coopservice expects further assignments. In the minutes of the Executive Committee of Coopservice from August 2016, it states: “SICURITALIA: We have reached an agreement to carry out cash transport services for CARIGE in Rome, Latina, and Frosinone; we will start operations. They have confirmed their interest in transferring the €10 million cash transport revenue, of which 80% is entrusted to third parties. The operation could be interesting for us especially to rebalance the exchange of services with other operators”149.</w:t>
      </w:r>
    </w:p>
    <w:p>
      <w:r>
        <w:t>VI. ANTITRUST COMPLIANCE PROGRAMS</w:t>
      </w:r>
    </w:p>
    <w:p>
      <w:r>
        <w:t>157. During the proceedings, all Parties - except for Allsystem - presented compliance programs, defined and implemented following the initiation of the proceedings.</w:t>
      </w:r>
    </w:p>
    <w:p>
      <w:r>
        <w:t>158. Coopservice adopted its compliance program on May 25, 2018, sending it to the Authority on March 14, 2019. Coopservice communicated that it had adopted specific antitrust guidelines sent to the staff, appointed the Antitrust Officer, and conducted specific training courses150, providing the relevant documentation.</w:t>
      </w:r>
    </w:p>
    <w:p>
      <w:r>
        <w:t>159. Italpol adopted the compliance program on February 25, 2019, sending it to the Authority on April 16, 2019. Italpol communicated that it had adopted specific antitrust guidelines sent to the staff, appointed the Antitrust Officer, and conducted specific training courses, providing the relevant documentation. Italpol also specified that it had established incentive systems aimed at encouraging compliance with antitrust regulations151.</w:t>
      </w:r>
    </w:p>
    <w:p>
      <w:r>
        <w:t>160. IVRI adopted the compliance program in July 2018, sending it to the Authority on April 9, 2019. IVRI communicated that it had adopted specific antitrust guidelines sent to the staff, appointed the Antitrust Officer, and conducted specific training courses, providing the relevant documentation152.</w:t>
      </w:r>
    </w:p>
    <w:p>
      <w:r>
        <w:t>161. Sicuritalia adopted the compliance program in July 2018, sending it to the Authority on April 16, 2019. Sicuritalia communicated that it had adopted specific antitrust guidelines sent to the staff, appointed the Antitrust Officer, and conducted specific training courses, providing the relevant documentation153.</w:t>
      </w:r>
    </w:p>
    <w:p>
      <w:r>
        <w:rPr>
          <w:b/>
        </w:rPr>
        <w:t>[Pages 61–63]</w:t>
      </w:r>
    </w:p>
    <w:p>
      <w:r>
        <w:t>BULLETIN NO. 50 OF DECEMBER 16, 2019 63</w:t>
      </w:r>
    </w:p>
    <w:p>
      <w:r>
        <w:t>162. Allsystem submitted a compliance program on September 24, 2019.154 Allsystem communicated that it implemented the program starting from June 21, 2019. Allsystem reported that it adopted specific antitrust guidelines sent to the staff, appointed the Antitrust Officer, and conducted specific training courses, providing the relevant documentation.</w:t>
      </w:r>
    </w:p>
    <w:p>
      <w:r>
        <w:t>VII. THE POSITION OF THE PARTIES</w:t>
      </w:r>
    </w:p>
    <w:p>
      <w:r>
        <w:t>163. All companies involved in the contested agreement, except for Coopservice155, were heard in a hearing and submitted responses to the questions posed by the Offices to which they were unable to respond during the hearing156. Axitea, an intervenor, was also heard in the hearing. All companies submitted statements and were heard in the final hearing before the Panel.</w:t>
      </w:r>
    </w:p>
    <w:p>
      <w:r>
        <w:t>VII.1 The position of Axitea</w:t>
      </w:r>
    </w:p>
    <w:p>
      <w:r>
        <w:t>164. Axitea, regarding the geographical operations of security companies, observed that "in this sector, prior to the 2010 reform, geographical location was very important because operating licenses, in the context of armed security, were provincial. [...] after the reform established by D.M. 269/2010, the geographical location of the company has become less important. Now, in fact, the authorization, still provincial, must be requested from the prefectural office where the company's legal headquarters is located. If the company intends to operate in other provinces, it must always refer to the office of the legal headquarters requesting a geographical extension of its authorization, which is provided in much shorter times than in the past. Additionally, often, tender notices provide the possibility to participate in the selection by expressing the intention to request the license in a specific geographical area. It should also be noted that currently, the issuance of the license is subject to fewer constraints than before, even in terms of the local location of branches"157.</w:t>
      </w:r>
    </w:p>
    <w:p>
      <w:r>
        <w:t>165. Regarding the issues encountered in the security sector, Axitea noted "that it has found that when the award of the service occurs using the criterion of the economically most advantageous offer, within the evaluation of the technical offer, significant weight can be given to the overall organization of the participants, understood as a set of means, headquarters, number of vehicles, etc. In this perspective, aggregation in ATI involving large companies creates a disadvantage for companies that participate alone or that aggregate, in a pro-competitive perspective, with smaller companies. The ATI should serve, in fact, to compensate for the lack of certain skills or to supplement the limited territorial extension, while a disproportionate aggregation necessarily implies an unjustified competitive advantage"158.</w:t>
      </w:r>
    </w:p>
    <w:p>
      <w:r>
        <w:t>166. Regarding pre-tender agreements, following a specific question from the offices about the stipulation of agreements with future possible subcontractors in which they commit not to participate in the tender, Axitea reported that it had never entered into such types of agreements, excluding that they are a practice in the market159.</w:t>
      </w:r>
    </w:p>
    <w:p>
      <w:r>
        <w:t>VII.2 General considerations on the sector</w:t>
      </w:r>
    </w:p>
    <w:p>
      <w:r>
        <w:t>167. Moving on to analyze the position of the companies involved in the agreement, firstly, they highlighted the differences between the demand represented by the Public Administration and that of private entities, while at the same time emphasizing the operational difficulties of the sector largely due to the reference regulations, the complexities of requesting a license extension, despite the 2010 reform, and the reduced margins160.</w:t>
      </w:r>
    </w:p>
    <w:p>
      <w:r>
        <w:t>168. Regarding the possibility of requesting an ad hoc license extension on the occasion of participating in a single tender, the Parties, while admitting such a possibility, denied ever having requested an extension solely for that purpose, stating instead that the extension of operations is always part of a broader expansion plan161. The Parties also all emphasized the difficulties of the procedure for obtaining a license extension which, despite the improvements recorded following the reform, does not necessarily lead to a positive outcome. This also creates a certain risk in submitting applications to participate in tenders by attaching only the license application, as it may happen that it is not issued162.</w:t>
      </w:r>
    </w:p>
    <w:p>
      <w:r>
        <w:t>169. The difficulties mentioned above are, according to the Parties, the main reason that, in public tenders, necessitates resorting to the RTI for participation in a tender. Additionally, based on what was stated, the extension of the license involves the adoption of a series of significant investments that would not be justifiable solely in relation to participation in a single tender.</w:t>
      </w:r>
    </w:p>
    <w:p>
      <w:r>
        <w:t>170. Coopservice also highlighted the particularity of its situation regarding "the need to protect its nature as a cooperative of production and work with predominant mutuality and the need to consider its nature as a multi-business economic operator and, therefore, to respect internal balances between the various lines that provide different services, in terms of the amount of investments and the ratio between investments and predictable revenues"163.</w:t>
      </w:r>
    </w:p>
    <w:p>
      <w:r>
        <w:t>171. All Parties have, therefore, emphasized that, in cases where a tender requires a service extended to a territorial area not covered by the company, it must resort to the RTI institution for participation in a tender. In this perspective, "participation in RTI is therefore an economically rational choice when the company does not have the necessary licenses to operate in the territorial areas required by the tender"164.</w:t>
      </w:r>
    </w:p>
    <w:p>
      <w:r>
        <w:t>172. The Parties then all offered personal justifications for the behaviors adopted in the context of individual tenders. For clarity of exposition, the individual justifications will be summarized below, dividing them based on the contested tenders to which they refer.</w:t>
      </w:r>
    </w:p>
    <w:p>
      <w:r>
        <w:t>VII.3 Arca 2016 Tender (and subsequent Arca 2017 Tender)</w:t>
      </w:r>
    </w:p>
    <w:p>
      <w:r>
        <w:t>173. Regarding the Arca 2016 tender, Allsystem stated that "until 2017, it was not active in the field of concierge services (unarmed security or fiduciary services). This often justified participation in RTI with other companies where such service was also required (as in the case of the Arca tenders). It should also be emphasized that, to cope with so-called 'peaks' (exceptional and unpredictable requests for personnel beyond the average in a given period), the Company may need to associate in RTI with large companies, which can help meet such sudden personnel requests"165. In the final statement166, the Company, in addition to reiterating that it could not have participated individually in the procedure, emphasized that the outcome of the tender would have been more than satisfactory, citing some points of the award proposal of the tender, in which the contracting authority expresses "a positive judgment both from a qualitative and economic point of view"167.</w:t>
      </w:r>
    </w:p>
    <w:p>
      <w:r>
        <w:t>174. IVRI and Italpol, on the other hand, stated the necessity of associating in RTI for participation in the tender as they did not possess a required technical-professional capacity requirement from the tender notice (SOA OS30). This requirement would have been possessed exclusively by Sicuritalia, which would justify the aggregation with that company168.</w:t>
      </w:r>
    </w:p>
    <w:p>
      <w:r>
        <w:t>175. Both IVRI and Italpol also highlighted the operational complexities related to participation in Lot 1. Italpol, in particular, emphasized that "the aggregation in RTI allowed the Parties to formulate a very attractive technical and economic offer. Regarding the price, for example, an offer of €19.20 per hour was formulated, a very low price that Italpol usually does not practice and that it certainly would not have been able to offer participating individually"169. In the final statement, Italpol also stated that, based on an analysis,</w:t>
      </w:r>
    </w:p>
    <w:p>
      <w:r>
        <w:rPr>
          <w:b/>
        </w:rPr>
        <w:t>[Pages 64–66]</w:t>
      </w:r>
    </w:p>
    <w:p>
      <w:r>
        <w:t>66 BULLETIN NO. 50 OF DECEMBER 16, 2019</w:t>
        <w:br/>
        <w:t>internal costs, their impact "on the contract would not have allowed for the formulation of a competitive offer. In fact, considering the cost of personnel, estimated at [omissis] euros, the necessary cost to equip oneself with the communication infrastructures required for the provision of the service estimated at [omissis] euros, and the annual cost of management support services estimated at [omissis] euros, and considering an adequate profit margin equal to [omissis] - in the entirely hypothetical case where Italpol could have participated alone in the tender limited to the lots on which the RTI in question offered - it would have presented an overall economic offer equal to [omissis] euros, that is, an offer higher by [omissis] compared to that proposed by the RTI being discussed here, which was instead equal to [omissis]"170. This is to support that the RTI "has certainly had pro-competitive effects as it was possible to formulate very aggressive offers, with discounts that - in 9 cases out of 1[1] - were higher than those offered by competitors, with undeniable economic advantages for the contracting authority..."171.</w:t>
      </w:r>
    </w:p>
    <w:p>
      <w:r>
        <w:t>176. For Sicuritalia, participation in RTI is economically rational "when the tender requires a significant entrepreneurial effort, such that it cannot be satisfied independently by the company. This is the case, for example, of the Arca tenders (Lot 1) and Expo. In the case of individual participation, even assuming a change of contract, the company, to absorb, manage, and coordinate such a number of GPG would have had to equip itself with additional corporate resources incurring higher structural costs with a consequent complete erosion of the already reduced gross operating margin, unless increasing the price during the tender with evident damage to the contracting authority"172.</w:t>
      </w:r>
    </w:p>
    <w:p>
      <w:r>
        <w:t>177. Regarding participation in RTI for the remaining 11 lots, which are significantly smaller, Allsystem, Sicuritalia, IVRI, and Italpol stated that "to participate in the first lot, the parties of the RTI entrusted an external company with the drafting of a very complex and costly technical report. This project could not be used, at the time of submitting the offers, by all the companies individually, even in the other lots, and this necessitated associating even in the remaining smaller lots"173. For Italpol, "...the fundamental choice was to participate in RTI for Lot 1, participation in the other lots was conditioned by the grouped participation in Lot 1 which allowed for the pooling of a series of things, including the technical project and the SOA certification, not held by Italpol. In any case, the Parties decided to participate in ATI for the entire tender, if such participation is lawful and not excessive, for the reasons listed above, this applies to all lots..."174. In the final submissions, Italpol states that "although the tender specifications provided, in art. 2.1, for the prohibition of participating in different forms or with different groupings not with reference to the tender as a whole, but with reference to the single lot, Italpol has always considered the tender as a whole (also considering the 'absorbing' capacity of Lot 1) and therefore applied that prohibition to all tender lots"175. In a partially opposite sense, Sicuritalia explains that "it is clear that each lot constitutes the elements of a different tender procedure and therefore a different competitive context [...] this is even more true in the specific case where it is entirely evident that, representing Lot 1 the vast majority of the services subject to the Arca 1 Tender and therefore of its overall value, at the time of deciding whether and how to participate in the Arca 1 tender, the companies looked almost exclusively at that lot, without paying particular attention to the others..."176.</w:t>
      </w:r>
    </w:p>
    <w:p>
      <w:r>
        <w:t>178. The Parties were specifically questioned regarding the existence and rationale of the provision, in the Arca 1 and Arca 2 tenders, of a true ATI and a fake ATI, as extensively described above. On this point, Allsystem first stated that it was not aware of the existence of a true ATI and a fake ATI177. In the final submissions, it clarified that "Allsystem has never reconstructed a fake ATI and, if anything, was only aware of the fact that on some lots (different from Lot 1) there would be a discrepancy between participation shares and execution shares, in accordance with what is provided by public procurement regulations, also taking into account the fact that at the time of submitting the application for participation there was no certainty regarding the actual issuance of the extension of the prefectural license even to carry out services in territories different from those in which Allsystem was active"178.</w:t>
      </w:r>
    </w:p>
    <w:p>
      <w:r>
        <w:t>179. Sicuritalia, IVRI, and Italpol, on the other hand, admitted the existence of a true ATI different from the fake ATI, providing various justifications in this regard. In particular, for Sicuritalia, "despite the names used, the reality of the matter presents itself in its banality: it was evident that, for the lots different from the Milanese one, not all the participants in the RTI could offer the service in the declared areas, but only where they had the licenses and/or sufficient operational capacity; this explains the discrepancy between participation shares in the RTI, in which all members of the same had to appear ('fake ATI'), and execution shares of the service ('true ATI'), peacefully admitted by administrative jurisprudence. [...] however, it specifies that this is an anomalous methodology not otherwise used by the Company"179.</w:t>
      </w:r>
    </w:p>
    <w:p>
      <w:r>
        <w:t>180. Similarly, for Italpol, "participation in the tender was guided by participation in Lot 1, not all participants were present in the same lot and were moreover well aware that the execution shares would be different from those communicated. [...] The shares of the 'true ATI' did not in fact foresee the participation of all in all lots. [...] a choice was made ab origine: the company participated in the entire tender in ATI but could not have participated individually because it did not possess the SOA and there was a need to develop a technical project in order to be competitive on the technical offer. Additionally, there was a need to maximize the economic result. [...] In Sondrio, for example, only one guard was required! Moreover, if participation in ATI is legitimate, linked to an industrial and commercial choice of the company, then the rest is irrelevant"180. For IVRI, "initially the companies, based on their operational capacity in the territory, think about how to divide the services within the ATI. This division can then change over time because perhaps, at the time of execution, a different division proves to be more efficient [...] by now jurisprudence has clarified that for service contracts it is no longer necessary to ensure compliance between participation shares and execution shares of the service"181.</w:t>
      </w:r>
    </w:p>
    <w:p>
      <w:r>
        <w:t>181. Italpol observed that "as for the mapping of previous consistencies referred to in point sub ii), it strongly contests the Offices' thesis that the average shares within the RTI would be aimed at maintaining the status quo. On this point, it is noted that from the documentation cited by the offices it is evident that Italpol's share in Lombardy was equal to 9.27%, and therefore far lower than the shares subsequently attributed to the company within the RTI. This demonstrates that the data relating to previous consistencies constituted only the starting point for the definition of the internal shares of the RTI..."182.</w:t>
      </w:r>
    </w:p>
    <w:p>
      <w:r>
        <w:t>182. For Sicuritalia, "given that it has been demonstrated that the RTI with which the four companies participated in Lot 1 of the Arca 1 Tender was fully justified by compelling reasons of efficiency and resulted in a significant benefit for the contracting authority, it does not obviously constitute a restriction of competition either by object or by effect - having had pro-competitive effects - and therefore cannot by definition integrate the elements of a violation of art. 101"183.</w:t>
      </w:r>
    </w:p>
    <w:p>
      <w:r>
        <w:t>VII.4 The Trenord Tenders</w:t>
        <w:br/>
        <w:t>183. Regarding the Trenord tender issued in 2014, all parties to the agreement heard in the hearing highlighted its complexity in terms of geographical extension and particularities of the services required, emphasizing the impossibility of participating individually in the tender184.</w:t>
      </w:r>
    </w:p>
    <w:p>
      <w:r>
        <w:t>184. Firstly, all Parties recalled the ruling of the TAR Lombardia 2870 of December 30, 2015, which would clear the field for any type of analysis on the conduct of the parties, being a ruling that has become final and has not established the existence of an agreement between the parties of the RTI. Italpol, for example, specified that "the TAR Lombardia ruled on the Trenord tender, establishing the 'non-excessive' nature of the ATI. This ruling has not been appealed and has therefore become final. On this tender, therefore, there would be a definitive ruling and the intervention of the Authority could result in a 'ne bis in idem'"185.</w:t>
      </w:r>
    </w:p>
    <w:p>
      <w:r>
        <w:rPr>
          <w:b/>
        </w:rPr>
        <w:t>[Pages 67–69]</w:t>
      </w:r>
    </w:p>
    <w:p>
      <w:r>
        <w:t>BULLETIN NO. 50 OF DECEMBER 16, 2019 69</w:t>
      </w:r>
    </w:p>
    <w:p>
      <w:r>
        <w:t>185. With respect to the other objections, Italpol, in its final submissions, stated that "the marginal operational presence of Italpol in the territory and on the services subject to the tender is consistently reflected in the act of establishment in ATI, which sees the company involved only in the Lombardy Region and limited to the province of Mantova, with a participation share of 10%. It is clear that if Italpol had had the opportunity to participate alone in the tender, it certainly would not have settled for such a marginal position within the ATI."186 It should be noted that, in reality, as described in fact, Mantova is the only Lombard province in which Italpol, Allsystem, IVRI, and Sicuritalia would not have provided their services, due to a previous agreement made between Sicuritalia and Coopservice, in which the former reserved that province for the latter.</w:t>
      </w:r>
    </w:p>
    <w:p>
      <w:r>
        <w:t>186. Regarding this agreement, Sicuritalia observed that "however suggestive, the offices' thesis is completely unfounded, […] the tender covered two provinces - not only Mantova but also Bologna - in which Coopservice was evidently the operator with greater operational capacity and therefore could have offered the service in the most efficient manner. This is the simple reason why Coopservice also participated in the RTI for the Trenord Tender."187 For Coopservice, this agreement "should not be classified […] as a pre-tender agreement to be understood as a pact of abstention or subcontracting in exchange for abstention, but rather as a harmless private writing that companies typically sign in the run-up to a tender when they intend to participate in ATI."188</w:t>
      </w:r>
    </w:p>
    <w:p>
      <w:r>
        <w:t>187. Coopservice emphasized its residual participation share (2.42%) which should have "led the offices to assimilate the position of the claimant to that of all the other companies included in the ATI, such as Vigilanza Provincia Sondrio and Mondialpol, whose position was not considered significant and impactful for their potential involvement."189</w:t>
      </w:r>
    </w:p>
    <w:p>
      <w:r>
        <w:t>188. IVRI stated that the private writing of July 25, 2014190 was not a partition agreement, but rather a necessary organizational agreement, made between the Parties after the publication of the tender notice and after reading the clarifications provided by Trenord, fully aware, therefore, of the services requested by the contracting authority.191</w:t>
      </w:r>
    </w:p>
    <w:p>
      <w:r>
        <w:t>189. Regarding the "Trenord 2" tender, issued in 2016, it is worth recalling IVRI's statement, which indicated that in that circumstance, since the requested service was only onboard train security, "IVRI presented itself with a smaller ATI that, however, did not win."192</w:t>
      </w:r>
    </w:p>
    <w:p>
      <w:r>
        <w:t>190. As previously highlighted, regarding the "Trenord 2" tender, a pre-tender agreement between Sicuritalia and Italpol was found during the inspection (see docs. 1608 and 1609). On this point, Italpol stated that "the agreement is poorly written and, despite its literal wording suggesting an illicit exchange in a do ut des logic (Italpol does not participate and in exchange obtains subcontracting from Sicuritalia), in reality, Italpol could not participate alone in the Trenord 2 tender.186 In fact, as already seen, Italpol's share (equal to 10%) included all the provinces of the Lombardy Region except for Mantova.187</w:t>
      </w:r>
    </w:p>
    <w:p>
      <w:r>
        <w:t>191. Therefore, the agreement is misleading because it seems to imply a voluntary choice by Italpol to withdraw from the competition when, in this case, it could not have participated in the tender due to the necessary prefectural licenses, the type of service, and the required resources […] in that case, it was a new service, a change of contract was not possible, and a subsidiary certification was required."193</w:t>
      </w:r>
    </w:p>
    <w:p>
      <w:r>
        <w:t>192. Regarding this agreement, Sicuritalia stated that "once clarified and demonstrated that the resources and contributions of all four companies were necessary to effectively provide the service required by the lex specialis […] the fact that Italpol then participated in this collective effort through subcontracting (rather than an RTI) becomes completely irrelevant for antitrust purposes, since, from a substantial point of view, resorting to the instrument of subcontracting allowed achieving the same result as participation in RTI, namely the possibility of utilizing the resources (also) of Italpol to provide the service required by the contracting authority."194 Sicuritalia also noted that the agreement would not have been signed, so "the effect of crystallizing the respective commitments never materialized."195</w:t>
      </w:r>
    </w:p>
    <w:p>
      <w:r>
        <w:t>VII.5 Expo Tenders</w:t>
      </w:r>
    </w:p>
    <w:p>
      <w:r>
        <w:t>193. With reference to the Expo tenders, it is worth first recalling the objections raised by the Parties regarding the contested RTI Allsystem, Sicuritalia, and IVRI, which submitted offers in the same formation and with identical percentages in all Expo tenders. The parties, in particular, objected to the identity of the percentages196 and, more generally, to the fact that this evidence is not sufficient to include the tenders within the scope of the contested unique and complex agreement.197</w:t>
      </w:r>
    </w:p>
    <w:p>
      <w:r>
        <w:t>194. Coming to the "Evento" tender, in which, in addition to the distribution made with the RTI, a partition of the lots in which Italpol also participated is contested, the explanation offered by the latter for its "anomalous" behavior of non-participation in the tender related to the former Lot 3. Italpol stated that it "initially participated only in Lot 3 because it was the smallest, even though a very particular service was required, with a significant use of personnel and a lot of technology. […] Subsequently, the contracting authority initiated a negotiated procedure, but Italpol decided not to participate as the lot had been reduced and the cost-benefit analysis did not support participation. […] Italpol had also been excluded from a previous tender issued by the contracting authority EXPO in 2013 [tender "Cantiere" N.d.R.] and therefore the lack of participation is also linked to issues of the company's pride. Furthermore, the timing was very tight, and there was not enough time to formulate an offer. […]"198 In its final submission, Italpol clarified that, even regarding what would emerge from document 301, the choice not to participate in the tender related to the former Lot 3 was made after careful consideration based on internal cost analyses which, given the smaller size of the lot, rendered the contract not particularly profitable.</w:t>
      </w:r>
    </w:p>
    <w:p>
      <w:r>
        <w:t>195. This explanation is completely opposed to that provided by IVRI, which, also regarding participation in the tender for the former Lot 3, in relation to the fact that the RTI Allsystem IVRI Sicuritalia did not submit an offer for that lot in the previous tender, stated: "the sustainability of such a assignment was also due to the fact that […] the Italian army had made itself available to contribute to the execution of the services of the former Lot 3, reducing the quantity of those subject to assignment. Thus, it was the involvement of the Italian army in the execution of the services that allowed the RTI to submit an offer in that tender as well."199</w:t>
      </w:r>
    </w:p>
    <w:p>
      <w:r>
        <w:t>196. Regarding participation in RTI, IVRI, Sicuritalia, and Allsystem stated that it was justified in light of the complexity of the contract, which was all concentrated in a very short time frame. Sicuritalia also noted that Italpol's withdrawal from participation in the tender for the former Lot 3 would not be compatible with a partition logic, in which it would have been more reasonable, from a compensatory perspective, for the RTI Allsystem, Sicuritalia, and IVRI to withdraw from participation in the tender for the former Lot 3, ceding it to Italpol.200</w:t>
      </w:r>
    </w:p>
    <w:p>
      <w:r>
        <w:t>197. Regarding the choice of the RTI Allsystem/Sicuritalia/IVRI to participate only in the first two lots of the "Evento" tender, Allsystem specified in its final submissions that during the prequalification phase, the tender notice provided for a limit on the awarding of one lot. The invitation letter to the procedure, however, would have introduced a corrective to this limit, stating that "the limit on the awarding of two lots to the same competitor will not apply and it will therefore be possible to proceed with the awarding of a greater number of lots in the following cases: a) in the event that the awardee of a lot is - for lots additional to the awarded lot - the only competitor to have submitted an offer […] b) in the event that the awardees of the first two lots are the only ones in the provisional ranking of the third lot …"201</w:t>
      </w:r>
    </w:p>
    <w:p>
      <w:r>
        <w:t>198. Regarding the "post Evento" tender, the Parties emphasized that the tender was awarded to a competing company.202</w:t>
      </w:r>
    </w:p>
    <w:p>
      <w:r>
        <w:t>VII.6 Intercent-ER Tenders</w:t>
      </w:r>
    </w:p>
    <w:p>
      <w:r>
        <w:t>199. Regarding the failure to participate in the Intercent-ER tenders, Italpol and Allsystem stated that they are not active in Emilia Romagna and that for this reason they did not participate.203</w:t>
      </w:r>
    </w:p>
    <w:p>
      <w:r>
        <w:t>200. IVRI, regarding participation in RTI, stated that "it was necessary to resort to an RTI because IVRI is not active in several provinces of Emilia Romagna, while at the time it was already providing."</w:t>
      </w:r>
    </w:p>
    <w:p>
      <w:r>
        <w:rPr>
          <w:b/>
        </w:rPr>
        <w:t>[Pages 70–72]</w:t>
      </w:r>
    </w:p>
    <w:p>
      <w:r>
        <w:t>BULLETIN NO. 50 OF DECEMBER 16, 2019 72</w:t>
        <w:br/>
        <w:t>services for certain facilities in Parma, Piacenza, and Modena that it intended to maintain"204. Similarly, Coopservice notes that "at the time, no security institution was authorized to operate throughout the regional territory nor, even more so, did it have the economic-business structure to do so"205.</w:t>
      </w:r>
    </w:p>
    <w:p>
      <w:r>
        <w:t>200. For Sicuritalia "in this tender, the issue of licenses re-emerged: Sicuritalia, in fact, is present in Emilia Romagna in only 5 provinces, of which 3, Parma, Modena, and Reggio Emilia, lack the necessary operational capacity to perform the service. The partnership with Coopservice was dictated by the fact that the latter is the company most present in Emilia Romagna"206.</w:t>
      </w:r>
    </w:p>
    <w:p>
      <w:r>
        <w:t>201. On this point, Coopservice notes that "it is natural that there were overlaps in effective operations, especially in larger urban centers, overlaps in relation to which margins opened up for negotiations (also natural) in which each institution worked to obtain the maximum business advantage"207. Participation in RTI with leading market companies also responds to "the precise business strategy of obtaining maximum profit"208.</w:t>
      </w:r>
    </w:p>
    <w:p>
      <w:r>
        <w:t>202. Regarding the exchanges that took place between Sicuritalia and Coopservice in defining the shares within the RTI, Sicuritalia observes that "as had already happened in the previous tender, also with reference to the Intercent-ER 2 Tender, Sicuritalia had quite legitimately tried to obtain a higher quotation for the services, obviously in the territorial areas where it was able to provide them. However, not having succeeded, Sicuritalia, as emerges from the email in question, tries to convince Coopservice (in its dual role as the RTI's representative and holder of the largest share of service execution subject to tender), in a legitimate compensatory perspective, to grant volumes and services on other contracts (as evidenced by the reference to 'Sardinia region' and 'Rome')"209. Similarly, the email exchange titled "clients to pass for Intercent-Er 12_09_2016.xls." would be nothing more than "a concrete application of the agreement included in the RTI regulations"210. For Sicuritalia, moreover, the "story that has been ongoing for a long time to maintain certain balances" "is nothing more than the RTI established for the previous Intercent-ER 1 tender"211.</w:t>
      </w:r>
    </w:p>
    <w:p>
      <w:r>
        <w:t>VII.7 Atac Tender</w:t>
        <w:br/>
        <w:t>203. Regarding this tender, Sicuritalia stated that "it could not participate alone in the Arca tender given its limited operations in Rome, the difficulties in carrying out the service considering the special authorizations required, and the financial risk associated with Atac's state of distress. It was therefore decided to subcontract with Italpol (a situation essentially equivalent to participation in RTI). At this point, since any potential participation in the tender by Sicuritalia would have posed a risk of exclusion for both companies, to avoid misunderstandings, it was decided to formalize the situation as described in the private writing in question. The ATAC case, moreover, is emblematic as the company is in a state of extreme financial crisis and Sicuritalia claims [omissis] of outstanding credit"212. The shared financial risk would also explain the oddity of the agreement that provided for Italpol to subcontract more hours to Sicuritalia in the event of winning a single lot. Sicuritalia explains that "it is entirely rational that, in the event that Sicuritalia did not have to perform the security services subject to Lot 2 (in the event of not being awarded the same to the RTI led by Italservizi, in which Sicuritalia itself participated), it would take on a larger share of the security services of Lot 1 (still slightly above 10%) and the associated financial risk since, in that case, it would not have to bear the share of financial risk related to Lot 2"213.</w:t>
      </w:r>
    </w:p>
    <w:p>
      <w:r>
        <w:t>204. Coopservice, regarding this tender, in its final statements denies having been aware of the agreement between Italpol and Sicuritalia and attributes the intention to increase the number of hours assigned within the RTI to the desire to share with Italpol the financial burden arising from the contract.</w:t>
      </w:r>
    </w:p>
    <w:p>
      <w:r>
        <w:t>205. Regarding the general participation in RTI in tenders, Sicuritalia and IVRI submitted two economic statements214 concerning the possibility of participating individually in the Arca 1 and 2 tenders (limited to Lot 1), Trenord 1 and 2, and Intercent-ER 1 and 2. From these economic statements, it would emerge, based on internal cost analyses, that Sicuritalia would not have had the opportunity to participate individually in five of the six analyzed tenders (i.e., Arca 2 - Lot 1, Trenord 1, Trenord 2, Intercent-ER 1, Intercent-ER 2) as the costs that Sicuritalia would have had to incur to provide the services subject to the individual tender exceeded the auction base value. Sicuritalia, from a purely economic standpoint, would have had the opportunity to participate in the Arca - Lot 1 tender, winning the contract, but offering a lower discount resulting in less savings for the contracting authority. IVRI, on the other hand, would not have had the opportunity to participate individually in three of the five analyzed tenders (Arca 2 - Lot 1, Trenord 1, and Intercent-ER 1) as the minimum price that IVRI could individually offer in each of these tenders, i.e., the price that would have guaranteed IVRI to cover the costs of providing the services, exceeded the auction base value. IVRI, from a purely economic standpoint, would have had the opportunity to participate in the Arca - Lot 1 and Intercent-ER 2 tenders, winning the contracts, but offering a lower discount resulting in less savings for the contracting authority.</w:t>
      </w:r>
    </w:p>
    <w:p>
      <w:r>
        <w:t>VII.8 Compensations and the Network</w:t>
        <w:br/>
        <w:t>206. The Parties were also asked to explain the meaning of the practice of "compensations," which emerged in various documents on file, as better described above.</w:t>
      </w:r>
    </w:p>
    <w:p>
      <w:r>
        <w:t>207. On this point, Italpol stated "regarding doc. 2355, that these are financial compensations arising from participation in ATI. More generally, the company is not affected by other compensation dynamics"215. In a similar sense, IVRI stated that it is "not aware of this practice nor able to provide a description of how the mechanism works, although it has learned, from the analysis of inspection documents of other companies, of its existence"216.</w:t>
      </w:r>
    </w:p>
    <w:p>
      <w:r>
        <w:t>208. Conversely, Sicuritalia and Allsystem provided an explanation regarding this practice. Sicuritalia, in particular, stated that "given that as a result of participation in large private tenders through so-called business agencies that then assign the service to their subsidiary where it has a license and operational capacity or to third parties in other territories, evident receivable/payable accounts are created between the various operators. In this context, financial compensations are those in which, at certain intervals of time, two operators proceed to offset credits and debts. Commercial compensations, on the other hand, refer to the situation in which an operator realizes that it has assigned certain volumes to another operator and has received from the latter more limited volumes and therefore communicates its hope of receiving further volumes that at least partially rebalance the reciprocal receivable/payable accounts. It will then be up to the other operator to decide whether and how to proceed in this regard. [...] the main driver in choosing a partner to whom to assign part of a contract is the efficiency that it ensures, then, all else being equal in terms of service cost and reliability, there is potentially a preference for those who in the past, with reversed roles, have assigned security services to Sicuritalia and request to perform the service. [...] this practice unites all Sicuritalia suppliers, with whom attempts are made to establish reciprocal relationships. For example, Sicuritalia has asked the meal voucher supplier to be chosen as the security service provider. When suppliers also take on the role of competitors, a sort of exchange is requested, asking for the assignment of similar services. [...] this practice does not in any way reduce competition, which, on the contrary, is particularly strong and exacerbated in the sector. A proof of this is, after all, constituted by the particularly low margins, as has been recalled several times. [...] commercial compensations are ex post and occur only after the separate participation of the operators in question, competing against each other, in large private tenders"217.</w:t>
      </w:r>
    </w:p>
    <w:p>
      <w:r>
        <w:rPr>
          <w:b/>
        </w:rPr>
        <w:t>[Pages 73–75]</w:t>
      </w:r>
    </w:p>
    <w:p>
      <w:r>
        <w:t>BULLETIN NO. 50 OF DECEMBER 16, 2019 75</w:t>
      </w:r>
    </w:p>
    <w:p>
      <w:r>
        <w:t>209. Allsystem, on the same topic, stated that "in order to win a given contract, it often found itself, out of necessity, having to subcontract certain services to another operator for activities that it was not able to provide on its own [...]. Conversely, it has also happened that another operator in the sector needed to subcontract to Allsystem the execution of certain services (consider the case where such subcontracting operator does not have the license to operate in a certain territory). In this context, [...] Allsystem has carried out monitoring activities aimed at controlling the debt/credit relationships with other operators, with whom it has to collaborate, as well as implementing commercial strategies aimed at maintaining balance (“compensating”) the amounts, from time to time, owed by, and to, Allsystem"218.</w:t>
      </w:r>
    </w:p>
    <w:p>
      <w:r>
        <w:t>210. Coopservice also carefully described the network system in its final submissions219, specifying that "the Networks (contrary to what has been stated in several points by the CRI) do not integrate tools for anti-competitive collaboration among the security institutions that are parties to this proceeding, but rather integrate a tool that institutionally, functionally, and exclusively performs an intermediation activity between contractual parties..."220.</w:t>
      </w:r>
    </w:p>
    <w:p>
      <w:r>
        <w:t>VII.9 General considerations on the qualification of the agreement</w:t>
      </w:r>
    </w:p>
    <w:p>
      <w:r>
        <w:t>211. All Parties denied the unique and complex nature of the agreement, particularly denying that there exists a single "overall plan" that connects the contested behaviors. For IVRI, for example, the market would be characterized by a strong competitive dynamic demonstrated also by the significant litigation before the administrative judge, concerning the awarding of certain tenders, as well as the competing participation of the Parties in tenders (other than those subject to the agreement) during the same period under investigation221. Similarly, Sicuritalia argued that there are no exogenous or endogenous elements capable of supporting the thesis of a unique and complex agreement222.</w:t>
      </w:r>
    </w:p>
    <w:p>
      <w:r>
        <w:t>212. The Parties also contested the ability of the contested behaviors to impact the market, given the presence of other operators. IVRI, for example, argued that "the result of this tender (ARCA 2 tender) confirms [...] that the behaviors attributed to IVRI and the other companies subject to the Provision [...] would not have been suitable to affect [...] the actual competition in the relevant market, as indeed clarified by the EU court with consolidated and longstanding jurisprudence, in one of the leading cases (EU Court of Justice judgment of March 31, 1993, C-89/85, C-104/85, C-114/85, C-117/85 and from C-125/85 to C-129/85 [...] judgment “wood pulp” points 115 and following) the existence of actual or potential outsiders, external to the group of companies among which, it is asserted, there was collusion, constitutes one of the factors whose presence in the market must be analyzed [...] as it is incompatible with the explanation according to which there would be a restriction of the original assignments to which the portions of contracts pertain and which, therefore, by their nature, cannot have any influence on the unfolding of correct competitive dynamics during participation in competitive procedures, public or private, for the awarding of security services...". Similar considerations in the final submission, doc. 3920.</w:t>
      </w:r>
    </w:p>
    <w:p>
      <w:r>
        <w:t>218 See doc. 3792.</w:t>
      </w:r>
    </w:p>
    <w:p>
      <w:r>
        <w:t>219 See doc. 3915.</w:t>
      </w:r>
    </w:p>
    <w:p>
      <w:r>
        <w:t>220 See doc. 3915 (final submission Coopservice).</w:t>
      </w:r>
    </w:p>
    <w:p>
      <w:r>
        <w:t>221 See doc. 3918 (final submission IVRI).</w:t>
      </w:r>
    </w:p>
    <w:p>
      <w:r>
        <w:t>222 See doc. 3920 (Sicuritalia submission).</w:t>
      </w:r>
    </w:p>
    <w:p>
      <w:r>
        <w:t>76 BULLETIN NO. 50 OF DECEMBER 16, 2019</w:t>
      </w:r>
    </w:p>
    <w:p>
      <w:r>
        <w:t>223 would have been collusion"223. For Italpol, "an agreement between companies representing about 30% of the market would have no chance of altering - even abstractly - the competitive dynamics"224.</w:t>
      </w:r>
    </w:p>
    <w:p>
      <w:r>
        <w:t>213. All parties, in a subordinate manner, requested that the infringement not be considered serious, contesting, in particular, its secrecy, the economic impact of its prejudicial effects on the market225, the involvement of the contracting authorities in drafting the tender notices, the fact that some tenders were awarded to third parties, despite the contested agreement among the Parties and the general crisis of the sector226. Italpol and MC Holding also contested the attribution of the agreement to the latter company denying the existence of a decisive influence on the former227.</w:t>
      </w:r>
    </w:p>
    <w:p>
      <w:r>
        <w:t>VIII. EVALUATIONS</w:t>
      </w:r>
    </w:p>
    <w:p>
      <w:r>
        <w:t>VIII.1 The relevant market</w:t>
      </w:r>
    </w:p>
    <w:p>
      <w:r>
        <w:t>214. As widely noted by administrative jurisprudence, in the case of restrictive agreements, the definition of the relevant market is directly related to the context in which the collusive behavior of the involved companies is framed, being functional to determining the scope within which the agreement can restrict or distort the competitive mechanism228. It follows that, in such cases, the demarcation and definition of the market is subsequent to the identification of the agreement in its objective elements, as it is the breadth and object of the agreement that circumscribe the market on which the illicit act is committed.</w:t>
      </w:r>
    </w:p>
    <w:p>
      <w:r>
        <w:t>215. The economic scope involved by the collusive behaviors highlighted above is that of armed security services, carried out, that is, only by virtue of specific prefectural licenses pursuant to Article 134 of the TULPS. The configuration of some tenders involved in the collusion allows for the extension of the commodity scope to include certain related services, sometimes requested by the contracting authorities in conjunction with typical security services (such as so-called fiduciary services or concierge), on which all the companies involved in the agreement are active either directly or through controlled companies.</w:t>
      </w:r>
    </w:p>
    <w:p>
      <w:r>
        <w:t>216. In this specific case, it is therefore deemed correct to circumscribe the commodity and territorial scope to the set of tenders in which anti-competitive collusion has been found, as it is in this area that the evidence accounts for the diminishing of mutual competitive constraints among the Parties229.</w:t>
      </w:r>
    </w:p>
    <w:p>
      <w:r>
        <w:t>223 See doc. 3918 (final submission IVRI). In a similar sense, Sicuritalia states that the awarding of the ARCA 2 tender to a smaller RTI "demonstrates by conclusive facts how the RTI composed of Allsystem, Italpol, IVRI, and Sicuritalia has not also determined any excluding effect either in this procedure or in others, indicating unequivocally that even smaller operators are able, by grouping in RTI, to constitute an effective competitive force in the tender with absolutely realistic chances of winning". See doc. 3920 (Sicuritalia submission).</w:t>
      </w:r>
    </w:p>
    <w:p>
      <w:r>
        <w:t>224 See doc. 3919 (Italpol submission).</w:t>
      </w:r>
    </w:p>
    <w:p>
      <w:r>
        <w:t>225 See doc. 3920 (Sicuritalia submission) and doc. 3918 (IVRI submission).</w:t>
      </w:r>
    </w:p>
    <w:p>
      <w:r>
        <w:t>226 See doc. 3917 (Allsystem submission).</w:t>
      </w:r>
    </w:p>
    <w:p>
      <w:r>
        <w:t>227 See doc. 3919 (Italpol submission).</w:t>
      </w:r>
    </w:p>
    <w:p>
      <w:r>
        <w:t>228 See for all C.d.S. November 4, 2014 no. 5423 and June 3, 2014 no. 2837.</w:t>
      </w:r>
    </w:p>
    <w:p>
      <w:r>
        <w:t>229 C.d.S. May 18, 2017 no. 4733.</w:t>
      </w:r>
    </w:p>
    <w:p>
      <w:r>
        <w:t>BULLETIN NO. 50 OF DECEMBER 16, 2019 77</w:t>
      </w:r>
    </w:p>
    <w:p>
      <w:r>
        <w:t>217. In this context, the parties to the proceeding are the major players in the market, with emphasis not on the national market for security services as a whole, in which, as seen, the Parties hold a significant position (about one-third of the sector see section IV The market), but the 'relevant market' for the purposes of Article 101 TFEU230. In this context, the share of the Parties is well above 50% considering their turnover in relation to that of other competing companies, exceeding 80% when calculating the amounts awarded to the parties in relation to the total award values.</w:t>
      </w:r>
    </w:p>
    <w:p>
      <w:r>
        <w:t>Table 36 - Tenders affected by collusion</w:t>
      </w:r>
    </w:p>
    <w:p>
      <w:r>
        <w:t>| Tender       | Date of Announcement | Deadline for Offers | Date of Award | Allsystem | Italpol | IVRI | Sicuritalia | Participation Mode |</w:t>
        <w:br/>
        <w:t>|--------------|----------------------|---------------------|---------------|-----------|---------|------|-------------|---------------------|</w:t>
        <w:br/>
        <w:t>| Arca 1      | 4/10/16              | 22/12/16            | 9/10/17       | X         | X       | X    | X           | RTI + agreement      |</w:t>
        <w:br/>
        <w:t>| Arca 2      | 30/11/17             | 1/2/18              | 9/8/18        | X         | X       | X    | X           |                     |</w:t>
        <w:br/>
        <w:t>| Trenord 1    | 21/6/14              | 31/1/17             |               | X         | X       | X    | X           | X RTI + agreement    |</w:t>
        <w:br/>
        <w:t>| Trenord 2    | 18/4/16              | 30/5/16             | 18/1/17       | X         | X       | X    | X           | + subcontracting     |</w:t>
        <w:br/>
        <w:t>| Intercent-ER 1 | 20/6/13           | 7/12/13             |               | X         | X       | X    |             | RTI + agreement      |</w:t>
        <w:br/>
        <w:t>| Intercent-ER 2 | 19/11/15           | 16/6/15             |               | X         | X       | X    |             |                     |</w:t>
        <w:br/>
        <w:t>| Expo (Lots 1, 2, and 3) | 7/12/13 | 18/7/14             | /             | X         | X       | X    | X           | prequalification RTI + |</w:t>
        <w:br/>
        <w:t>| Expo (Lots 1, 2, and 3) | 21/11/2014 | 8/8/14           | 30/1/15       | X         | X       | X    |             | X partition          |</w:t>
        <w:br/>
        <w:t>| Phase II (last extension) (excluded) | | | | | | | | lots + abstention |</w:t>
        <w:br/>
        <w:t>| Expo ex Lot 3 | 5/3/15             | 24/3/15             | 6/5/15        | X         | X       | X    |             | RTI + agreement      |</w:t>
        <w:br/>
        <w:t>| ATAC         | 27/2/15             | 4/12/15             |               | X         | X       | X    |             | + subcontracting     |</w:t>
      </w:r>
    </w:p>
    <w:p>
      <w:r>
        <w:t>Source: elaborations based on data in the case file</w:t>
      </w:r>
    </w:p>
    <w:p>
      <w:r>
        <w:t>VIII.2 The agreement</w:t>
      </w:r>
    </w:p>
    <w:p>
      <w:r>
        <w:t>VIII.2.1 Premise</w:t>
      </w:r>
    </w:p>
    <w:p>
      <w:r>
        <w:t>218. The elements in the case file have allowed for the identification of a unique, complex, and ongoing agreement that has involved a series of tenders issued by contracting authorities in Lombardy, Emilia Romagna, and Lazio.</w:t>
      </w:r>
    </w:p>
    <w:p>
      <w:r>
        <w:t>219. The agreement developed in a market context that has only recently been liberalized and in which the previous territorial divisions, linked to pre-reform regulations, have not yet been completely overcome. In this context, the elements in the case file have revealed a series of anti-competitive agreements made to coordinate participation in certain particularly significant tenders, not only due to their amount but also because they concern entire geographical territories in which the Parties were active and historically present.</w:t>
      </w:r>
    </w:p>
    <w:p>
      <w:r>
        <w:t>220. The agreement consists of both express agreements for the partitioning of lots and instrumental RTIs established solely to maintain their respective operational areas and avoid establishing healthy competition, thus managing to obtain the award of the tender and safeguard their respective market shares. Similarly, pre-tender agreements have been used in which some of the</w:t>
      </w:r>
    </w:p>
    <w:p>
      <w:r>
        <w:rPr>
          <w:b/>
        </w:rPr>
        <w:t>[Pages 76–78]</w:t>
      </w:r>
    </w:p>
    <w:p>
      <w:r>
        <w:t>78 BULLETIN NO. 50 OF DECEMBER 16, 2019</w:t>
        <w:br/>
        <w:t>the Parties committed not to participate (individually or in ATI) receiving in return, in case of award, a share, in subcontracting of the service.</w:t>
      </w:r>
    </w:p>
    <w:p>
      <w:r>
        <w:t>221. The documentation on file has allowed for an appreciation that the use of such legitimate instruments has been bent to anti-competitive purposes. In fact, the rationale behind the establishment of the groupings transcends the necessity of providing the service, just as the awarding of subcontracts is often traced back to the need to maintain balances even in other tenders. The circumstance raised by the parties that the companies could not participate individually in the tenders in question and that this would exclude any doubt about the legitimacy of the RTIs or subcontracts involved in the agreement cannot be shared. What is relevant, in this case, as will be better seen later, is the presence of numerous external evidentiary elements from which the stipulation of anti-competitive agreements aimed at market allocation emerges. The evidence on file, in fact, shows that the partitioning is not merely functional to participation in the tender, but is oriented towards the "maintenance of balances" even in a compensatory perspective that ties all the procedures subject to the proceedings (see infra). It is the same parties, for example, who write, on the occasion of the Arca tenders: "to avoid the risk of a cartel, it was decided to do everything together"231 and numerous pieces of evidence can be found in the records indicating that the shares of the ATI or the subcontracts were determined based on elements unrelated to the logic of efficiency in participating in the tender, linked to exchanges and compensations in other procedures or with private clients. In this context, moreover, the Parties have never demonstrated the indispensability of such agreements, that is, the impossibility of participating in the tenders with less restrictive competition modalities than those actually adopted.</w:t>
      </w:r>
    </w:p>
    <w:p>
      <w:r>
        <w:t>222. Such conclusions are reinforced by the evidence related to compensations and customer transfers from which it emerged that the Parties, bilaterally, use to regulate their "give-take" relationships through the mutual awarding of security services both in the private sector and in the context of the tenders subject to the proceedings. In these areas, the definition of the shares of ATI or the subcontracts of the tenders subject to this proceeding is also carried out to regulate the above-described relationships, so that a balance can be found in which none of the Parties prevails over the other, in order to maintain/crystallize the historical shares, instead of responding to the logic of efficient allocation of contracts among the participants in the ATI, dictated by the nature of the services provided.</w:t>
      </w:r>
    </w:p>
    <w:p>
      <w:r>
        <w:t>223. In the tenders detailed below, the cartel thus aimed to eliminate competition among the participants in the groupings and subcontracts, in order to allocate future contracts based on predefined shares, thus guaranteeing and possibly expanding the previous territorial scopes.</w:t>
      </w:r>
    </w:p>
    <w:p>
      <w:r>
        <w:t>VIII.2.2 Qualification of the agreement</w:t>
        <w:br/>
        <w:t>224. The set of collected evidence allows for the ascertainment of the existence of a single, complex, and continuous agreement, in violation of Article 101 TFEU, established by Allsystem Italpol, IVRI, Sicuritalia, and Coopservice and aimed at market allocation and the crystallization of the respective areas of competence through the coordination of their mutual participation strategy in the above-mentioned tenders (see Table 36). It is, in particular, a secret horizontal agreement aimed at conditioning the participatory dynamics of the aforementioned tenders with the primary aim of neutralizing competitive confrontation among five of the main players in the sector.</w:t>
      </w:r>
    </w:p>
    <w:p>
      <w:r>
        <w:t>225. In this case, the Parties have established a single, continuous, and complex agreement characterized by the repetition, over time, of a series of behaviors linked by the common will of anti-competitive allocation of the above-mentioned tenders for the offer of armed security services and related services, in order to eliminate mutual competition. A single cartel is characterized, in fact, as a single and continuous violation committed over a certain period of time and with varying degrees of participation depending on the company, as what matters is the same anti-competitive aim. The complex agreement can also vary from time to time, and its mechanisms can be adjusted or strengthened to take into account subsequent situations. The validity of this assessment is not undermined by the possibility that one or more elements of a series of acts or this continued behavior may individually and in themselves constitute, as in this case, a violation of Article 101 TFEU. In this perspective, it would be artificial to distinguish each individual conduct when faced with a single violation that manifests itself in a series of anti-competitive activities taking place during the implementation period of the agreement232.</w:t>
      </w:r>
    </w:p>
    <w:p>
      <w:r>
        <w:t>226. Such collusive relationships consist, first and foremost, in the stipulation of agreements for the allocation of lots and subcontracts in exchange for non-participation in certain tenders. These acts are accompanied by the establishment of instrumental RTIs for the purpose of geographically/customer allocating the activities put out to tender and by targeted abstention/non-participation behaviors.</w:t>
      </w:r>
    </w:p>
    <w:p>
      <w:r>
        <w:t>227. It should be noted that these behaviors are all united by the same collusive design that sees the parties of the proceedings dividing the market, at a geographical level and for historical clients, through the improper use of instruments, such as the RTI and subcontracting, which, although generally aimed at implementing competition by allowing even small businesses to participate in tenders, are used in these cases for a completely opposite purpose. The Parties, in fact - all primary operators in the sector233 - prefer, as emerged from various documents, to shield their anti-competitive behaviors through the use of RTIs and subcontracting to replace a collusive scheme with healthy competitive competition. In this way, they avoid competing among themselves and, at the same time, protect themselves from possible competitive threats in the territories/historical clients, since the most formidable competitors are those that are part of the cartel234.</w:t>
      </w:r>
    </w:p>
    <w:p>
      <w:r>
        <w:t>228. The above-mentioned behaviors are all connected not only by the common partitioning design but also by a system of mutual compensations and customer exchanges, even through subcontracts, which supports the highlighted collusion and strengthens its resilience.</w:t>
      </w:r>
    </w:p>
    <w:p>
      <w:r>
        <w:t>229. On this point, the Parties have contested the nature of a single, complex, and continuous agreement because not all companies would have been aware of the overall partitioning design. It should be clarified that "if a company has directly participated in one or more anti-competitive behaviors that constitute a single and continuous infringement, but it is not proven that through its behavior it intended to contribute to the complex of common objectives pursued by the other participants in the agreement and that it was aware of all the other illicit behaviors foreseen or carried out by such participants in pursuing the same objectives, or that it could reasonably foresee them and was ready to accept the risk, the Commission must limit itself to attributing to it the responsibility for only those behaviors to which it has directly participated and for the behaviors foreseen or carried out by the other participants in pursuing objectives similar to those it pursued and of which it is demonstrated that it was aware or that it could reasonably foresee and was ready to accept the risk (Commission v. Verhuizingen Coppens, C‑441/11 P, EU:C:2012:778, paragraph 44)."235 In this perspective, while admitting that not all Parties were aware of the developments of the agreement and the coordination that occurred in geographical areas different from those of each one's operations, nonetheless, it remains a complex case and such elements are relevant only at the time of the actual grading of responsibility, that is, at the sanction stage (see infra).</w:t>
      </w:r>
    </w:p>
    <w:p>
      <w:r>
        <w:t>230. Similarly, the fact that the Parties participated in competition in other procedures and have ongoing disputes (sporadic, to be sure) for some of them does not matter for the qualification of a single and complex agreement. The scope of the contested agreement, in fact, is limited to the 12 tenders identified above in which, only in one instance ("Trenord 2") IVRI participated in a competing RTI. The particularity of the sector in which the companies operate, characterized by the known regulatory and operational constraints, contrary to what the Parties claimed, has been duly taken into account in the construction of the agreement. The scope of the same, in fact, is not extended to all the numerous tenders in which the Parties did not compete against each other, but only to those in which the elements on file allowed for a clear attribution of responsibility. At the same time, the system of compensations is not contested in its entirety, but is identified as a linking element of the contested tenders and the parties, which has allowed them to balance,235 Court of Justice, June 24, 2015, case C‑293/13 (Del Monte). The Court also explains that "a company that has participated in such a single and complex infringement with its own behaviors, falling within the notion of agreement or concerted practice for anti-competitive purposes under Article 81(1) EC and aimed at contributing to the realization of the infringement as a whole, can therefore be responsible also for the behaviors carried out by other companies within the same infringement for the entire period of its participation in it. This hypothesis occurs when it is demonstrated that said company intended to contribute with its behavior to the common objectives pursued by all participants and that it was aware of the illicit behaviors foreseen or carried out by other companies in pursuing the same objectives, or that it could reasonably foresee them and was ready to accept the risk (Commission v. Verhuizingen Coppens, C‑441/11 P, EU:C:2012:778, paragraph 42 and case law cited therein). In this sense, a company may have directly participated in the complex of anti-competitive behaviors that constitute the single and continuous infringement, in which case the Commission can correctly attribute to it the responsibility for all these behaviors and, therefore, for this infringement as a whole. A company may also have directly participated only in some of the anti-competitive behaviors that constitute the single and continuous infringement, but have been aware of all the other illicit behaviors foreseen or carried out by the other participants in the agreement in pursuing the same objectives, or have been able to reasonably foresee them and have been ready to accept the risk. Even in such a case, the Commission can well attribute to that company the responsibility for all the anti-competitive behaviors that constitute that infringement and, consequently, for the infringement as a whole (Commission v. Verhuizingen Coppens, C‑441/11 P, EU:C:2012:778, paragraph 43)."</w:t>
      </w:r>
    </w:p>
    <w:p>
      <w:r>
        <w:rPr>
          <w:b/>
        </w:rPr>
        <w:t>[Pages 79–81]</w:t>
      </w:r>
    </w:p>
    <w:p>
      <w:r>
        <w:t>BULLETIN NO. 50 OF DECEMBER 16, 2019 81</w:t>
        <w:br/>
        <w:t>within the identified perimeter, their market shares replacing competition with an anti-competitive collusion aimed at eliminating mutual competitive pressure.</w:t>
      </w:r>
    </w:p>
    <w:p>
      <w:r>
        <w:t>231. The argument that the parties represent a share of about 30% of the entire sector, and therefore the agreement would not be capable of producing restrictive effects, is ultimately without merit. It is well known that for hard core agreements, such as the one under examination, it is unnecessary to assess the extent of the restriction236 and, in any case, an aggregated share exceeding one-third of the sector cannot certainly be deemed irrelevant.</w:t>
      </w:r>
    </w:p>
    <w:p>
      <w:r>
        <w:t>In this specific case, moreover, the share to be considered is not that of the overall reference sector, which includes the security services offered to public and private operators, but the share attributable to the companies in the specific market as delineated by the agreement, including the 12 contested tenders237. It is indisputable that, in this context, the share of the Parties is well above 50% considering their revenue in relation to that of other competing companies, and exceeds 80% when calculating, instead, the amounts awarded to the parties in relation to the total award values.</w:t>
      </w:r>
    </w:p>
    <w:p>
      <w:r>
        <w:t>VIII.2.3 The contested behaviors</w:t>
        <w:br/>
        <w:t>VIII.2.3.1 The agreement in the Lombardy tenders</w:t>
        <w:br/>
        <w:t>232. Now, turning to the individual behaviors, we first recall the events that characterized the tenders issued by Lombardy contracting authorities.</w:t>
      </w:r>
    </w:p>
    <w:p>
      <w:r>
        <w:t>233. It must first be noted that Allsystem, Sicuritalia, and IVRI presented themselves in the Expo “Event” tender, Lots 1 and 2, maintaining the same shares already defined during the Expo “Construction” tender (specifically through the agreement for the division of “additional” services which provided for shares of 34%, 33%, and 33% respectively)238, despite the indisputable different service to be performed (security for the Expo construction sites vs security for the event). The only difference found relates to Allsystem, which at the time was not yet active in the concierge service, and therefore had ceded part of its share to an operator active in that latter field. This is evident from various documents, including an internal email from IVRI dated September 16, 2014, which states: “I am forwarding you the division of the ATI EXPO proposed by Allsystem maintaining the logic of the current ATI [the ATI “Construction” N.d.R.]. As I wrote and said, the other important Milanese player in concierge, Prodest, has been included, which, however, only takes ‘the piece of Allsystem’ while we and Sicuritalia would maintain, as it currently is, the 33% under the same conditions”239. As seen in fact,</w:t>
      </w:r>
    </w:p>
    <w:p>
      <w:r>
        <w:t>236 The classification of bid rigging agreements as hard core restrictions is now well established in national and community jurisprudence. See also the Commission Communication regarding immunity from fines or reduction of their amount in cases of cartels between companies (2006/C 298/11) which expressly states “Cartels are agreements and/or coordinated practices between two or more competitors, aimed at coordinating their competitive behavior in the market and/or influencing the relevant parameters of competition through practices consisting of fixing purchase or selling prices or other transaction conditions, allocating production or sales shares, or dividing markets, even through manipulation of tenders […]. These practices are among the most serious violations of Article 81 EC.” It is also noted that the Commission expressly excludes from the category of agreements that benefit from the de minimis threshold those that are serious. See Commission Communication regarding minor agreements that do not result in significant restrictions of competition under Article 81, paragraph 1, of the Treaty establishing the European Community (2001/C 368/07).</w:t>
      </w:r>
    </w:p>
    <w:p>
      <w:r>
        <w:t>237 See on this point C.d.S. February 28, 2017, no. 928.</w:t>
      </w:r>
    </w:p>
    <w:p>
      <w:r>
        <w:t>238 See doc. 206.</w:t>
      </w:r>
    </w:p>
    <w:p>
      <w:r>
        <w:t>239 See doc. 421.</w:t>
      </w:r>
    </w:p>
    <w:p>
      <w:r>
        <w:t>82 BULLETIN NO. 50 OF DECEMBER 16, 2019</w:t>
        <w:br/>
        <w:t>it is of absolute relevance that the aforementioned distribution is identical for both lots for which the ATI applies for participation and will also be identical for the subsequent Expo tender for Lot 3 despite, in this case as well, the diversity of the requested services. This is indicative of the underlying dividing logic of the ATI and is absolutely in contrast with the alleged organizational reasons put forward by the Parties. It must be emphasized, in fact, once again, the absolute strangeness inherent in the behavior adopted by IVRI, Allsystem, and Sicuritalia, which, based on an agreement from 2013 signed during the Expo “Construction” tender (concerning security for the Expo construction site), maintained the identical distribution of shares within subsequent RTIs concerning radically different tenders. It is recalled, in fact, that security for the “Event,” among the most important global trade fair events, cannot in any way be compared to security for a construction site (both before and after the event) where, for example, the influx of people is limited. Contrary to what the parties have claimed, in fact, the “Event” tender required a significantly larger number of GPG240.</w:t>
      </w:r>
    </w:p>
    <w:p>
      <w:r>
        <w:t>234. The agreement also involved the company Italpol, which, although not included in the RTI, coordinated its participation in the tender in order to ensure the award of Lots 1 and 2 to Allsystem/Sicuritalia/IVRI and to win Lot 3. It is interesting to note that in the Expo “Construction” tender, Italpol had submitted, during the prequalification phase, a competing offer to that of Allsystem/Sicuritalia/IVRI, which was excluded from phase II due to the lack of participation requirements on the part of the lead contractor Italservizi 2007241. In the Expo Event tenders, Italpol's participation is, instead, entirely singular as the company initially submitted a prequalification application for all 3 lots242. At the same time, it internally developed a document in which it hypothesized possible offers for all three lots and the participation of competitors, envisioning very aggressive offers243. Completely unexpectedly, then, its participation in the Expo Event tender was limited, instead, to Lot 3 with an economic offer equal to a discount of 0%244.</w:t>
      </w:r>
    </w:p>
    <w:p>
      <w:r>
        <w:t>235. These documents confirm what was already hypothesized by ANAC in its complaint245. This participatory strategy, also in light of the singular formulation of the technical offer which, as widely noted in fact, seemed to replicate an offer for the first two lots that never occurred, indicates that Italpol ultimately renounced submitting an offer for the first two lots. Allsystem, on this point, also clarified that the lex specialis provided for the possibility of awarding more than one lot to the same competitor in the event that the winner of one lot is - for lots additional to the awarded lot - the only competitor to have submitted an offer. It is clear, in light of this further element, that the RTI Allsystem/Sicuritalia/IVRI would not have been able to win both Lots 1 and 2 if Italpol had not renounced submitting an offer for them. At the same time, in light of the aforementioned rule, Italpol's strategy is entirely irrational as, by participating in Lots 1 and 2, even without winning, it could have been awarded at least one lot as the second-placed competitor, thus obtaining a highly profitable contract246 both in terms of expected margins and, more generally, as a return on image due to the event247.</w:t>
      </w:r>
    </w:p>
    <w:p>
      <w:r>
        <w:t>236. This awareness also emerges, moreover, within the RTI Allsystem/Sicuritalia/IVRI. In an internal email to IVRI dated November 21, 2014, the last date for submitting offers, it is read, in fact: “... once the award is obtained and even more so if, as it seems, we will be the only ones (apart from Italpol with Security Service new entry) to participate. […] The Civis team, unless there are last-minute changes, WILL NOT participate248 so it is likely that they could also award us the other large lot if they decide to award the third to Italpol.” It should be noted that this document unequivocally indicates knowledge of the participatory strategy of the parties. Even if, as some have attempted to argue, this email should be interpreted as IVRI believing that Italpol would also participate in Lots 1 and 2249, the statement “it is likely that they could also award us the other large lot if they decide to award the third to Italpol” would imply that IVRI was aware of the content of Italpol's offer, and therefore took for granted the awarding of the first two lots.</w:t>
      </w:r>
    </w:p>
    <w:p>
      <w:r>
        <w:t>237. As is known, the RTI with Italpol as the lead contractor, which had participated only for Lot 3, was then excluded from the tender due to irregularities in the technical offer highlighted above. Italpol did not then participate in the subsequent procedure exclusively for the services of the former Lot 3 (thus leaving the award to Allsystem/Sicuritalia/IVRI).</w:t>
      </w:r>
    </w:p>
    <w:p>
      <w:r>
        <w:t>238. Regarding these Expo tenders, the Parties, despite the countless attempts made subsequently in the memoranda and of which there are no traces in the inspection documents, have not been able to explain the anomaly of their behaviors, especially with reference to Italpol, which, contrary to what was decided in an initial phase, unexpectedly submitted an offer only for Lot 3, with a discount of 0.90% and 0%, creating a technical offer structured as if there had been participation in all lots and, following the exclusion, did not participate again in the tender for the assignment of the service corresponding to the former Lot 3.</w:t>
      </w:r>
    </w:p>
    <w:p>
      <w:r>
        <w:t>239. On this point, Italpol observed that, having also been excluded from the previous “Construction” tender, “issues of pride” would have led it, along with the tight deadlines for formulating the offer and unspecified difficulties in recruiting personnel, to decide not to participate.</w:t>
      </w:r>
    </w:p>
    <w:p>
      <w:r>
        <w:t>240. Such justifications are entirely unreliable as, on the one hand, Italpol had already prepared an offer for Lot 3 (in the tender in which it was excluded) and this would have allowed it, with some adjustments, to participate in the negotiated procedure within the required time. On the other hand, it is not credible that a company would renounce to participate in an important tender, even in terms of return on image,</w:t>
      </w:r>
    </w:p>
    <w:p>
      <w:r>
        <w:t>246 See on this point doc. 3917, Allsystem memorandum and doc. 3920, Sicuritalia memorandum, in which they explain the high profitability of Lots 1 and 2 compared to Lot 3.</w:t>
      </w:r>
    </w:p>
    <w:p>
      <w:r>
        <w:t>247 It is recalled, in fact, that the invitation letter provided that “if the same grouping (RTI) was first in the provisional ranking on multiple lots, the commission would proceed with the assignment starting from the lot of greatest economic relevance, then continuing with the definition of the ranking of the other lots without considering the offer of the competitor already awarded the lot of greatest economic relevance.” See, doc. 3471, annex 11, cited in doc. 3917, Allsystem memorandum. Regarding the return on image linked to the EXPO event, see document 412.</w:t>
      </w:r>
    </w:p>
    <w:p>
      <w:r>
        <w:t>248 It should be noted that Civis had expressly renounced participation in phase II. See doc. 3632.</w:t>
      </w:r>
    </w:p>
    <w:p>
      <w:r>
        <w:t>249 See doc. 3918, IVRI memorandum.</w:t>
      </w:r>
    </w:p>
    <w:p>
      <w:r>
        <w:rPr>
          <w:b/>
        </w:rPr>
        <w:t>[Pages 82–84]</w:t>
      </w:r>
    </w:p>
    <w:p>
      <w:r>
        <w:t>84 BULLETIN NO. 50 OF DECEMBER 16, 2019</w:t>
        <w:br/>
        <w:t>reputational, "for reasons of pride." In its submissions, Italpol also cited document 301 to demonstrate that, in the event of participation in the tender for Lot 3, the MOL would have been lower than that identified for the previous Lot 3 procedure. However, this assertion is also insufficient to explain the lack of participation since, on one hand, the document also presents an alternative hypothesis to the rental of equipment that would have resulted in a significant MOL ([15-20%]). On the other hand, even a minimal margin as indicated in the document ([1-5%]) would have justified participation in light of the overall value of the tender, even in terms of publicity and reputational return associated with the Expo event. Even more so considering that Italpol was well aware that its main rivals would be present, having won Lots 1 and 2 of the previous tender250.</w:t>
      </w:r>
    </w:p>
    <w:p>
      <w:r>
        <w:t>241. The observation that Italpol's withdrawal from participation in the tender for the former Lot 3 would not be compatible with a division logic appears to lack merit, as it would have been more reasonable, from a compensatory perspective, for the RTI Allsystem, Sicuritalia, and IVRI to withdraw from participation in Lot 3, ceding it to Italpol251. In reality, this behavior can be explained in the context of the unique and complex agreement established here, in which Italpol would have obtained a significant share of services in the subsequent Trenord and ARCA tenders.</w:t>
      </w:r>
    </w:p>
    <w:p>
      <w:r>
        <w:t>242. In this context, it is also noteworthy that the Expo contracts were ceded to "Arexpo"252, an administration adhering to the ARCA agreement under which Italpol provides security services253. This element, contrary to what the parties have claimed, establishes a connection between the two procedures (Expo "Event" tender and ARCA tender) and the fact that, within the ARCA agreement, Italpol is the company tasked with providing the service further substantiates the aforementioned division hypotheses.</w:t>
      </w:r>
    </w:p>
    <w:p>
      <w:r>
        <w:t>243. Furthermore, with the exception of the non-determinative document 301, there are no elements in the case file that emerge as justifications for Italpol's aforementioned claims, which further supports the thesis that the withdrawal from participation in Lots 1 and 2 and subsequently from the tender for the services of the former Lot 3 is the result of an agreement in which Allsystem, Sicuritalia, IVRI, and Italpol defined their reciprocal relationships based on division logics entirely foreign to the competition that should guide companies' participation in tenders.</w:t>
      </w:r>
    </w:p>
    <w:p>
      <w:r>
        <w:t>244. It is believed, instead, that the elements collected during the investigation are insufficient for the determination of involvement, in the agreement, of the Expo "Construction" and Expo "Post Event" tenders. Regarding the Expo "Construction" tender, it is significant that, for this tender, the distribution proposed by Allsystem, IVRI, and Sicuritalia in participating in the RTI was different and apparently more aligned with the actual capacity to perform the services, compared to that later found in the subsequent Expo tenders. In the Construction tender, moreover, Italpol, as seen, participated in RTI with other operators.</w:t>
      </w:r>
    </w:p>
    <w:p>
      <w:r>
        <w:t>245. Regarding the "Post Event" tender, the fact that the RTI composed of Allsystem, Sicuritalia, and IVRI presented itself in the tender with the same distribution of services already used in the Expo "Event" tender and the lack of participation by Italpol in the tender were not deemed sufficient elements to prove the extension of the agreement to this procedure.</w:t>
      </w:r>
    </w:p>
    <w:p>
      <w:r>
        <w:t>246. The subsequent Arca 1 and Arca 2 tenders, which can be evaluated jointly in light of their symmetry and the identical participation methods adopted by the Parties, assume particular strategic relevance because they concerned all properties (including hospitals) managed by the Lombardy Region. The tenders were structured into 12 lots divided by geographical areas. The first, which included the perimeter of Milan, represented alone over 80% of the total amount of the tender and was of crucial importance as it centralized all the main properties of the Region (notably the building housing the Lombardy Region). At the time of the publication of the ARCA 1 tender, Sicuritalia, Allsystem, and IVRI were already active in those areas due to the previous Infrastrutture Lombarde tender. Italpol, for its part, had significant supplies to hospital companies254. The Parties thus decided to unite in RTI to avoid the risk of competing against each other and, consequently, losing their clients to other companies participating in the cartel, which, it is reiterated, are the main operators in the sector. Through the chosen participation methods, the Parties were able to maintain, expanding them, their respective areas of operation in Lot 1 and, at the same time, ensure the possibility of performing the service according to their respective areas of interest in the other lots. Italpol, in particular, saw its share increase compared to the past, thus finding further compensation for the withdrawals made in the aforementioned Expo tenders255. Contrary to what Italpol has claimed, the fact that it has seen its share increase compared to the past is entirely consistent, as already noted, with the withdrawals made in the aforementioned Expo tenders, which were shortly before the first Arca tender.</w:t>
      </w:r>
    </w:p>
    <w:p>
      <w:r>
        <w:t>247. This outcome emerges from the behaviors adopted by the Parties, who first defined their respective areas of interest, gathering strategic information on the services previously rendered256 and then reached specific agreements on the distribution of services within the ATI in order to respect the aforementioned areas, except for making adjustments and compensations based on specific requests. In this regard, an email dated November 2, 2016, related to the ARCA 1 tender, from Sicuritalia to IVRI, Allsystem, and Italpol is emblematic, in which it states: "As you may have seen from the tender documents, price assumes great relevance in the awarding methods of the tender. I ask you, in order to protect the position of the ATI (as the main supplier of the contracted administrations) to produce the list of employed personnel and, according to you, what the average cost of personnel for the change of contract is. The idea is to make an instrumental clarification to avoid dumping offers. What do you think?"257. Also significant is an email from Allsystem to Sicuritalia in which the former, following a hypothetical distribution within the ATI, writes: "What do you think??? I grow little anyway... but at least..."</w:t>
      </w:r>
    </w:p>
    <w:p>
      <w:r>
        <w:t>248. The division logic also manifested itself regarding the distribution of lots other than Lot 1, in which the Parties presented themselves in the tender in RTI for each lot and, simultaneously, signed a division agreement in which they reallocated the lots geographically based on their respective interests, even assigning some entirely to individual companies, completely contradicting what was stated during participation in the tender. This behavior is aimed at avoiding presenting bids "in a checkerboard pattern," each for the lot of interest, and aims to disguise the division through the typical legal arrangement of the RTI. This is clearly explained in an internal email to Sicuritalia in which, referring to the RTI distribution presented in the tender, it states: "The [distribution N.d.R.] that I forwarded to ... is the formal one with fictitious shares for everyone's participation in all lots. It was decided, in fact, to avoid the risk of a cartel to do everything together. There will be shareholder agreements that will redefine the shares in substance..."</w:t>
      </w:r>
    </w:p>
    <w:p>
      <w:r>
        <w:t>249. The stipulation of a "true ATI" and the consequent reallocation of the lots (and not of the individual shares within a lot) constitutes a real agreement that does nothing but reveal the actual cause of the RTI contract: the allocation of services based on the preferences of the individual participants replacing collusion with a dynamic based on competition. The conduct assumes particular gravity also because it is an agreement among the main security companies active in Italy and which includes by far the strongest in Lombardy, thus those from whom the greatest mutual competition could be expected to contend for the contract.</w:t>
      </w:r>
    </w:p>
    <w:p>
      <w:r>
        <w:t>250. This agreement has a clear anti-competitive object and cannot in any way be justified as it constitutes a typical market division prohibited and is considered one of the most serious violations of Article 101 TFEU. Through this agreement, in fact, the Parties secured the award of 11 of the 12 lots of the ARCA tenders (all those they participated in) ensuring the elimination of competition from the most formidable opponents (the other parties in the cartel). At the same time, by uniting their apparatuses, they made it more likely to succeed in the evaluation of the technical offer compared to other competitors outside the cartel (which indeed occurred in the ARCA 1 tender)260. It should be noted that this technical evaluation is also completely distorted for the lots other than Lot 1 in which the Parties declared to perform the service in RTI and instead, in the true ATI, it was foreseen that they would perform it individually for their respective areas of interest.</w:t>
      </w:r>
    </w:p>
    <w:p>
      <w:r>
        <w:t>251. In this context, it is significant to recall the different participation methods of the Parties in the previous Infrastrutture Lombarde tender, which had a similar perimeter and structure, in which</w:t>
      </w:r>
    </w:p>
    <w:p>
      <w:r>
        <w:rPr>
          <w:b/>
        </w:rPr>
        <w:t>[Pages 85–87]</w:t>
      </w:r>
    </w:p>
    <w:p>
      <w:r>
        <w:t>BULLETIN NO. 50 OF DECEMBER 16, 2019 87</w:t>
      </w:r>
    </w:p>
    <w:p>
      <w:r>
        <w:t>themselves formed an RTI for the first two lots, subsequently participating individually (and sometimes competing against each other) in the lots other than Lots 1 and 2, which were smaller in size. However, this strategy resulted in only a partial award to them in the tender, and the failure to win as many as 10 lots out of 12 (only Sicuritalia, among the parties, had won 2 lots on that occasion).</w:t>
      </w:r>
    </w:p>
    <w:p>
      <w:r>
        <w:t>252. Now turning to the analysis of the defenses presented by the Parties, all the companies stated that the contested ATIs were necessary because otherwise it would not have been possible to participate in the tender and/or make a competitive offer. In this regard, it should first be noted that the contested conduct does not consist of participating in the tenders in the form of a grouping, but rather in the instrumental use of the ATIs to allocate work geographically and/or by client. From this perspective, it is not the ATI itself that is restrictive, but the purely allocative purpose that characterizes it and that emerges from a multitude of evidence mentioned above.</w:t>
      </w:r>
    </w:p>
    <w:p>
      <w:r>
        <w:t>253. More specifically, Allsystem noted that it had to establish the ATI in the Arca 2016 tender because it was not active at the time in concierge services. This observation is without merit since the Arca Vigilanza 2016 tender did not foresee the provision of concierge services. The justification appears even more far-fetched since for the Arca 2017 tender, announced when Allsystem was fully active in concierge services, Allsystem still decided to participate in the same composition in RTI and responded to Sicuritalia's invitation to participate in ATI stating: "ok, that works for me, entering this time also in the concierge ATI." This email only demonstrates that Allsystem was well aware that the Arca Vigilanza tender, to which this proceeding refers, did not foresee concierge services since it requested to participate in a different ATI for the "concierge" tender. Additionally, it should be noted that, unlike Italpol and IVRI, Allsystem, through its subsidiary Allsystem-1, also held the SOA OS 30, a participation requirement requested in the tender.</w:t>
      </w:r>
    </w:p>
    <w:p>
      <w:r>
        <w:t>254. IVRI and Italpol stated that they had to conclude an RTI because they did not possess the SOA OS 30 certification required by the tender. They also added that they were forced to go into ATI with Sicuritalia as the only security company holding such a requirement. In this regard, it should first be noted that the SOA OS 30 is a certification related to plant maintenance work and that, therefore, as a rule, it is not held by security companies. Sicuritalia, moreover, did not possess the SOA OS 30 certification, instead holding the SOA OG 11 and therefore being legally allowed to subcontract the services to a company holding the SOA OS 30. The entirely singular circumstances in this context are that IVRI and Italpol could well have associated, instead of with their main competitor, with any company active in the field of plant maintenance holding the SOA OS 30. This was, moreover, the fully rational behavior of companies outside the cartel that, as emerges from the comparison between Tables 8 and 11, participated in the tenders in RTI with a non-competing company in the security sector but active in the different sector of plant maintenance, holding the SOA OS 30. Furthermore, the contracting authority, in response to the questions, had stated that "the competitor who as a single company does not possess [the SOA OS 30 N.d.R.]... must use associative tools of the company [...] (e.g.: RTI: security company associated with a plant installation company with qualification OS 30...)".</w:t>
      </w:r>
    </w:p>
    <w:p>
      <w:r>
        <w:t>255. All the Parties justified their participation in RTI with the complexity of the required service. This justification, hypothetically admissible exclusively for Lot 1 (since by the Parties' express admission the other lots were of minimal size) would still not be acceptable, as in any case it does not justify the conclusion of a collusive agreement for the purpose of allocating the lots of a tender according to the preferences and previous competencies of each. The allocative intent, the true justifying reason for the joint participation, clearly emerges also from the methods by which the shares of participation in the ATI were decided, based on an allocation corresponding to the services previously rendered by each of the Parties and, subsequently, to the services actually provided to the contracting authority. In this perspective, the content of an email between the Parties from December 2017 is emblematic, in which it is stated "the principle that must guide us is that no one should enrich themselves improperly at the expense of others and, equally, no one should impoverish themselves to the advantage of others." In an email between the Parties from February 2018 on the occasion of the Arca 2 tender, it is stated: "I think it is useful for us to sit around a table calmly to define at least the logic of the distribution of the tender in question. I will try to summarize: given that the 'fixed point' and essential aspect of the tender are the % shares of distribution, these must be corrected according to what the entities will order and not what was foreseeable at the time of the tender..."</w:t>
      </w:r>
    </w:p>
    <w:p>
      <w:r>
        <w:t>256. The justification invoked by the Parties for the coordinated participation in the other lots of the ARCA tenders takes on new connotations. As seen, the Lots from 2 to 11 in which the Parties participated were of minimal size and the services could undoubtedly have been rendered by the Parties individually, possibly associating with companies holding the SOA OS 30 qualification. However, the Parties participated with an RTI with variable shares in all lots. This was because "to participate in the first lot, the parties of the RTI entrusted an external company with the drafting of a very complex and costly technical report. This project could not be used, at the time of submitting the offers, by all the companies individually, even in the other lots, and this created the need to associate even in the remaining smaller lots." For Italpol, "the fundamental choice was to participate in RTI for Lot 1, participation in the other lots was conditioned by the grouped participation in Lot 1 which allowed for the pooling of a series of things including the technical project and the SOA certification, not held by Italpol. In any case, the Parties decided to participate in ATI for the entire tender, if such participation is lawful and not excessive, for the reasons listed above, this applies to all lots."</w:t>
      </w:r>
    </w:p>
    <w:p>
      <w:r>
        <w:t>257. This justification is clearly unacceptable as the pretext of sharing an expense (the technical project - about €60,000) cannot certainly be a justification for the conclusion of a collusive agreement (even if in the form of RTI) for the lots of a tender.</w:t>
      </w:r>
    </w:p>
    <w:p>
      <w:r>
        <w:t>258. The argument intertwines, moreover, with the methods by which this participation was realized: the establishment, both in the Arca 1 tender and in the Arca 2 tender, of a true ATI, corresponding to the real intentions of the Parties (which is nothing more than a true collusive agreement) and a fake ATI, presented to the contracting authority, as per the table that follows.</w:t>
      </w:r>
    </w:p>
    <w:p>
      <w:r>
        <w:t xml:space="preserve">Table 37 - ARCA 2 Tender: distribution of ATI Parties  </w:t>
        <w:br/>
        <w:t>Source: extract doc. 852</w:t>
      </w:r>
    </w:p>
    <w:p>
      <w:r>
        <w:t>259. Regarding this behavior, Allsystem stated that it was unaware of a true ATI different from the ATI presented at the time of the offer. This awareness, in reality, emerges from numerous documents in which Allsystem, together with the other Parties, is involved in the establishment of the ATI. Notably, doc. 238, an email from IVRI to Sicuritalia, Italpol, and Allsystem dated December 16, 2016, states that in light of the sending of the "fake" ATI, "we reiterate that obviously the private agreement with the values shared from previous negotiations must be signed BEFORE THE SUBMISSION." Additionally, docs. 28 and 29, internal emails at Allsystem, forward emails sent by Sicuritalia to Italpol. Allsystem and IVRI with an attached file containing the distribution of the "true" ATI.</w:t>
      </w:r>
    </w:p>
    <w:p>
      <w:r>
        <w:rPr>
          <w:b/>
        </w:rPr>
        <w:t>[Pages 88–90]</w:t>
      </w:r>
    </w:p>
    <w:p>
      <w:r>
        <w:t>90 BULLETIN NO. 50 OF DECEMBER 16, 2019</w:t>
      </w:r>
    </w:p>
    <w:p>
      <w:r>
        <w:t>260. The other Parties defended themselves regarding the stipulation of a different lot allocation agreement compared to the RTI agreement submitted in the tender, claiming that it was an agreement on the execution of the service, different from the RTI agreement, established because "not all participants in the RTI could offer the service in the declared areas, but only where they had the licenses and/or sufficient operational capacity; this explains the discrepancy between participation shares in the RTI, where all members had to be listed ("fake ATI") and shares for service execution ("real ATI"), which is peacefully acknowledged by administrative jurisprudence"274.</w:t>
      </w:r>
    </w:p>
    <w:p>
      <w:r>
        <w:t>261. Such defenses clearly miss the mark as they aim to shield, through the institution of the RTI, the collusive behavior adopted by the Parties through the division of lots, with an almost checkerboard system (see Table 9). To fully appreciate this illegitimate modus operandi, it suffices to think that, as noted by the Parties themselves275, if they had agreed to participate in the different lots in the manner indicated in the real ATI, it would undoubtedly have resulted in a classic case of a cartel with checkerboard offers.</w:t>
      </w:r>
    </w:p>
    <w:p>
      <w:r>
        <w:t>262. In this perspective, the possibility, peacefully recognized by administrative jurisprudence276, to modify the execution shares of the ATI compared to the shares declared at the time of the application for participation in the tender, limited to service contracts277, does not appear to be a pertinent defense. This possibility, in fact, can only be exercised exclusively within the same lot and, as a rule, is exercised in a phase subsequent to the award when, during execution, the Parties decide to better allocate the shares of service execution in order to efficiently carry out the service. In this case, however, the real ATI, concurrent with the formulation of the "fake" ATI presented to the contracting authority, does not respond to efficiency reasons subsequent (and not foreseeable) to the time of formulation of the tender applications but to prior allocation reasons that even determined the choice to foresee the full assignment of certain lots to specific companies in their entirety, creating a total deviation from the declared allocation. The argument by Italpol, that it would have considered the tender for 12 lots as a single tender, and for this reason the change of shares on the various lots would not have been restrictive, cannot be accepted. It is indeed known, as Sicuritalia points out, that "it is clear that each lot constitutes the elements of a different tender procedure"278.</w:t>
      </w:r>
    </w:p>
    <w:p>
      <w:r>
        <w:t>274 See doc. 3791, minutes of Sicuritalia. Similarly, Italpol, doc. 3798, states that "the non-formal shares contained in the Real ATI are the execution shares that differ from the participation shares also in order to avoid unnecessary duplications in small-sized lots. This possibility of differentiation is, moreover, peacefully acknowledged by administrative jurisprudence [...]. Participation in the tender was guided by participation in Lot 1, not all participants were present in the same lot and were well aware that the execution shares would differ from those communicated. ...".</w:t>
      </w:r>
    </w:p>
    <w:p>
      <w:r>
        <w:t>275 See doc. 258 internal email to Sicuritalia dated December 16, 2016, in which the necessary formalities for participating together in the tender in question begin to be organized and it reads: "the [allocation N.d.R.] that I forwarded to ... is the formal one with even fictitious shares for the participation of all in all lots. It was decided, in fact, to avoid the risk of a cartel to do everything together. There will be shareholders' agreements that will redefine the shares in substance to return to your table."</w:t>
      </w:r>
    </w:p>
    <w:p>
      <w:r>
        <w:t>276 See, for example, C.d.S. August 22, 2016, no. 3666; C.d.S. February 25, 2016, no. 786 and October 28, 2015, no. 4942.</w:t>
      </w:r>
    </w:p>
    <w:p>
      <w:r>
        <w:t>277 On the works see lastly C.d.S. Ad. Plen. March 27, 2016, no. 6.</w:t>
      </w:r>
    </w:p>
    <w:p>
      <w:r>
        <w:t>278 See 3920, Sicuritalia's memories.</w:t>
      </w:r>
    </w:p>
    <w:p>
      <w:r>
        <w:t>BULLETIN NO. 50 OF DECEMBER 16, 2019 91</w:t>
      </w:r>
    </w:p>
    <w:p>
      <w:r>
        <w:t>263. This modification, moreover, is also in contrast with the lex specialis which expressly requires that at least one participant in the RTI holds the SOA certification OS 30279. In the real ATI, this rule is disregarded in Lots 4, 5, 6, 8, 9, and 11 where Sicuritalia is not present. Moreover, this has been clearly admitted by the Parties who declared that they could not participate individually in lots other than the 1st precisely due to the lack of SOA OS 30280. In this context, no relevance can be given to IVRI's assertion that it would have been clear among the Parties that in the lots where Sicuritalia was absent, the Parties would still have availed themselves of its collaboration, as such assertion adds nothing to the illegitimacy of the conduct adopted.</w:t>
      </w:r>
    </w:p>
    <w:p>
      <w:r>
        <w:t>VIII.2.3.2 Tenders that transcend the territory of the Lombardy region</w:t>
      </w:r>
    </w:p>
    <w:p>
      <w:r>
        <w:t>VIII.2.3.2.1 The Trenord 1 and Intercent-ER (1 and 2) tenders</w:t>
      </w:r>
    </w:p>
    <w:p>
      <w:r>
        <w:t>264. From the elements in the case file, it has been possible to further extend the scope of the cartel to the tenders announced by Trenord, Intercent-ER, and ATAC between 2013 and 2016. Even in these areas, in fact, agreements for the allocation of services put out to tender, instrumental subcontracting agreements, and more generally, the establishment of RTIs detached from efficiency considerations but having as their real objective the allocation of tenders have been found.</w:t>
      </w:r>
    </w:p>
    <w:p>
      <w:r>
        <w:t>265. With reference to the "Trenord 1" tender, the documents in the case file reveal the objective of Allsystem, Sicuritalia, Italpol, and IVRI to allocate the services to be rendered in Lombardy. This emerges from the allocation of areas within the ATI that sees the Parties engaged in dividing the territory of Lombardy with percentages that are, moreover, very similar to those seen above in the Expo tenders (Sicuritalia 31%, IVRI 30%, Allsystem 28%) with an additional participation of 10% from Italpol. It is noted that the Trenord tender was announced on June 21, 2014, during the same period as the Expo tender (event), announced in August 2014.</w:t>
      </w:r>
    </w:p>
    <w:p>
      <w:r>
        <w:t>266. In this context, Coopservice is included in the agreement as another important operator, mainly active in Emilia Romagna, due to a previous agreement made with Sicuritalia (the leading company of the ATI), in which the Parties agree to leave Coopservice the services in Mantova281, despite both Sicuritalia and other members of the ATI holding the prefectural license valid for the territory of Mantova. It should be noted, in fact, that Mantova, while being in Lombardy, is considered a territory under the jurisdiction of Coopservice.</w:t>
      </w:r>
    </w:p>
    <w:p>
      <w:r>
        <w:t>267. The instrumental nature of the ATI also emerges from the circumstance that the division of services was carried out at a time when, contrary to what the Parties claimed, they did not have full knowledge of the services required by the contracting authority. Two years after this allocation, never communicated to the contracting authority, in fact, in an internal email from the IVRI group, it reads: "we managed to recover, as we were saying a little while ago, also the agreements decided and signed between the members of the ATI (07/25/2014) in terms of percentages of services to be performed even though at that time there was no precise indication of the services to be performed, the locations, and the methods of delivery"282. It is indicative that, despite this, the Parties maintained the identical territorial division they had agreed upon in 2014, without even questioning the appropriateness of reviewing such areas when, in 2016, the re-admission to the tender283 occurred.</w:t>
      </w:r>
    </w:p>
    <w:p>
      <w:r>
        <w:t>268. The changed market conditions, even in terms of the operators' capacity to provide services, two years later could well have justified a reflection on the shares decided previously. Even this evidence can only confirm, therefore, the absence of efficiency reasons that guided the stipulation of the RTI in question, particularly with reference to the territory of Lombardy, and the absolute instrumental nature of it in order to conceal a territorial division of services.</w:t>
      </w:r>
    </w:p>
    <w:p>
      <w:r>
        <w:t>269. Regarding Trenord, it should be clarified that, contrary to what Italpol has stated about the relevance of the ruling of the Tar Lombardia annulling Trenord's decision to exclude the RTI composed of the parties to the proceedings (see Tar Lombardia Ruling December 30, 2015, no. 2870)284, it merely stated that "unlike what the appellant claimed [...] it is not the overdimensioning of the a.t.i. in itself that is unlawful, but the insertion of such overdimensioning in a context of factual elements that denote the illicit purposes pursued with an instrument, that of the a.t.i., which is lawful in itself"285. The TAR, therefore, simply observed that, from the set of elements available, the existence of an agreement between the Parties could not be said to be proven. This assumption is clearly based on an incomplete evidentiary framework that did not allow the Judge to appreciate the entirety of the elements described above that allow precisely to frame the ATI among the Parties, in the Trenord tender, in a broader collusive scheme, in which they, in the highlighted tenders, divided the security services with particular reference, in this specific case, to the Lombardy Region.</w:t>
      </w:r>
    </w:p>
    <w:p>
      <w:r>
        <w:t>270. Sicuritalia and IVRI also participated, together with Coopservice, in the Intercent-ER tenders of 2013 and 2015, concerning the regional properties of Emilia Romagna, which will be analyzed together, in light of the identical participation methods adopted. For these tenders, the geographical allocation, based on historical shares, is revealed by an internal email to IVRI in which it admits not having requested higher shares in the ATI so as not to disturb the collusive balance achieved. In this email, drafted on the occasion of the "Intercent-ER 2" tender and referring to the "Intercent-ER 1" tender, it reads, in fact: "... this grouping is the result of a history that has been ongoing over time to maintain certain balances that, as ... tells me, would see:</w:t>
        <w:br/>
        <w:t>- IVRI all services in Piacenza and Parma;</w:t>
        <w:br/>
        <w:t>- Coopservice all services in Reggio, Modena, and part of Bologna;</w:t>
        <w:br/>
        <w:t>- La Patria a part of the services in Bologna;</w:t>
        <w:br/>
        <w:t>- Sicuritalia a part of the services in Bologna;</w:t>
        <w:br/>
        <w:t>- Cvo (Corpo Vigili notturni) the services in Romagna.</w:t>
        <w:br/>
        <w:t>Therefore, the current ATI is as follows:</w:t>
        <w:br/>
        <w:t>38% Coopservice Lead (has taken the services of Axitea that were in Bologna so it has grown)</w:t>
        <w:br/>
        <w:t>17% IVRI</w:t>
      </w:r>
    </w:p>
    <w:p>
      <w:r>
        <w:rPr>
          <w:b/>
        </w:rPr>
        <w:t>[Pages 91–93]</w:t>
      </w:r>
    </w:p>
    <w:p>
      <w:r>
        <w:t>BULLETIN NO. 50 OF DECEMBER 16, 2019 93</w:t>
      </w:r>
    </w:p>
    <w:p>
      <w:r>
        <w:t xml:space="preserve">16% cvo  </w:t>
        <w:br/>
        <w:t xml:space="preserve">15% la Patria  </w:t>
        <w:br/>
        <w:t xml:space="preserve">14% Sicuritalia  </w:t>
        <w:br/>
        <w:t xml:space="preserve">I asked if we had requested to increase our share compared to the past, but the historical agreement, Borgonovo tells me, is the one mentioned above for Città… therefore Axitea's share, being in Bologna, has been acquired by Coopservice286.  </w:t>
        <w:br/>
        <w:t xml:space="preserve">271. The redistributive purpose underlying the establishment of the RTI in question is further confirmed by the discontent expressed by IVRI in response to that email, in which it observes: "it is not possible that they do not compare with the base; we in Bologna take nothing having the license, while others do not have the title like Sicuritalia...".  </w:t>
        <w:br/>
        <w:t xml:space="preserve">272. Similarly, in an email from August 2013, Sicuritalia addresses Coopservice asking for a larger share within the ATI for participation in “Intercent-ER 1”: "the proposal you made is very far from what we would have expected. Again, you propose to give us a 'new' part that is by no means guaranteed to materialize. As you well know, in fact, the budget can be absorbed by already existing contracts... So we need to find a solution. I asked you for 20%, you propose 4% without any actual certainty. Does that seem reasonable to you? I do not want to wage war, but that does not mean you should take advantage of it [...] Sicuritalia is in the ATI with the agreement that it should bill 3 million over 2 years. But if that were not the case, each year it will bill the ATI 10% of the difference between what is actually billed and 1,500,000 of annual competence. In this way: if we bill the client, all is well; otherwise, we recover something and the ATI remains standing at reasonable quotes. This seems reasonable and fair to me and in everyone's interest"287.  </w:t>
        <w:br/>
        <w:t xml:space="preserve">273. Of similar significance is an internal email from Sicuritalia from January 2016, which reveals the collusion between Coopservice and Sicuritalia with the subject "Coopservice", in which it reads: "do you have any updates?" the response is: "still nothing. To mediate, I proposed to mix three concessions that they could grant us:  </w:t>
        <w:br/>
        <w:t xml:space="preserve">- part in tariff share (requested 0.70);  </w:t>
        <w:br/>
        <w:t xml:space="preserve">- part of subcontracting (requested 1 m);  </w:t>
        <w:br/>
        <w:t xml:space="preserve">- part as greater volumes (imbalance of ATI shares) in the Sardinia Region. I await responses by tomorrow. Obviously, I also asked for rates in Rome. [Coopservice] could call you on the subject. I explained to them that, despite the great respect we have for them (Intercent-ER Emilia Romagna in general), they cannot consider themselves exempt from competition and ask for entire regions. What we ask is to form a partnership"288.  </w:t>
        <w:br/>
        <w:t xml:space="preserve">274. The logic of partition between Sicuritalia and Coopservice clearly emerges in an email with an unmistakable subject: "clients to be passed for Intercent-ER sent 12_09_16.xls" and containing an attachment with various services in the provinces of Milan, Piacenza, and Verona (for a total of €532,282), in which it reads: "… please call … (Coopservice), they must pass us this work, negotiate the rates as best as you can and start the services as soon as possible"289.  </w:t>
        <w:br/>
        <w:t xml:space="preserve">286 Cfr. doc. 404.  </w:t>
        <w:br/>
        <w:t xml:space="preserve">287 Cfr. doc. 3445 and 3446. See also doc. 2510.  </w:t>
        <w:br/>
        <w:t xml:space="preserve">288 Cfr. doc. 2499.  </w:t>
        <w:br/>
        <w:t>289 Cfr. doc. 2498.</w:t>
      </w:r>
    </w:p>
    <w:p>
      <w:r>
        <w:t xml:space="preserve">94 BULLETIN NO. 50 OF DECEMBER 16, 2019  </w:t>
        <w:br/>
        <w:t xml:space="preserve">275. Analyzing the agreements containing the shares of the ATI established for the “Intercent-ER 2” tender, it clearly emerges the logic of maintaining the current shares (see Table 31) and a partition only for "new acquisition" services. The relationships between Sicuritalia, Coopservice, and IVRI therefore completely transcend the economic function of the RTI and, once again, are characterized by inadmissible redistributive purposes in a market where the relationships between companies should, instead, be guided by purely competitive logic.  </w:t>
        <w:br/>
        <w:t xml:space="preserve">276. Regarding these tenders, the Parties observed that resorting to the RTI must be considered rational - and therefore fully legitimate - whenever the tender requires the provision of services in geographical areas not covered by prefectural licenses. Following the Parties' argument, it would therefore seem impossible to expand their territorial scope of operation due to the difficulty of obtaining license extensions. On this point, it is worth recalling what Axitea, one of the main competitors of the Parties, stated, that now, compared to the past, "the authorization, still provincial, must be requested from the prefectural office where the company's legal headquarters is located. If the company intends to operate in other provinces, it must always refer to the office of the legal headquarters requesting a geographical extension of its authorization, which is provided in much shorter times than in the past. Additionally, often, the tender notices provide the possibility to participate in the selection by expressing the intention to request the license in a specific geographical area. It should also be noted that currently the issuance of the license is subject to fewer constraints than before, even in terms of the local placement of branches"290. The same ANAC, moreover, in its very recent Guidelines291 has emphasized the introduction of a tacit consent mechanism in the assignment of licenses as an element suitable to ensure a quicker conclusion of the procedure. In this perspective, ANAC has highlighted the need to include, in the tender notices, the possibility of participating by exclusively presenting the application for license extension.  </w:t>
        <w:br/>
        <w:t xml:space="preserve">277. Secondly, it is worth noting some contradictions in which the Parties themselves have fallen, having observed the impossibility of requesting a license extension on the occasion of a single tender and participating by exclusively presenting the application for extension, even fearing the danger of such behavior given that "in case of award there is a risk that the license will not then be issued"292. It must, in fact, be emphasized that, from the documents on file, it appears that the Parties have, at times, participated in the tenders in question by exclusively presenting a license extension application293.  </w:t>
        <w:br/>
        <w:t xml:space="preserve">278. Regarding the Intercent-ER tenders, IVRI and Sicuritalia stated that the RTI was necessitated by the fact that they did not possess the licenses for all the areas involved in the tender. In reality, as emerged from the inspection documents, the partition in the tender is the result of a real agreement294 so much so that Sicuritalia attempted (successfully) to obtain more services295 - moreover without caring about their geographical placement - and IVRI had complaints internally regarding the fact that "it is not possible that … we in Bologna take nothing having the license while others do not have the title like Sicuritalia..."296.  </w:t>
        <w:br/>
        <w:t xml:space="preserve">279. Similarly, with the agreement made by Sicuritalia and Italpol regarding the “Trenord 2” tender, the former commits to subcontract to the latter services "possibly within the provinces where Italpol has a prefectural license"297 thus highlighting the possibility of assigning services even outside Italpol's provincial area of activity. Similarly, it has been seen that when Sicuritalia decides to take initiatives against IVRI, following the refusal to enter into a vaguely defined "agreement", it immediately decides to request license extensions in Naples, Palermo, and Catania, once again highlighting the relative ease, for companies of the caliber of those parties to the proceedings, to extend territorially, where they are truly interested in doing so298.  </w:t>
        <w:br/>
        <w:t xml:space="preserve">280. In any case, it must be reiterated that the licensing system cannot certainly constitute a valid justification for the conclusion of market partition agreements such as those under examination.  </w:t>
        <w:br/>
        <w:t xml:space="preserve">281. Ultimately, from the elements mentioned above, it emerges that the agreements between the Parties, although typified in the form of ATI, had the function of partitioning the lots of the Expo, ARCA, Intercent-ER, and Trenord tenders in order to avoid competitive competition in the tender. On this point, it is well known that the consistent jurisprudence has repeatedly clarified that "what matters for antitrust purposes is not the legitimacy or otherwise of a specific conduct but the anticompetitive scope of a series of acts, even, in theory, legitimate in themselves [...] the circumstance that ATI and consortia are the result of typified legal transactions does not exclude their contrariety to antitrust law, when it is shown that the concrete cause of the same, understood as the socio-economic function of the transaction, is illicit as it aims to establish a structure contrary to imperative norms [...] it is indeed not in question the economic-social function of the ATI contract nor its legal typicality, but its concrete use, which occurred with anticompetitive purposes and, therefore, for the pursuit of illicit interests"299.  </w:t>
        <w:br/>
        <w:t xml:space="preserve">It is also necessary to emphasize that agreements aimed at market partitioning have an object that restricts competition in itself and belong to a category of agreements expressly prohibited by Article 101, paragraph 1, TFEU, since such an object cannot be justified through an analysis of the economic and legal context in which the anticompetitive conduct in question is inscribed300. The Jurisprudence has therefore stated that "a restrictive agreement aimed at market partitioning cannot constitute a justification for"295.  </w:t>
        <w:br/>
        <w:t xml:space="preserve">294 Cfr. doc. 404.  </w:t>
        <w:br/>
        <w:t xml:space="preserve">295 Cfr. docc. 3445 and 3446. See also doc. 2510.  </w:t>
        <w:br/>
        <w:t xml:space="preserve">296 Cfr. doc. 404. See also docs. 2832 and 3449.  </w:t>
        <w:br/>
        <w:t xml:space="preserve">297 Cfr. docc. 1608 and 1609.  </w:t>
        <w:br/>
        <w:t xml:space="preserve">298 Cfr. doc. 2602.  </w:t>
        <w:br/>
        <w:t xml:space="preserve">299 Cfr. C.d.S., June 30, 2016, no. 2947. In the same sense, ex multis, C.d.S. June 13, 2014, no. 3032.  </w:t>
        <w:br/>
        <w:t>300 Court of Justice EU, December 19, 2013, joined cases C-239/11 P, C 489/11 P, and C 498/11 P.</w:t>
      </w:r>
    </w:p>
    <w:p>
      <w:r>
        <w:rPr>
          <w:b/>
        </w:rPr>
        <w:t>[Pages 94–96]</w:t>
      </w:r>
    </w:p>
    <w:p>
      <w:r>
        <w:t>96 BULLETIN NO. 50 OF DECEMBER 16, 2019</w:t>
        <w:br/>
        <w:t>circumstance that, otherwise, the company would not have been able to pursue its commercial interests»301.</w:t>
      </w:r>
    </w:p>
    <w:p>
      <w:r>
        <w:t>282. Lastly, it is worth contesting the broad reference made by Sicuritalia, in its final memorandum, to the Guidelines on the applicability of Article 101 of the TFEU to horizontal cooperation agreements, in the part relating to marketing agreements302, stating that an RTI justified by efficiency reasons that provides a significant benefit to the contracting authority "obviously does not constitute a restriction of competition either by object or by effect - having had pro-competitive effects - and therefore cannot, by definition, integrate the elements of a violation of Article 101"303. This reasoning would be confirmed by the fact that the parties, having been unable to participate individually in the tenders, would not have been able to exert any competitive pressure as they were not potential competitors among themselves.</w:t>
      </w:r>
    </w:p>
    <w:p>
      <w:r>
        <w:t>283. The thesis is clearly erroneous. Firstly, it does not fit the case at hand in which, as seen, the RTI is merely a veil to conceal from the contracting authority an agreement for the allocation of lots. The fact that this agreement is called "ATI Vera" does not change the assessment, which is clearly that of a restrictive agreement by object aimed at market allocation for which, if anything, an assessment under Article 101.3 TFEU (not requested by the Parties) could be abstractly hypothesized (see par. 25 Guidelines).</w:t>
      </w:r>
    </w:p>
    <w:p>
      <w:r>
        <w:t>284. Even if one were to follow the path outlined by Sicuritalia, thus ignoring the numerous exogenous elements that contribute to highlighting the true nature of the restrictive agreements in question in both the ARCA tenders and other procedures, it cannot be overlooked that, as emerges from the same cited Guidelines, "horizontal cooperation agreements concluded between competitors that, based on objective criteria, would not be able to carry out the project or activity subject to cooperation independently - due to, for example, the limited technical capabilities of the parties - normally do not have restrictive effects on competition under Article 101, paragraph 1, unless the competitors would not have been able to carry out the project with less stringent restrictions" (point 30). The Guidelines, dealing with consortia, specify that "it is unlikely that a marketing agreement would raise competition concerns if it is objectively necessary to allow one party to enter a market in which it would not have succeeded in entering individually, or with a more limited number of those actually participating in the cooperation..." (point 237). The Commission, therefore, clarifies that horizontal cooperation agreements can escape the application of Article 101 TFEU only where it is demonstrated that the parties would not have been able to enter the market alone or with a more limited number of parties.</w:t>
      </w:r>
    </w:p>
    <w:p>
      <w:r>
        <w:t>285. In the case of the ARCA tenders, for example, the Parties could have participated, if not individually, in a much narrower formation than that adopted, as successfully done by other competitors of much smaller size who submitted admissible bids (see Table 8 and Table 11) and, in ARCA 2, also won the service despite not being able to rely on prior experience.</w:t>
      </w:r>
    </w:p>
    <w:p>
      <w:r>
        <w:t>286. Contrary to what the Parties claim, the Guidelines specify, instead, that "restrictions exceeding what is strictly necessary to achieve the efficiency gains generated by a marketing agreement do not meet the criteria of Article 101, paragraph 3. The issue of indispensability is particularly important for agreements that involve price fixing or market allocation, which can only be considered indispensable in exceptional circumstances" (point 249). Furthermore, contrary to what the parties have argued, the documentation in the case file has shown that the tenders subject to this investigation were awarded to the Parties at prices higher than those they indicate as the market average304 and, often, at prices significantly higher than their competitors, where present305.</w:t>
      </w:r>
    </w:p>
    <w:p>
      <w:r>
        <w:t>VIII.2.3.2.2 The ATAC and Trenord 2 Tenders</w:t>
      </w:r>
    </w:p>
    <w:p>
      <w:r>
        <w:t>287. The agreement also manifested itself through the recurring conclusion of subcontracting agreements in which one party undertook not to participate (alone or in RTI) in a tender and the other party undertook to assign, in case of award, a share in subcontracting.</w:t>
      </w:r>
    </w:p>
    <w:p>
      <w:r>
        <w:t>288. The first case in which this circumstance occurred is that of the Atac tender announced on February 27, 2015. The tender provided for two lots of 49.4 and 14.9 million euros respectively for security and porter services. For the first lot, an RTI composed of Italpol, Security service, and Coopservice participated, and for the second lot, an RTI composed of Italservizi 2007, Security service, National Service, and Sicuritalia participated. Both RTIs submitted an economic offer that included a 0.8% discount on the auction base value.</w:t>
      </w:r>
    </w:p>
    <w:p>
      <w:r>
        <w:t>289. An agreement was found in the case file between Sicuritalia, Italpol, and Italservizi 2007 (a company controlled by Italpol306) in which the Parties mutually decide how to participate in the tender, providing that Sicuritalia will not participate in Lot 1 (in any form of participation). In exchange, Italservizi 2007 commits to assign, in case of award of Lot 2, 100% of the armed security services. In the event of the award of both lots, Italpol also commits to assign an additional 20,000 hours in subcontracting from Lot 1. In the case of the award of only Lot 1, Italpol commits to assign Sicuritalia a share of armed security services on Lot 1 equal to 75,000 annual hours.</w:t>
      </w:r>
    </w:p>
    <w:p>
      <w:r>
        <w:t>290. The illegality of the aforementioned agreement is clear and resides in its object. On this occasion, the Parties agree to coordinate their participation in the tender, even providing, in writing, a counterparty in the same tender consisting of the assignment, in subcontracting, of security services. Coopservice is clearly involved in this matter, as emerges not only from the formal participation in RTI in the first lot but also from the minutes of the Executive Committee, which state, among other things, "ATAC, we have requested feedback from Italpol regarding the doubling of the services assigned to us (as provided for by the agreements)"307. The observations of Coopservice, Italpol, and Sicuritalia, that the reasons for the ATI should be sought in the willingness of the three companies to share financial risk, do not seem credible as it is not understood why Coopservice would be so eager to obtain the "doubling" of the assigned services and why Sicuritalia would agree to enter into the aforementioned agreement. In any case, the established crisis situation cannot justify agreements that aim to distort the outcome of the tender, not to mention that the competitors had offered significantly lower prices and that it is therefore entirely plausible that in the absence of the agreement, the same parties, competing against each other, could have ensured savings for the contracting authority, avoiding exacerbating the crisis situation.</w:t>
      </w:r>
    </w:p>
    <w:p>
      <w:r>
        <w:t>291. Similar behavior was found in the "Trenord 2" tender, announced on April 18, 2016, for onboard train security services. Three competing RTIs participated in the tender, one of which was excluded. The final evaluation phase of the offers received the RTI composed of Sicuritalia, Coopservice, and Allsystem and the RTI composed of Civis, IVRI, and others.</w:t>
      </w:r>
    </w:p>
    <w:p>
      <w:r>
        <w:t>292. Regarding this tender, the anti-competitiveness of the participation of Sicuritalia, Coopservice, and Allsystem must be noted in light of the instrumental nature of the RTI, which emerges forcefully also from an agreement signed by Sicuritalia (lead) and Italpol, which states: "Italpol hereby expresses its intention not to participate in the tender in question, under any form of participation (individually, in ATI, Consortium, GEIE, etc.). Sicuritalia undertakes to assign in subcontracting in case of award of the tender, to Italpol a share equal to 20% of the armed security services provided for in the tender specifications, possibly within the provinces where Italpol holds the prefectural license..."308. The fact that the subcontracting assignment is a counterparty for Italpol's non-participation in the tender and not a necessity for the execution of the service emerges from subsequent emails related to the SEA tender in which Sicuritalia's personnel, irritated with Italpol for not being included in the ATI with which the latter is participating in the tender, writes: "on what should we activate subcontracts for Italpol? Let's hold them back to get SEA in return." In response, it reads: "Trenord." "We can hold this back, right?" "Yes, we are not obliged"309.</w:t>
      </w:r>
    </w:p>
    <w:p>
      <w:r>
        <w:t>293. It should be noted that in no way can agreements of this kind be justified. On this point, Italpol and Sicuritalia, both with reference to the "Trenord 2" tender and the Atac tender, stated that the agreement was justified as there was a need to ensure compliance with the commitment to participate in subcontracting without running the risk that the company designated as the subcontractor would decide, at the last moment, to participate in the tender independently or in RTI with others310. This circumstance, according to the Parties, would have led to the exclusion of both from the tender as the contracting authority, seeing that one indicated the other as the subcontractor, would have excluded both.</w:t>
      </w:r>
    </w:p>
    <w:p>
      <w:r>
        <w:rPr>
          <w:b/>
        </w:rPr>
        <w:t>[Pages 97–99]</w:t>
      </w:r>
    </w:p>
    <w:p>
      <w:r>
        <w:t>BULLETIN NO. 50 OF DECEMBER 16, 2019 99</w:t>
        <w:br/>
        <w:t>that, in turn, had also participated independently in the tender, could have raised a functional connection between them.</w:t>
        <w:br/>
        <w:t>294. It should first be noted that, contrary to what was stated by Sicuritalia and Italpol, neither in the ATAC tender nor in the “Trenord 2” tender311 did the Parties indicate the name of the subcontractor. Even if the latter had participated in the tender, there would have been no risk of exclusion from it, since the contracting authority could not have raised any objections, as the parties did not indicate any subcontracting company.</w:t>
        <w:br/>
        <w:t>295. In the tenders in question, moreover, the fact that Italpol for the “Trenord 2” tender and Sicuritalia for the ATAC tender could not participate individually is entirely irrelevant since the agreement provided for non-participation in any form, including collective participation (RTI, etc.). In this case, the companies have therefore used a legally permissible tool, such as subcontracting, to bend it to their partitioning needs, arriving at a collusive arrangement through the annulment of mutual competition312.</w:t>
        <w:br/>
        <w:t>296. In both cases, it is evident that the assignment of the subcontract exceeds the needs of the participating grouping to organize the service, given that the activation of the same subcontract follows compensatory logics, linked to the uncertain outcome of other tenders. In fact, with reference to the “Trenord 2” tender, it was seen that such subcontracting was used by Sicuritalia as “bargaining chip” with Italpol to obtain the possibility of “entering” into ATI in the different SEA tender313, highlighting the “compensatory” purpose of the transaction completely detached from the management needs of the service that should, instead, govern it. Also in this case, moreover, except for IVRI, the core of the ATI remains the same and involves the aforementioned companies, in a context of extensive collaboration repeatedly highlighted. Similarly, for the ATAC tender, as seen, Coopservice feared in internal minutes the doubling of the services entrusted on the “basis of the agreements made”314, once again revealing the existence of parallel agreements to the RTI and, thereby, the instrumental nature of the same with respect to the main purpose of customer distribution.</w:t>
        <w:br/>
        <w:t>297. Finally, it should be noted that Sicuritalia's objection - that the “Trenord 2” agreement would not have been signed and the commitments would not have crystallized - is contrary to the longstanding and consistent jurisprudence according to which an agreement is restrictive of competition regardless of whether the agreement has a legally binding content or not315. Moreover, it is decisive that the agreement has been fully executed.</w:t>
        <w:br/>
        <w:t>311 See doc. 3826 (Trenord information) and 3728 (ATAC information).</w:t>
        <w:br/>
        <w:t>312 See also doc. 2514, internal email from Sicuritalia dated August 1, 2017, titled “Trenord,” which states: “I see Italpol and Allsystem in half an hour. For Trenord, I will speak. We then decided not to force our presence at the meetings.” In response, it reads: “watch out for Italpol's left overtaking, which, having GPG and the Roman channel, is gobbling up all the contracts... let me know the outcome.” After the meeting, it reads: “talked at 12, everything should be fine.” From this email, it clearly emerges that Sicuritalia, contrary to what was claimed, was perfectly aware of Italpol's competitive strength.</w:t>
        <w:br/>
        <w:t>313 See docs. 2512, 2474, and 2374.</w:t>
        <w:br/>
        <w:t>314 See docs. 3555, 3610, 3554, and 3557.</w:t>
        <w:br/>
        <w:t>315 In particular, “[...] the circumstance that the projects gradually discussed by the parties have or have not ultimately been signed is irrelevant from an antitrust perspective, since an agreement must be understood as any meeting of wills coming from a plurality of independent subjects, which can also manifest itself in the actual implementation of a simple letter of intent, or in a tacit acquiescence to another's proposal, regardless of whether it has given rise to legally binding obligations akin to a true contract” (Council of State, September 13, 2012, no. 4873).</w:t>
      </w:r>
    </w:p>
    <w:p>
      <w:r>
        <w:t>100 BULLETIN NO. 50 OF DECEMBER 16, 2019</w:t>
        <w:br/>
        <w:t>298. In light of the evidence mentioned above, it must be reiterated here that agreements such as those under examination regarding non-participation in a public tender constitute an unlawful agreement316; similarly, agreements that provide for the waiver of participation in the tender in exchange for compensatory advantages provided by the counterparty in the form of service assignments in subcontracting are unlawful and anti-competitive due to their very content “unlawful and anti-competitive due to its very content”317.</w:t>
        <w:br/>
        <w:t>VIII.2.3.3 The privileged relationships between the Parties: compensations</w:t>
        <w:br/>
        <w:t>299. The elements on record have revealed a dense intertwining of bilateral relationships among all the parties involved in the proceedings, which account for how they were accustomed to exchanging both clients and contracts or parts thereof, with the aim of maintaining their respective previous positions.</w:t>
        <w:br/>
        <w:t>300. Such relationships, often identified by the Parties as “compensations,” have been defined as “the situation in which an operator realizes that it has entrusted certain volumes to another operator and has received from the latter more limited volumes and therefore communicates the hope of receiving further volumes that at least partially rebalance the reciprocal give/take accounts. It will then be up to the other operator to decide whether and how to proceed in this regard”318. This type of agreement creates a vicious circle whereby a potentially lawful cooperation agreement between two companies transforms into a market-sharing agreement and maintenance of previous shares.</w:t>
        <w:br/>
        <w:t>301. In fact, numerous elements have highlighted “compensation” relationships not limited to private contracts and that have an impact on the tenders subject to the proceedings. It is worth mentioning, for example, the document titled “clients to be passed through Intercent-ER”319, in which Sicuritalia identifies a series of clients that Coopservice must transfer to it. Similarly, the document regarding an agreement between Allsystem and Sicuritalia is recalled, in which the latter undertakes to transfer to the former contracts worth €1,500,000 over three years320. Table 38 summarizes the main documents that account for such privileged relationships and their reflection on the tenders subject to the proceedings.</w:t>
        <w:br/>
        <w:t>316 See C.d.S. March 2, 2001, no. 1191.</w:t>
        <w:br/>
        <w:t>317 See C.d.S. February 28, 2017, no. 928.</w:t>
        <w:br/>
        <w:t>318 See, for all, Sicuritalia, hearing minutes, doc. 3791.</w:t>
        <w:br/>
        <w:t>319 See doc. 2498.</w:t>
        <w:br/>
        <w:t>320 See doc. 170.</w:t>
      </w:r>
    </w:p>
    <w:p>
      <w:r>
        <w:t>BULLETIN NO. 50 OF DECEMBER 16, 2019 101</w:t>
        <w:br/>
        <w:t>Table 38 - Main documents of the relations between the Parties</w:t>
        <w:br/>
        <w:t>Source: documents in the case file</w:t>
        <w:br/>
        <w:t>302. The set of analyzed elements reveals how mutual trust constitutes, for the Parties, a particularly significant bond that influences the commercial decisions to be adopted both in relations with private clients and, specifically regarding the case at hand, in the decisions to be made during participation in public tenders subject to the proceedings. In this logic, therefore, subcontracting is used as a bargaining chip for further and different participations in tenders (as in the case of Trenord-SEA)321 and, similarly, participation in ATI, instead of competing in the tender, is compensated through the transfer of private clientele (“Clients to be passed through Intercent-ER”)322. At the same time, the increase or decrease in client assignments is useful for directing the decisions of commercial partners, as clearly emerged from the minutes of Coopservice and from the analysis of the friction moment recorded between Sicuritalia and IVRI, in which the former, as a reaction to the failure to conclude a contract,</w:t>
      </w:r>
    </w:p>
    <w:p>
      <w:r>
        <w:rPr>
          <w:b/>
        </w:rPr>
        <w:t>[Pages 100–102]</w:t>
      </w:r>
    </w:p>
    <w:p>
      <w:r>
        <w:t>102 BULLETIN NO. 50 OF DECEMBER 16, 2019</w:t>
        <w:br/>
        <w:t>unspecified agreement, decides to extend its territorial competence and to revoke some service assignments in place with the second party.</w:t>
        <w:br/>
        <w:t>VIII.2.4 The imputability of the agreement also to the controlling companies</w:t>
        <w:br/>
        <w:t>303. As already anticipated, from the jurisprudence of the Court of Justice, it emerges that Union law on competition concerns the activities of companies and that the concept of a company includes any entity that carries out an economic activity, regardless of its legal status and its financing methods. In fact, the notion of a company, within this context, must be understood in the sense that it refers to an economic unit, even if, from a legal perspective, such an economic unit is made up of multiple persons, whether natural or legal323.</w:t>
        <w:br/>
        <w:t>304. The existence of a single economic entity, in particular, is found when a subject, while having a distinct legal personality, does not independently determine its own course of action in the market, but essentially adheres to the instructions given to it by another subject, particularly in light of the economic, organizational, and legal ties that bind the two legal entities. According to established jurisprudence, moreover, “[i]n the particular case where a parent company holds 100% of the capital of its subsidiary that has engaged in unlawful behavior, there is a simple presumption that such parent company exercises a decisive influence over the behavior of its subsidiary,” and that they therefore constitute a single company under Article 101, paragraph 1, TFEU.</w:t>
        <w:br/>
        <w:t>305. In application of these principles, liability for the infringement, jointly with the controlled companies, is also attributed to MC Holding; Skibs and Biks; Lomafin. MC Holding, in particular, while contesting this attribution, has not provided suitable elements to exclude the exercise of decisive influence over Italpol. The other Parties have not contested the attribution to the parent companies.</w:t>
        <w:br/>
        <w:t>IX. CONCLUSIONS</w:t>
        <w:br/>
        <w:t>306. The set of elements described above allows us to conclude that the parties to the proceedings have established a unique, ongoing, and complex agreement, of a secret and restrictive nature regarding its object, which has materialized in the coordinated participation in a significant number of public tenders announced between 2013 and 2017 by contracting authorities located in Lombardy, Emilia Romagna, and Lazio for the assignment of armed security services and related services. The agreement is attributable to all the Parties and, in the context of sanctions, the degree of responsibility will be taken into account based on the different behaviors exhibited by the companies in participating in the cartel (see infra).</w:t>
        <w:br/>
        <w:t>307. The agreement was realized through systematic participation in temporary groupings of companies, which were instrumental in the division of the market and disconnected from efficiency motivations in the provision of the service. Such RTIs were accompanied in various cases by “collateral” agreements – unknown to the contracting authorities – for the division of lots, as well as subcontracting agreements whereby the Parties committed not to participate in tenders in competition with other cartel members in exchange for the other Parties recognizing them a share of the contract. In some cases, the agreement was also manifested through abstention from participating in certain tenders.</w:t>
        <w:br/>
        <w:t>308. The overall aim of such conduct was to sterilize mutual competition among the Parties and to allow them to maintain their market positions. The non-belligerent attitude among the Parties observed in the tenders subject to investigation was reinforced and supported by “commercial compensations” among the Parties, in the form of customer exchanges and/or contracts, aimed at maintaining the balance of their positions in the market and reducing the incentives to adopt competitively aggressive behaviors.</w:t>
        <w:br/>
        <w:t>309. The instrumental nature of resorting to legal transactions that are lawful in themselves and provided for by the regulations on public contracts, such as groupings of companies and subcontracting, emerges strongly from the numerous evidences that show how the guiding criteria in the use of these instruments have been the maintenance of previous positions and the “balances” achieved. Notable, in this regard, are the cases where the entire service assigned to an RTI was carried out by a single company of the grouping, as well as the cases where the awarding of subcontracts was conditioned on the outcome of different tenders or on the obtaining – by the competitor – of other forms of compensation; similarly telling, in this regard, is the fact that the Parties, associated in RTI, have substantially maintained the same distribution of services – quantitative and geographical – in different tenders, regardless of the different scope and nature of the services subject to the assignments.</w:t>
        <w:br/>
        <w:t>310. The agreement was fully implemented and resulted in the division of significant public tenders, with the effect of depriving the contracting authorities, involved from time to time, of obtaining the services under the conditions – also in terms of economic offers – that would have emerged from the full unfolding of competition among the Parties, which, as noted, are all primary operators in the market. It is also noted that out of 10 tenders, the agreement resulted in the awarding of 9.</w:t>
        <w:br/>
        <w:t>X. HARM TO TRADE BETWEEN MEMBER STATES</w:t>
        <w:br/>
        <w:t>311. According to the European Commission, the concept of harm to trade between Member States must be interpreted taking into account the direct or indirect, real or potential influence on trade flows between Member States. Significant in this regard are the community relevance of the tender procedures in question, the fact that the services subject to the tenders concern the entire territory of important regions (Lombardy, Emilia Romagna, and Lazio) that boast a significant population. Consequently, the agreement in question, being capable of causing harm to trade between Member States, must be assessed under Article 101 TFEU324.</w:t>
        <w:br/>
        <w:t>XI. SEVERITY OF THE AGREEMENT</w:t>
        <w:br/>
        <w:t>312. Article 15, paragraph 1, of Law No. 287/1990 provides that the Authority, in cases of serious infringements, taking into account their severity and duration, shall impose an administrative pecuniary sanction of up to 10% of the turnover achieved by each company or association in the last financial year closed prior to the notification of the warning adopted as a result of an investigative procedure.</w:t>
        <w:br/>
        <w:t>313. According to established European and national jurisprudence, to assess the severity of an infringement, a multiplicity of factors must be taken into account, the nature and importance of which vary depending on the type of infringement and the particular circumstances of the case at hand. Among these factors, the nature of the restriction of competition as well as the role and market representation of the companies involved are particularly relevant.</w:t>
        <w:br/>
        <w:t>314. Regarding the nature of the agreement in question, based on the investigative findings, it has been established that the companies Allsystem, Coopservice, IVRI, Italpol, and Sicuritalia have established, within the described tenders, a secret, horizontal agreement that restricts competition, aimed at the division of the market and the crystallization of their respective areas of competence through the coordination of their mutual participatory strategy in particularly important public tenders, in order to condition their dynamics to neutralize competitive confrontation for the awarding of contracts. The agreement has been fully implemented and, with the exception of the Arca 2 tender (2017), has resulted in the awarding of all the tenders subject to it.</w:t>
        <w:br/>
        <w:t>315. It is noted that the concertation involved the major players in the reference market.</w:t>
        <w:br/>
        <w:t>316. Additionally, the methods by which the cartel was adopted, also through agreements among the Parties of various natures, kept hidden from the contracting authorities, aimed at the division of tenders, can only characterize this agreement as secret. Particularly significant in this regard are the “fake RTIs” presented in the ARCA tenders precisely to disguise the allocation agreement, as well as the pre-tender agreements whereby they agreed to abstain from participating in the procedures – and thus reduce competitive confrontation – in exchange for subcontracts or other compensatory lots entirely detached from the needs of executing the service requested by the contracting authority.</w:t>
        <w:br/>
        <w:t>317. The described behavior is considered among the most serious violations of antitrust law as it, by its very nature, appears capable and intended to alter, in the event of awarding the tenders – as subsequently occurred – for the entire duration of the assignment, the normal functioning of competition; in particular, the established anticompetitive behavior constitutes a very serious infringement of Article 101 TFEU.</w:t>
        <w:br/>
        <w:t>XII. SANCTIONS</w:t>
        <w:br/>
        <w:t>318. In order to quantify the sanction, it is necessary to take into account what is provided for by Article 11 of Law No. 689/1981, as recalled by Article 31 of Law No. 287/90, as well as the interpretative criteria outlined in the “Guidelines on the application of the criteria for quantifying administrative pecuniary sanctions imposed by the Authority in application of Article 15, paragraph 1, of Law No. 287/90” (hereinafter, Guidelines), adopted by the Authority on October 22, 2014, in compliance with what is also provided for by Article 15, paragraph 1 of Law No. 287/90 regarding the maximum limit of 10% of the total turnover of the company.</w:t>
        <w:br/>
        <w:t>319. Following points 7 and following of the Guidelines, the base amount of the sanction is obtained by multiplying a percentage of the value of sales, determined based on the severity of the infringement to the duration of each company's participation in the infringement.</w:t>
      </w:r>
    </w:p>
    <w:p>
      <w:r>
        <w:rPr>
          <w:b/>
        </w:rPr>
        <w:t>[Pages 103–105]</w:t>
      </w:r>
    </w:p>
    <w:p>
      <w:r>
        <w:t>BULLETIN NO. 50 OF DECEMBER 16, 2019 105</w:t>
      </w:r>
    </w:p>
    <w:p>
      <w:r>
        <w:t>320. In particular, based on point 18 of the Guidelines, "in general, even in cases of collusion within public procurement procedures, the Authority will consider the value of sales directly or indirectly affected by the unlawful act. In principle, this value corresponds, for each company participating in the collusive practice, to the amounts subject to award or put up for auction in the absence of an award or otherwise entrusted as a result of private negotiation in the procedures affected by the infringement, without the need to introduce adjustments for the duration of the infringement."</w:t>
      </w:r>
    </w:p>
    <w:p>
      <w:r>
        <w:t>321. In this specific case, therefore, the value of sales corresponds to the awarded amount of each tender to which the Parties (at the group level including Sicuritalia Group Service, IVRI Servizi Fiduciari) participated - and were awarded - falling within the partitioning scheme identified and demonstrated in this proceeding (namely, ARCA 1, Trenord 1 and 2, Expo2015 "Event", Expo2015 "ex Lot 3", Intercent-ER 1 and 2, and ATAC 1 and 2). The exception to this criterion is the ARCA 2 tender, to which the Parties participated but did not emerge as winners325. Regarding this tender, instead of the awarded amount, the amount offered by the Parties was taken into account. Similarly, regarding Lot 3 of the Expo2015 "Event" tender, Italpol is attributed the value of the offer submitted and subsequently excluded from the tender.</w:t>
      </w:r>
    </w:p>
    <w:p>
      <w:r>
        <w:t>322. The hypothesis proposed by the Parties to refer to the actual revenue generated as a result of supply orders issued by the administrations is not worthy of acceptance. This approach would indeed lead to referencing amounts completely disconnected from the agreement, as the Parties planned their conduct in order to coordinate their respective participation strategies based on the amounts put to tender, the only ones available at the time of the realization of the agreement326.</w:t>
      </w:r>
    </w:p>
    <w:p>
      <w:r>
        <w:t>323. The total value of sales achieved by each Party was finally calculated considering the actual share of distribution (at the group level) provided within the ATI of the amount of the service awarded in the tenders subject to collusion. The value thus determined corresponds to the revenue that the Parties expected to achieve as a result of the unlawful act.</w:t>
      </w:r>
    </w:p>
    <w:p>
      <w:r>
        <w:t>324. In this regard, with reference to the ARCA 1 and ARCA 2 tenders, in order to more accurately identify the proceeds derived from the unlawful act, it was deemed appropriate to consider the "real" distribution of the ATI agreed upon by the Parties, concurrently with the submission of the offers (so-called "true ATI"). Regarding the Trenord 2 and ATAC tenders, moreover, the value of sales attributed to each of the Parties takes into account the subcontracting agreements entered into in view of participation in the tender between Sicuritalia and Italpol (with the addition of Italservizi 2007 in the case of the ATAC tender).</w:t>
      </w:r>
    </w:p>
    <w:p>
      <w:r>
        <w:t>325. For the purposes of determining the base amount of the sanction, the specific revenue as determined above must be applied a specific percentage identified based on the severity of the violation. According to the Guidelines, in particular, the proportion considered must be</w:t>
      </w:r>
    </w:p>
    <w:p>
      <w:r>
        <w:t>325 Cdr. Tar Lazio, October 17, 2018, no. 11004.</w:t>
      </w:r>
    </w:p>
    <w:p>
      <w:r>
        <w:t>326 It should be noted that this criterion has been repeatedly confirmed by Jurisprudence. See on this point C.d.S., February 28, 2017, no. 928 and Tar Lazio, October 17, 2018, no. 11004, whereby "the 'deterrent' function of the 'antitrust' sanction - aside from what will be specified later - can only be referred to preventing 'a priori' a collusion for anticompetitive purposes and to do this it can only reference values existing at the time of the conduct related to the specific case and to the elements then in possession of the companies, such as the base amount of the contract regarding which the 'collusion' took place and not the subsequent actual measure of realization of the revenue 'in concrete', since - as illustrated previously - if the harm to the relationship of free competition is punishable in itself, regardless of the anticompetitive effects 'in concrete' recorded in the market, it follows that the reference revenue cannot but be detached from what was 'in concrete' realized."</w:t>
      </w:r>
    </w:p>
    <w:p>
      <w:r>
        <w:t>106 BULLETIN NO. 50 OF DECEMBER 16, 2019</w:t>
      </w:r>
    </w:p>
    <w:p>
      <w:r>
        <w:t>set at a level that can reach 30% of the value of sales, "based on the degree of severity of the violation" (point 11)</w:t>
      </w:r>
    </w:p>
    <w:p>
      <w:r>
        <w:t>BULLETIN NO. 50 OF DECEMBER 16, 2019 107</w:t>
      </w:r>
    </w:p>
    <w:p>
      <w:r>
        <w:t>Table 39 - Base amounts, offer of the Parties, and awarded amounts</w:t>
      </w:r>
    </w:p>
    <w:p>
      <w:r>
        <w:t>| Amount | Offer | Amount | Allsystem | Coopservice | Italpol | IVRI | Sicuritalia |</w:t>
        <w:br/>
        <w:t>|--------|-------|--------|-----------|-------------|---------|------|-------------|</w:t>
        <w:br/>
        <w:t>| TENDER CIG | base auction | Parties awarded | % ATI share | % ATI share | % ATI share | % ATI share | % ATI share |</w:t>
        <w:br/>
        <w:t>| ARCA 1 | Lot 1 - Milan | 6798512594 | 47,546,938 | 40,034,522 | 40,034,522 | 30.0 | 12,010,357 | - | - | 21.5 | 8,607,422 | 18.5 | 7,406,387 | 30.0 | 12,010,357 |</w:t>
        <w:br/>
        <w:t>| Lot 2 - Varese | 6798523EA5 | 1,844,636 | 1,553,184 | 1,553,184 | 40.0 | 621,273 | - | - | - | - | 60.0 | 931,910 |</w:t>
        <w:br/>
        <w:t>| Lot 3 - Brescia | 6798526123 | 1,230,836 | 1,036,364 | 1,036,364 | - | - | - | - | - | - | 100.0 | 1,036,364 |</w:t>
        <w:br/>
        <w:t>| Lot 4 - Cremona | 679853046F | 975,578 | 821,437 | 821,437 | - | - | - | - | - | 100.0 | 821,437 | - | - |</w:t>
        <w:br/>
        <w:t>| Lot 5 - Monza-Brianza | 6798540CAD | 896,306 | 754,690 | 754,690 | 60.0 | 452,814 | - | - | - | 40.0 | 301,876 | - | - |</w:t>
        <w:br/>
        <w:t>| Lot 6 - Bergamo | 67985461A4 | 848,289 | 714,259 | 714,259 | 60.0 | 428,556 | - | 40.0 | 285,704 | - | - | - |</w:t>
        <w:br/>
        <w:t>| Lot 7 - Como | 679854834A | 807,933 | 694,822 | 694,822 | - | - | - | - | - | - | 100.0 | 694,822 |</w:t>
        <w:br/>
        <w:t>| Lot 8 - Pavia | 6798553769 | 782,553 | 658,910 | 658,910 | - | - | - | - | - | 100.0 | 658,910 | - | - |</w:t>
        <w:br/>
        <w:t>| Lot 9 - Sondrio | 6798558B88 | 499,968 | 420,973 | 420,973 | - | - | - | 100.0 | 420,973 | - | - | - |</w:t>
        <w:br/>
        <w:t>| Lot 10 - Lecco | 6798563FA7 | 445,330 | 391,890 | 391,890 | - | - | - | - | - | 100.0 | 391,890 |</w:t>
        <w:br/>
        <w:t>| Lot 11 - Lodi | 6798565152 | 387,000 | 325,931 | 325,931 | - | - | - | - | - | 100.0 | 325,931 | - | - |</w:t>
        <w:br/>
        <w:t>| Total | 56,265,367 | 47,406,982 | 47,406,982 | 13,512,999 | - | 9,314,099 | 9,514,540 | 15,065,343 |</w:t>
        <w:br/>
        <w:t>| ARCA 2 | Lot 1 - Milan | 7292637A6C | 40,034,522 | 38,817,472 | 38,789,448 | 30.0 | 11,645,242 | - | - | 21.5 | 8,345,756 | 18.5 | 7,181,232 | 30.0 | 11,645,242 |</w:t>
        <w:br/>
        <w:t>| Lot 2 - Varese | 7292655947 | 1,553,184 | 1,491,056 | 1,458,129 | 40.0 | 596,422 | - | - | - | - | 60.0 | 894,634 |</w:t>
        <w:br/>
        <w:t>| Lot 3 - Brescia | 72926640B7 | 1,036,364 | 979,364 | 972,938 | - | - | - | - | - | - | 100.0 | 979,364 |</w:t>
        <w:br/>
        <w:t>| Lot 4 - Cremona | 7292673822 | 821,437 | 792,100 | 771,165 | - | - | - | - | - | 100.0 | 792,100 | - | - |</w:t>
        <w:br/>
        <w:t>| Lot 5 - Monza-Brianza | 7292683065 | 754,690 | 727,737 | 708,503 | 60.0 | 436,642 | - | - | - | 40.0 | 291,095 | - | - |</w:t>
        <w:br/>
        <w:t>| Lot 6 - Bergamo | 72926862DE | 714,259 | 696,038 | 692,046 | 60.0 | 417,623 | - | 40.0 | 278,415 | - | - | - |</w:t>
        <w:br/>
        <w:t>| Lot 7 - Como | 72926927D0 | 694,822 | 670,504 | 652,299 | - | - | - | - | - | - | 100.0 | 670,504 |</w:t>
        <w:br/>
        <w:t>| Lot 8 - Pavia | 7292698CC2 | 658,910 | 635,377 | 618,584 | - | - | - | - | - | 100.0 | 635,377 | - | - |</w:t>
        <w:br/>
        <w:t>| Lot 9 - Sondrio | 72927041B9 | 420,973 | 419,879 | 395,210 | - | - | - | 100.0 | 419,879 | - | - | - |</w:t>
        <w:br/>
        <w:t>| Lot 10 - Lecco | 7292708505 | 391,890 | 378,174 | 367,907 | - | - | - | - | - | 100.0 | 378,174 |</w:t>
        <w:br/>
        <w:t>| Lot 11 - Lodi | 7292718D43 | 325,931 | 314,291 | 305,984 | - | - | - | - | - | 100.0 | 314,291 | - | - |</w:t>
        <w:br/>
        <w:t>| Total | 47,406,982 | 45,921,992 | 45,732,213 | 13,095,929 | - | 9,044,051 | 9,214,095 | 14,567,917 |</w:t>
        <w:br/>
        <w:t>| TRENORD | Trenord 1 | 581159256E | 9,968,270 | 8,223,470 | 8,223,470 | 20.2 | 1,661,141 | 2.4 | 199,008 | 7.2 | 593,735 | 21.7 | 1,780,381 | 23.1 | 1,898,799 |</w:t>
        <w:br/>
        <w:t>| Trenord 2 | 66686811A7 | 9,802,400 | 9,802,400 | 9,802,400 | 24.0 | 2,352,576 | 9.0 | 882,216 | 20.0 | 1,960,480 | - | - | 47.0 | 4,607,128 |</w:t>
        <w:br/>
        <w:t>| Total | 19,770,670 | 18,025,870 | 18,025,870 | 4,013,717 | 1,081,224 | 2,554,215 | 1,780,381 | 6,505,927 |</w:t>
        <w:br/>
        <w:t>| EXPO2015 | Event - Lot 1 | 5888698351 | 9,686,164 | 9,582,389 | 9,582,389 | 26.0 | 2,492,379 | - | - | - | 33.2 | 3,180,395 | 33.2 | 3,180,395 |</w:t>
        <w:br/>
        <w:t>| Event - Lot 2 | 58887069E9 | 9,556,233 | 9,448,123 | 9,448,123 | 26.6 | 2,512,256 | - | - | - | 32.9 | 3,107,488 | 32.9 | 3,107,488 |</w:t>
        <w:br/>
        <w:t>| Event - Lot 3 | 58887194A5 | 4,338,455 | 4,314,719 | 4,314,719 | - | - | - | - | 100.0 | 4,314,719 | - | - | - |</w:t>
        <w:br/>
        <w:t>| Ex Lot 3 | 6102589FBD | 2,973,783 | 2,951,391 | 2,951,391 | 22.6 | 665,539 | - | - | - | 33.2 | 978,386 | 33.2 | 978,386 |</w:t>
        <w:br/>
        <w:t>| Total | 26,554,635 | 26,296,621 | 26,296,621 | 5,670,174 | - | 4,314,719 | 7,266,268 | 7,266,268 |</w:t>
        <w:br/>
        <w:t>| INTERCENT-ER | Intercent-ER 1 | 5183781F64 | 30,000,000 | 29,700,000 | 29,700,000 | - | - | 30.0 | 8,910,000 | - | - | 17.0 | 5,049,000 | 14.0 | 4,158,000 |</w:t>
        <w:br/>
        <w:t>| Intercent-ER 2 | 6468614523 | 35,000,000 | 33,500,000 | 33,500,000 | - | - | 38.0 | 12,730,000 | - | - | 17.0 | 5,695,000 | 14.0 | 4,690,000 |</w:t>
        <w:br/>
        <w:t>| Total | 65,000,000 | 63,200,000 | 63,200,000 | - | 21,640,000 | - | 10,744,000 | 8,848,000 |</w:t>
        <w:br/>
        <w:t>| ATAC | Lot 1 | 6126634251 | 49,474,554 | 49,079,477 | 49,079,477 | - | - | 4.0 | 1,943,547 | 53.0 | 25,752,002 | - | - | - |</w:t>
        <w:br/>
        <w:t>| Lot 2 | 612665754B | 14,921,193 | 14,802,063 | 14,802,063 | - | - | - | - | - | - | 100.0 | 6,192,805 |</w:t>
        <w:br/>
        <w:t>| Total | 64,395,747 | 63,881,540 | 63,881,540 | - | 1,943,547 | 25,752,002 | - | 6,192,805 |</w:t>
        <w:br/>
        <w:t>| TOTAL | 2 | 79,393,401 | 2 | 64,733,005 | 2 | 64,543,226 | 36,292,819 | 24,664,771 | 50,979,085 | 38,519,285 | 58,446,261 |</w:t>
      </w:r>
    </w:p>
    <w:p>
      <w:r>
        <w:rPr>
          <w:b/>
        </w:rPr>
        <w:t>[Pages 106–108]</w:t>
      </w:r>
    </w:p>
    <w:p>
      <w:r>
        <w:t>108 BULLETIN NO. 50 OF DECEMBER 16, 2019</w:t>
      </w:r>
    </w:p>
    <w:p>
      <w:r>
        <w:t>326. In relation to the case at hand, it should be noted that, since this is a secret horizontal agreement for market allocation and coordinated price fixing, implemented by the major companies active at the national level in the relevant sector, the percentage of sales value is set at 15%, taking into account the indications provided in point 12 of the Guidelines, which identify this percentage as the minimum threshold for horizontal agreements such as the one established. The base amount of the resulting sanctions is reported in Table 40.</w:t>
      </w:r>
    </w:p>
    <w:p>
      <w:r>
        <w:t>Table 40 - Specific turnover, severity, and base amount</w:t>
      </w:r>
    </w:p>
    <w:p>
      <w:r>
        <w:t>327. The Guidelines also provide that the base amount of the sanction may be increased to take into account specific circumstances that aggravate the behavior exhibited (aggravating circumstances) or that mitigate the liability of the infringer (mitigating circumstances).</w:t>
      </w:r>
    </w:p>
    <w:p>
      <w:r>
        <w:t>328. Among the mitigating circumstances, the Guidelines include "the adoption and compliance with a specific compliance program, adequate and in line with European and national best practices. The mere existence of a compliance program will not be considered a mitigating circumstance in itself, in the absence of evidence of a real and concrete commitment to comply with what is provided in the program (for example, through full involvement of management, identification of personnel responsible for the program, identification and assessment of risks based on the sector of activity and operational context, organization of training activities appropriate to the economic size of the company, provision of incentives for compliance with the program as well as disincentives for non-compliance, implementation of monitoring and auditing systems)."</w:t>
      </w:r>
    </w:p>
    <w:p>
      <w:r>
        <w:t>329. In this regard, it is noted that the companies Coopservice, Italpol, IVRI, and Sicuritalia (including their parent companies) have provided evidence of having implemented compliance programs that ensure full involvement of management and have been reflected in the development of antitrust manuals, in seminars attended by the company's management and personnel operating in sensitive areas from an antitrust perspective, as well as in the appointment of antitrust officers tasked with monitoring their timely and concrete implementation. All programs have been implemented and communicated prior to the submission of the Communication of the investigative findings.</w:t>
      </w:r>
    </w:p>
    <w:p>
      <w:r>
        <w:t>330. In light of the above, it is believed that the initiatives of Coopservice, Italpol, IVRI, and Sicuritalia (including their parent companies) are in line with what is provided in point 23 of the Guidelines, and therefore a mitigating circumstance is recognized for these subjects to the extent of 5% (Table 41).</w:t>
      </w:r>
    </w:p>
    <w:p>
      <w:r>
        <w:t>BULLETIN NO. 50 OF DECEMBER 16, 2019 109</w:t>
      </w:r>
    </w:p>
    <w:p>
      <w:r>
        <w:t>331. Regarding Allsystem, however, no mitigating circumstance can be recognized as the company adopted a compliance program only on June 21, 2019 (well after the submission of the CRI), communicating it to the Authority only on September 24, 2019. This circumstance does not allow for an adequate assessment by the Authority, particularly regarding the effectiveness of its implementation.</w:t>
      </w:r>
    </w:p>
    <w:p>
      <w:r>
        <w:t>Table 41 - Base amount and mitigating circumstance for compliance</w:t>
      </w:r>
    </w:p>
    <w:p>
      <w:r>
        <w:t>332. As previously mentioned, during the proceedings, some requests for reduction of the sanction were received pursuant to point 31 of the Authority's Guidelines on the quantification of administrative sanctions from Italpol and MC Holding and Skibs and Biks.</w:t>
      </w:r>
    </w:p>
    <w:p>
      <w:r>
        <w:t>333. In this regard, it is recalled that such requests are deserving of acceptance, in accordance with paragraph 35 of the Commission Guidelines327, only in truly exceptional circumstances, with a view to preserving the deterrent effect of the sanction. Furthermore, the recognition of a reduction, as well as its quantification, must take place exclusively on the basis of objective evidence demonstrating a concrete risk of the company exiting the market due to the imposition of the sanction. Similarly, pursuant to the aforementioned paragraph 31 of the Guidelines, the company must provide complete, reliable, and objective evidence showing that the imposition of a sanction entails a concrete risk of exiting the market. In light of this premise, the following arguments are made regarding these requests, based on the information and financial statements provided by them.</w:t>
      </w:r>
    </w:p>
    <w:p>
      <w:r>
        <w:t>334. With reference to the request from Skibs and Biks, it should be noted that the aforementioned transfer agreement, by which IVRI was transferred from Skibs and Biks to Sicuritalia, provides, [omissis].</w:t>
      </w:r>
    </w:p>
    <w:p>
      <w:r>
        <w:t>335. [Omissis].</w:t>
      </w:r>
    </w:p>
    <w:p>
      <w:r>
        <w:t>336. The assessment of the request just outlined involves a double level of analysis. Firstly, it should be noted [omissis]. In this perspective, the Authority believes that, [omissis], the request for Inability to pay cannot be accepted, as IVRI, which would bear the sanction jointly, is part of the Sicuritalia group, which is solid and fully capable of absorbing the effects of a fine.</w:t>
      </w:r>
    </w:p>
    <w:p>
      <w:r>
        <w:t>337. However, in order to verify the potential effect of the sanction on Skibs and Biks, it should be observed, firstly, that the debt exposure of the Basile group is already critical regardless of the sanction that the Authority would impose.</w:t>
      </w:r>
    </w:p>
    <w:p>
      <w:r>
        <w:t>327 See Guidelines for the calculation of fines imposed under Article 23, paragraph 2, letter a), of Regulation (EC) No. 1/2003 (2006/C 210/02).</w:t>
      </w:r>
    </w:p>
    <w:p>
      <w:r>
        <w:t>110 BULLETIN NO. 50 OF DECEMBER 16, 2019</w:t>
      </w:r>
    </w:p>
    <w:p>
      <w:r>
        <w:t>338. The payment of the sanction amounting to a total of 5.49 million euros does not, in any case, jeopardize the restructuring and debt recovery plans of the companies in the Basile group. [Omissis].</w:t>
      </w:r>
    </w:p>
    <w:p>
      <w:r>
        <w:t>339. In conclusion, the payment of the sanction amounting to a total of 5.49 million euros does not appear to jeopardize the restructuring and debt recovery plans of the companies in the Basile group, plans that, being in the process of definition, could still change and therefore there does not appear to be a causal link between the sanction and a concrete risk of exit from the market for the Parties.</w:t>
      </w:r>
    </w:p>
    <w:p>
      <w:r>
        <w:t>340. Turning to the request from Italpol, it stated that, due to the numerous outstanding debts owed to it by public participation companies (such as Atac and Alitalia), the imposition of a possible sanction by the Authority would irreparably jeopardize Italpol's economic profitability, [omissis]328. Italpol has not submitted complete, reliable, and objective evidence showing that the imposition of a sanction entails a concrete risk of exiting the market.</w:t>
      </w:r>
    </w:p>
    <w:p>
      <w:r>
        <w:t>In light of the above, it is believed that the conditions do not exist to accept the request made.</w:t>
      </w:r>
    </w:p>
    <w:p>
      <w:r>
        <w:t>341. Therefore, the amounts of the sanctions are as indicated in Table 42 and are all below the statutory limit of 10% of the total turnover of the Parties for the year 2018 (Article 15, paragraph 1, of Law No. 287/90).</w:t>
      </w:r>
    </w:p>
    <w:p>
      <w:r>
        <w:t>Table 42 - Final sanctions</w:t>
      </w:r>
    </w:p>
    <w:p>
      <w:r>
        <w:t>CONSIDERING, therefore, that the companies Allsystem S.p.A., Coopservice S.Coop.p.A., Italpol Vigilanza S.r.l., and MC Holding S.r.l., IVRI S.p.A., SKIBS S.r.l., and Biks Group S.r.l., Sicuritalia S.p.A., and Lomafin SGH S.p.A., have engaged in a restrictive agreement of competition, with the aim of influencing the outcomes of the aforementioned tenders, through the elimination of mutual competitive confrontation and the allocation of lots to be awarded, in violation of Article 101 of the Treaty on the Functioning of the European Union;</w:t>
      </w:r>
    </w:p>
    <w:p>
      <w:r>
        <w:t>All of the above having been stated and considered;</w:t>
      </w:r>
    </w:p>
    <w:p>
      <w:r>
        <w:t>328 See doc. 3919, Italpol's memorandum.</w:t>
      </w:r>
    </w:p>
    <w:p>
      <w:r>
        <w:rPr>
          <w:b/>
        </w:rPr>
        <w:t>[Pages 109–111]</w:t>
      </w:r>
    </w:p>
    <w:p>
      <w:r>
        <w:t>BULLETIN NO. 50 OF DECEMBER 16, 2019 111</w:t>
      </w:r>
    </w:p>
    <w:p>
      <w:r>
        <w:t>RESOLUTION</w:t>
        <w:br/>
        <w:t>a) that the companies Allsystem S.p.A., Coopservice S.Coop.p.A., Italpol Vigilanza S.r.l. and MC Holding S.r.l., IVRI S.p.A., SKIBS S.r.l. and Biks Group S.r.l., Sicuritalia S.p.A. and Lomafin SGH S.p.A., have engaged in a restrictive agreement contrary to Article 101 of the Treaty on the Functioning of the European Union (TFEU), aimed at influencing the outcomes of the tenders for security services through the elimination of mutual competitive confrontation and the division of lots;</w:t>
        <w:br/>
        <w:t>b) that the companies Allsystem S.p.A., Coopservice S.Coop.p.A., Italpol Vigilanza S.r.l. and MC Holding S.r.l., IVRI S.p.A., SKIBS S.r.l. and Biks Group S.r.l., Sicuritalia S.p.A. and Lomafin SGH S.p.A. refrain in the future from engaging in behaviors similar to those subject to the established infringement, as stated in point a);</w:t>
        <w:br/>
        <w:t>c) that, due to the seriousness of the infringement referred to in point a), administrative monetary penalties be imposed, respectively, amounting to: €5,443,923 to Allsystem S.p.A.; €3,514,730 to Coopservice S.Coop.p.A.; €7,264,520 to Italpol Vigilanza S.r.l. and MC Holding S.r.l., jointly and severally; €5,488,998 to IVRI S.p.A., SKIBS S.r.l. and Biks Group S.r.l., jointly and severally; €8,328,592 to Sicuritalia S.p.A. and Lomafin SGH S.p.A., jointly and severally.</w:t>
        <w:br/>
        <w:t>The administrative monetary penalties referred to in point c) must be paid within ninety days from the notification of this Provision, using the tax codes indicated in the attached F24 model with identifying elements, pursuant to Legislative Decree No. 241/1997. Payment must be made electronically with a debit from one's bank or postal account, through home banking and CBI services provided by banks or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collection agent. In this case, the increase absorbs the late payment interest accrued during the same period.</w:t>
        <w:br/>
        <w:t>Immediate notification of the payments made must be given to the Authority, by sending a copy of the model certifying the payment made.</w:t>
        <w:br/>
        <w:t>This Provision will be notified to the interested parties and published in the Bulletin of the Antitrust Authority.</w:t>
      </w:r>
    </w:p>
    <w:p>
      <w:r>
        <w:t>112 BULLETIN NO. 50 OF DECEMBER 16, 2019</w:t>
        <w:br/>
        <w:t>Against this Provision, an appeal may be submitted to the TAR of Lazio, pursuant to Article 135, paragraph 1, letter b), of the Code of Administrative Procedure (Legislative Decree of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Filippo Arena Roberto Rustichelli</w:t>
      </w:r>
    </w:p>
    <w:p>
      <w:r>
        <w:t>BULLETIN NO. 50 OF DECEMBER 16, 2019 113</w:t>
        <w:br/>
        <w:t>A511 - ENEL/ANTITRUST CONDUCT IN THE ELECTRICITY SALES MARKET</w:t>
        <w:br/>
        <w:t>Provision No. 28001</w:t>
        <w:br/>
        <w:t>THE ANTITRUST AUTHORITY</w:t>
        <w:br/>
        <w:t>IN ITS MEETING of November 27, 2019;</w:t>
        <w:br/>
        <w:t>HEARD the Rapporteur Dr. Gabriella Muscolo;</w:t>
        <w:br/>
        <w:t>VIEWED Law No. 287 of October 10, 1990;</w:t>
        <w:br/>
        <w:t>VIEWED its resolution of October 22, 2014, which adopted the Guidelines on the application methods of the criteria for quantifying administrative monetary penalties imposed by the Authority in application of Article 15, paragraph 1, of Law No. 287/90 (hereinafter, briefly, "Guidelines");</w:t>
        <w:br/>
        <w:t>VIEWED its provision No. 27494 of December 20, 2018, adopted at the conclusion of proceeding No. A511, with which the Authority established that the conduct of the companies Enel S.p.A., Servizio Elettrico Nazionale S.p.A. and Enel Energia S.p.A. (hereinafter also collectively referred to as "ENEL group companies"), aimed at inducing users of the greater protection service to switch to the free market with Enel Energia by exploiting the exclusive availability of customer data from the greater protection service, and suitable to alter competitive dynamics in the retail electricity sales market to domestic and non-domestic end customers of smaller sizes in the territories where the ENEL group manages distribution activities, constituted an exclusionary abuse in violation of Article 102 TFEU;</w:t>
        <w:br/>
        <w:t>VIEWED that for the established violation, due to the seriousness and duration of the infringement, an administrative monetary penalty of €93,084,790.50 was imposed on the ENEL group companies, jointly and severally;</w:t>
        <w:br/>
        <w:t>VIEWED the judgments of the Regional Administrative Court for Lazio (hereinafter, "TAR Lazio") of October 17, 2019, No. 11954 and No. 11958, which partially accepted the appeals filed by the companies Enel Energia S.p.A. and Servizio Elettrico Nazionale S.p.A. and, as a result, annulled provision No. 27494 of December 20, 2018, in the part relating to the quantification of the penalty;</w:t>
        <w:br/>
        <w:t>VIEWING, in particular, the reasoning of the cited judgments, with which TAR Lazio set the parameters for the concrete determination of the penalty to be imposed on the appellants, referring the documents to the Authority so that it quantifies, in concrete terms, the amount of the same in accordance with the dictated indications;</w:t>
        <w:br/>
        <w:t>VIEWED the quantification parameters identified by the administrative judge in the cited judgments for the re-determination of the amount of the imposed monetary penalty, having TAR Lazio indicated how the Authority is particularly called to:</w:t>
        <w:br/>
        <w:t>“- take the value of the sales of the affected services made by the companies involved, or the revenue derived from the sale of electricity to small domestic and non-domestic end customers (so-called retail segment) in the territories where the ENEL Group operates the distribution and sales service under the greater protection regime, deriving it from the revenue of the year 2016;</w:t>
      </w:r>
    </w:p>
    <w:p>
      <w:r>
        <w:rPr>
          <w:b/>
        </w:rPr>
        <w:t>[Pages 112–114]</w:t>
      </w:r>
    </w:p>
    <w:p>
      <w:r>
        <w:t>114 BULLETIN NO. 50 OF DECEMBER 16, 2019</w:t>
        <w:br/>
        <w:t>- depending on the degree of severity of the violation, as per point 11 of the aforementioned Guidelines, maintain the application of the percentage of the base sanction amount already identified at 0.5% of the value of sales;</w:t>
        <w:br/>
        <w:t>- multiply the amount thus obtained by the number of years of participation in the infringement, in accordance with the criteria defined in paragraph 16 of the Guidelines, considering that, in this case, the duration of the infringement is 1 (one) year and 9 (nine) months, for the reasons stated in the previous point 8.6, therefore calculate the base amount using the multiplicative factor of 1.75;</w:t>
        <w:br/>
        <w:t>- maintain the application, to the resulting amount, of a reduction of the base sanction amount equal to 10%, in line with what is provided in point 23 of the Guidelines, as a specific mitigating circumstance already recognized to the ENEL group due to the compliance program (paras. 280 and 281 of the provision);</w:t>
        <w:br/>
        <w:t>- confirming the discretion exercised in para. 282 of the provision and not subject to specific contestation, in application of point 34 of the Guidelines, maintain the application, to the final amount resulting, of a percentage reduction of 62% (unless a greater percentage results from the 2016 revenue), already deemed suitable to 'obtain a sanction commensurate with a reasonable proxy of the excluding suitability of the contested conduct regarding the free market segment, a reduction therefore evaluable in relation to the weight of the revenue generated by the sales services under greater protection compared to the overall revenue'.</w:t>
      </w:r>
    </w:p>
    <w:p>
      <w:r>
        <w:t>CONSIDERING that the criteria identified by the TAR Lazio, in exercising its jurisdiction on the merits, for the recalculation of the sanction imposed jointly on the ENEL group companies are precise, objective, and of automatic application and leave no discretionary margin in the implementation of the conforming obligation arising from the judgments to be executed;</w:t>
      </w:r>
    </w:p>
    <w:p>
      <w:r>
        <w:t>THOUGHT, therefore, that it is necessary to proceed, in compliance with the indicated judgments of the administrative judge and in accordance with the indications and parameters outlined therein, to the recalculation of the sanction imposed by provision no. 27494/2018 against the petitioning parties;</w:t>
      </w:r>
    </w:p>
    <w:p>
      <w:r>
        <w:t>THOUGHT that the re-exercise of the sanctioning power does not constitute acquiescence to the determinations made by the TAR Lazio, thus leaving unaffected any determination by the Authority following the resolution of the dispute related to provision no. 27494/2018, including the request for payment of any additional amounts due as a sanction and increases;</w:t>
      </w:r>
    </w:p>
    <w:p>
      <w:r>
        <w:t>HAVING SEEN all the acts of the proceeding;</w:t>
      </w:r>
    </w:p>
    <w:p>
      <w:r>
        <w:t>CONSIDERING the following:</w:t>
        <w:br/>
        <w:t>The assumption of the sales value related to the revenue of the year 2016</w:t>
        <w:br/>
        <w:t>1. In accordance with the first of the parameters identified by the administrative judge in the aforementioned judgments, the value of the sales of the affected services carried out by the Parties' companies, that is, the revenue for the year 2016, derived from the sale of electricity to small domestic and non-domestic final customers (the so-called retail segment) in the territories where the ENEL Group provides the service of distribution and sale under greater protection, must be considered for the recalculation of the base sanction amount. This value, according to the data provided by the Parties during the investigation, amounts to 9,577,660,000 euros.</w:t>
      </w:r>
    </w:p>
    <w:p>
      <w:r>
        <w:t>The maintenance of the application of the percentage of the base sanction amount already identified (0.5%) and the recalibration to a duration of the infringement equal to 1 (one) year and 9 (nine) months</w:t>
        <w:br/>
        <w:t>2. According to the indications provided by the administrative judge, it is necessary to maintain the application of the percentage of the base sanction amount, already identified at 0.5% of the value of sales. The amount thus obtained must be multiplied by the number of years of participation in the infringement, recalibrated by the TAR Lazio to 1 (one) year and 9 (nine) months, and therefore the base amount of the sanction must be calculated using the multiplicative factor of 1.75. In doing so, a base amount value of 83,804,525 euros is obtained.</w:t>
      </w:r>
    </w:p>
    <w:p>
      <w:r>
        <w:t>The maintenance of the reduction of the base amount equal to 10% as a mitigating factor</w:t>
        <w:br/>
        <w:t>3. Continuing with the application of the parameters identified by the administrative judge, the value thus obtained must maintain the recognition to the ENEL group, as a specific mitigating circumstance, of a reduction of the base sanction amount equal to 10%, resulting in a value of 75,424,072.50 euros.</w:t>
      </w:r>
    </w:p>
    <w:p>
      <w:r>
        <w:t>The maintenance of the reduction pursuant to point 34 of the Guidelines</w:t>
        <w:br/>
        <w:t>4. The TAR Lazio in the aforementioned judgments indicated to maintain the application, on the amount of the sanction, as calculated above, of a percentage reduction of 62%, already deemed suitable to obtain a sanction commensurate with a reasonable proxy of the excluding suitability of the contested infringement, "unless a greater percentage results from the 2016 revenue." According to the data provided by the ENEL group companies during the investigation, this percentage, calculated in relation to the weight of the revenue generated by the sales services under greater protection compared to the overall revenue for the year 2016, is indeed greater, specifically equal to 63.5%. Therefore, the definitive value of the sanction obtained by applying this reduction percentage to the amount obtained so far is 27,529,786.46 euros.</w:t>
      </w:r>
    </w:p>
    <w:p>
      <w:r>
        <w:t>The recalculation of the sanction</w:t>
        <w:br/>
        <w:t>5. Ultimately, applying the aforementioned quantification parameters defined by the TAR Lazio judgments no. 11954/2019 and no. 11958/2019, the final amount of the sanction to be imposed on the companies Enel S.p.A., Servizio Elettrico Nazionale S.p.A., and Enel Energia S.p.A., jointly, for the violation established by provision no. 27494 of December 20, 2018, is set at 27,529,786.46 euros.</w:t>
      </w:r>
    </w:p>
    <w:p>
      <w:r>
        <w:t>All of the above having been stated and considered;</w:t>
        <w:br/>
        <w:t>1 Pursuant to paragraph 16 of the Guidelines.</w:t>
        <w:br/>
        <w:t>2 Reduction stemming from the discretion exercised by the Authority in application of point 34 of the Guidelines, calculated in relation to the weight of the revenue generated by the sales services under greater protection compared to the overall revenue.</w:t>
      </w:r>
    </w:p>
    <w:p>
      <w:r>
        <w:t>116 BULLETIN NO. 50 OF DECEMBER 16, 2019</w:t>
        <w:br/>
        <w:t>RESOLUTION</w:t>
        <w:br/>
        <w:t>that the administrative pecuniary sanction to be applied to the companies Enel S.p.A., Servizio Elettrico Nazionale S.p.A., and Enel Energia S.p.A., jointly, for the behaviors attributed to them in the Authority's provision no. 27494 of December 20, 2018, is recalculated to the amount of 27,529,786.46 euros.</w:t>
      </w:r>
    </w:p>
    <w:p>
      <w:r>
        <w:t>The above administrative pecuniary sanction must be paid within thirty days from the notification of this provision, using the tax codes indicated in the attached F24 model with identifying elements, pursuant to Legislative Decree no. 241/1997. Payment must be made electronically with a debit on one's bank or postal account, through the home banking and CBI services provided by banks or Poste Italiane S.p.A., or by using the telematic services of the Revenue Agency, available on the website www.agenziaentrate.gov.it.</w:t>
      </w:r>
    </w:p>
    <w:p>
      <w:r>
        <w:t>Immediate communication of the payment must be given to the Authority, by sending a copy of the model certifying the payment made.</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This provision will be notified to the interested parties and published in the Bulletin of the Authority for Competition and Market.</w:t>
      </w:r>
    </w:p>
    <w:p>
      <w:r>
        <w:t>THE SECRETARY GENERAL THE PRESIDENT</w:t>
        <w:br/>
        <w:t>Filippo Arena Roberto Rustichelli</w:t>
      </w:r>
    </w:p>
    <w:p>
      <w:r>
        <w:rPr>
          <w:b/>
        </w:rPr>
        <w:t>[Pages 115–117]</w:t>
      </w:r>
    </w:p>
    <w:p>
      <w:r>
        <w:t>BULLETIN NO. 50 OF DECEMBER 16, 2019 117</w:t>
      </w:r>
    </w:p>
    <w:p>
      <w:r>
        <w:t>I838 - RESTRICTIONS ON THE PURCHASE OF EXHAUSTED LEAD BATTERIES</w:t>
        <w:br/>
        <w:t>Provision No. 28015</w:t>
        <w:br/>
        <w:t>THE ANTITRUST AUTHORITY</w:t>
      </w:r>
    </w:p>
    <w:p>
      <w:r>
        <w:t>IN ITS MEETING of December 3, 2019;</w:t>
        <w:br/>
        <w:t>HEARD the Rapporteur Professor Michele Ainis;</w:t>
        <w:br/>
        <w:t>HAVING REGARD to Article 101 of the Treaty on the Functioning of the European Union (“TFEU”);</w:t>
        <w:br/>
        <w:t>HAVING REGARD to Regulation No. 1/2003 of the European Council of December 16, 2002, concerning the application of the competition rules set out in Articles 81 and 82 of the Treaty establishing the European Community (now Articles 101 and 102 TFEU);</w:t>
        <w:br/>
        <w:t>HAVING REGARD to Law No. 287 of October 10, 1990, and subsequent amendments;</w:t>
        <w:br/>
        <w:t>HAVING REGARD to the Presidential Decree No. 217 of April 30, 1998;</w:t>
        <w:br/>
        <w:t>HAVING REGARD to the report received from [omissis]* on July 22, 2019, supplemented on November 18, 2019;</w:t>
        <w:br/>
        <w:t>HAVING REGARD to the documentation on file;</w:t>
        <w:br/>
        <w:t>CONSIDERING the following:</w:t>
      </w:r>
    </w:p>
    <w:p>
      <w:r>
        <w:t>I. THE PARTIES</w:t>
        <w:br/>
        <w:t>1. COBAT RIPA (hereinafter “COBAT RIPA”) is a consortium for the management of waste from batteries and exhausted lead accumulators, established as of June 1, 2018, as part of the split into several distinct consortia of Cobat, the National Consortium for Collection and Recycling, initially contemplated as a single mandatory consortium and subsequently, with Legislative Decree No. 188/2008, became a collection and treatment system that provides services in competition with other systems1. COBAT RIPA is accompanied, for the purposes of this proceeding, by COBAT SERVIZI, recently renamed COBAT (hereinafter “COBAT” and, together with COBAT RIPA, “COBAT system”), which has been entrusted with coordination and organizational/administrative support functions to the various sector consortia2. COBAT RIPA and COBAT have a similar statutory structure and consortium composition, with 80% represented by a small number of category A13 consortium members. In 2018, the revenue generated by COBAT RIPA was approximately 2.5 million euros, while that generated by COBAT was approximately 53 million euros.</w:t>
      </w:r>
    </w:p>
    <w:p>
      <w:r>
        <w:t>2. Fiamm Energy Technology S.p.A. (hereinafter “Fiamm”) is a joint venture established in 2016 following the transfer, by Fiamm S.p.A., of the business branch related to lead technology batteries for vehicles and industrial use; Fiamm is currently jointly controlled by Hitachi Chemical Company Ltd. (51%) and Elettra 1938 S.p.A. (49%)4. Fiamm is a category A1 member of COBAT RIPA and COBAT (category producers/importers), with a share of 17.4% of the respective consortium funds5. In Italy, in addition to the sale of lead accumulators for vehicles and industrial use, Fiamm is also active in the treatment and recycling of exhausted batteries, initially through the controlled company Piombifera Bresciana S.r.l. (later renamed Piombifera Italiana S.p.A. and sold to the Bulgarian group Monbat), and [omissis]6. In 2018, Fiamm generated revenue of approximately 404 million euros.</w:t>
      </w:r>
    </w:p>
    <w:p>
      <w:r>
        <w:t>3. Clarios Italia S.r.l. (hereinafter “Clarios”) is a company active in the sale of lead accumulators for vehicles and industrial use, recently sold by the Johnson Controls group, along with the business branch related to energy storage solutions, to the investment fund Brookfield7. In particular, Clarios is the new name assumed by Johnson Controls Autobatterie S.p.A. on February 2, 2019, which Clarios succeeded as a category A1 member, also within COBAT RIPA and COBAT (category producers/importers), with a share of 14% of the respective consortium funds8. In Italy, in addition to the sale of lead accumulators for vehicles and industrial use, Clarios is also active in the treatment and recycling of exhausted batteries through a processing contract with COBAT RIPA/COBAT, under which, “[b]esides the collection costs, Cobat is also recognized the costs related to the service of transforming batteries into lead bars”9. In 2018, Clarios generated revenue of approximately 107 million euros.</w:t>
      </w:r>
    </w:p>
    <w:p>
      <w:r>
        <w:t>4. Eco-bat S.r.l. (hereinafter “Eco-bat”) is a company that is part of the Eco-bat group, active worldwide in the sectors of primary lead production and recovery of exhausted lead batteries for the production of secondary lead10. In Italy, Eco-bat has two treatment and recovery plants for exhausted lead batteries located in Paderno Dugnano (MI) and Marcianise (CA). Eco-bat is a category A1 member of COBAT RIPA and COBAT (category recyclers), with a share of 23.2% of the respective consortium funds11. In 2018, Eco-bat generated revenue of approximately 121 million euros.</w:t>
      </w:r>
    </w:p>
    <w:p>
      <w:r>
        <w:t>5. Piomboleghe S.r.l. (hereinafter “Piomboleghe”) is a company active in the recovery and treatment of exhausted lead batteries, which has a plant located in Brugherio (MB)12. Piomboleghe is a category A1 member of COBAT RIPA and COBAT (category recyclers), with a share of 7% of the respective consortium funds13. In 2018, Piomboleghe generated revenue of approximately 73 million euros.</w:t>
      </w:r>
    </w:p>
    <w:p>
      <w:r>
        <w:t>6. Piombifera Italiana S.p.A. (hereinafter “Piombifera”) is a company active in the recovery and treatment of exhausted lead batteries, which has a plant located in Maclodio (BS). As mentioned, this company was initially part of the Fiamm group which, after a brief production halt, sold it to the Bulgarian group Monbat14, which is also active in the production and sale of new lead batteries. Piombifera is a category A1 member of COBAT RIPA and COBAT (category recyclers), with a share of 6.6% of the respective consortium funds15. In 2016, Piombifera generated revenue of approximately 26 million euros.</w:t>
      </w:r>
    </w:p>
    <w:p>
      <w:r>
        <w:t>7. E.S.I. Ecological Scrap Industry S.p.A. (hereinafter “ESI”) is a company active in the recovery and treatment of exhausted lead batteries, which has a plant located in Pace del Mela (ME)16. ESI is a category A1 member of COBAT RIPA and COBAT (category recyclers), with a share of 3.2% of the respective consortium funds17. In 2017, ESI generated revenue of approximately 11 million euros.</w:t>
      </w:r>
    </w:p>
    <w:p>
      <w:r>
        <w:t>8. [Omissis].</w:t>
      </w:r>
    </w:p>
    <w:p>
      <w:r>
        <w:t>II. THE REPORT OF [OMISSIS]</w:t>
        <w:br/>
        <w:t>9. With a report received on July 22, 2019, supplemented on November 18, 2019, [omissis] reported the existence of an agreement within the decision-making bodies of the COBAT system, concerning the definition of the economic conditions for the purchase of exhausted lead accumulators collected by the COBAT system and by competing collection systems.</w:t>
        <w:br/>
        <w:t>10. In support of its report, the notifier [omissis].</w:t>
      </w:r>
    </w:p>
    <w:p>
      <w:r>
        <w:t>11 Cfr. visure CCIAA.</w:t>
        <w:br/>
        <w:t>12 Piomboleghe is currently 100% controlled by CP Colombo S.r.l..</w:t>
        <w:br/>
        <w:t>13 Cfr. visure CCIAA.</w:t>
        <w:br/>
        <w:t>14 Piombifera is currently 100% controlled by Monbat Italy – S.r.l. Unipersonale.</w:t>
        <w:br/>
        <w:t>15 Cfr. visure CCIAA.</w:t>
        <w:br/>
        <w:t>16 The share capital of ESI is currently divided among Tourist Ferry Boat S.p.a. (64.2%), Fas Finanziaria S.r.l. in liquidation (33.8%), and Roberto Franco Previti (2%); cfr. visure CCIAA.</w:t>
        <w:br/>
        <w:t>17 Cfr. visure CCIAA.</w:t>
      </w:r>
    </w:p>
    <w:p>
      <w:r>
        <w:rPr>
          <w:b/>
        </w:rPr>
        <w:t>[Pages 118–120]</w:t>
      </w:r>
    </w:p>
    <w:p>
      <w:r>
        <w:t>120 BULLETIN NO. 50 OF DECEMBER 16, 2019</w:t>
      </w:r>
    </w:p>
    <w:p>
      <w:r>
        <w:t>III. THE FACTUAL CONTEXT</w:t>
      </w:r>
    </w:p>
    <w:p>
      <w:r>
        <w:t>III.1. The regulatory and economic context</w:t>
      </w:r>
    </w:p>
    <w:p>
      <w:r>
        <w:t>11. The sector involved in the proceedings is that of the purchase of lead batteries for vehicles and industrial use that, once they reach the end of their life, are collected and recovered for the extraction of the lead contained in them and for its transformation into a new resource (so-called secondary lead). Secondary lead currently represents the main production input for the production of new lead batteries, according to a circular economy model18.</w:t>
      </w:r>
    </w:p>
    <w:p>
      <w:r>
        <w:t xml:space="preserve">12. In this sector, a plurality of operators operates, each entrusted with distinct phases of the supply chain: </w:t>
        <w:br/>
        <w:t xml:space="preserve">(i) the collection of lead waste, carried out by collectors. Collectors purchase used batteries from the so-called waste holders (mainly mechanical workshops and auto parts suppliers), in a free market regime as it is a profitable activity in light of the progressive increase in primary lead prices at the London Metal Exchange (“LME”, which constitutes the global reference market)19; </w:t>
        <w:br/>
        <w:t xml:space="preserve">(ii) treatment and recycling, carried out by recyclers (in English, smelters), or by integrated producers, who transform the waste collected by collectors into secondary lead, for its reuse by producers in the process of producing new batteries20; </w:t>
        <w:br/>
        <w:t>(iii) the intermediation activity in waste management, provided by national legislation as a phase that lies between collection and recycling, carried out by collection and treatment systems to which those who place batteries on the national market (producers and importers) must adhere by law21. In this sense, collection systems interpose between collectors and smelters, that is, they purchase the waste from collectors to then sell it to integrated producers and recyclers, or to entrust it to the latter for processing and transfer it downstream of the transformation process22.</w:t>
      </w:r>
    </w:p>
    <w:p>
      <w:r>
        <w:t>13. In this last segment sub (iii), the activity of the COBAT system is inserted, which initially operated as a mandatory unique consortium and then, as a result of the aforementioned liberalization initiated in Italy with Legislative Decree No. 188/2008, continued to offer its services in competition with other collection systems23. According to the data available in the latest annual report of the CDCNPA for the year 2018, 17 collective systems and two individual systems operate in Italy24; the COBAT system remains by far the main collection system for vehicle and industrial batteries (with a share in 2018 of about 63% of national collection25), and it is the only national collection and treatment system that includes, in its consortium, not only producers but also operators active in the recovery phase. COBAT includes, in particular, all the main Italian recyclers with a share that, according to the notifier's estimates, in 2017 was at least 80% of the national disposal capacity26. The COBAT system transfers part of the waste collected to its smelters in the context of tenders reserved for them27.</w:t>
      </w:r>
    </w:p>
    <w:p>
      <w:r>
        <w:t>14. Unlike what happens in other collection systems, it seems that producers who adhere to the COBAT system, representing about 47% of the consumption of batteries for vehicles and industrial use in Italy28, pay environmental contributions to the consortium to finance the waste collection activity29, although the recovery activity of the lead contained in used vehicle and industrial batteries is profitable and should already cover the management costs of the collection activity incurred30.</w:t>
      </w:r>
    </w:p>
    <w:p>
      <w:r>
        <w:t>III.2. The contested conduct</w:t>
      </w:r>
    </w:p>
    <w:p>
      <w:r>
        <w:t>15. From the information in the records, it seems to emerge primarily that the four recyclers who adhere to COBAT RIPA and COBAT, as well as the integrated producers Fiamm and Clarios, have influenced the process of defining the price for the transfer of lead waste to be used as the basis for the periodic tenders issued by the COBAT system, also as a general parameter for the price of transfer to integrated producers (possibly downstream of processing by recyclers), with a view to stabilizing the value of the resource for upstream operators in the supply chain.</w:t>
      </w:r>
    </w:p>
    <w:p>
      <w:r>
        <w:t>16. In this sense, [omissis]31. [Omissis] it seems to emerge primarily that, with reference to the tenders for COBAT recyclers articulated for the different geographical areas into which the Italian territory is divided, the above-identified parties have defined the price to be set as the basis for the tender (setting themselves [omissis]) in ways that ensure progressively lower values [omissis], with the aim of stabilizing the market [omissis]32.</w:t>
      </w:r>
    </w:p>
    <w:p>
      <w:r>
        <w:t>17. This conduct has been defined within the Boards of Directors or Executive Committees of COBAT RIPA and/or COBAT, in both cases with the necessary contribution of the smelters and at least one of the integrated producers Fiamm and Clarios33. [Omissis] the possibility of influencing the purchase price in this way “[omissis]34.</w:t>
      </w:r>
    </w:p>
    <w:p>
      <w:r>
        <w:t>18. The mechanism for the common definition of the tender price seems to be accompanied by an agreement for the allocation of lots among recyclers, [omissis]35.</w:t>
      </w:r>
    </w:p>
    <w:p>
      <w:r>
        <w:t>19. Based on the available information, it also seems plausible to believe that the conditions for the transfer of waste from COBAT RIPA/COBAT to the two integrated producers Clarios and Fiamm (for</w:t>
      </w:r>
    </w:p>
    <w:p>
      <w:r>
        <w:rPr>
          <w:b/>
        </w:rPr>
        <w:t>[Pages 121–123]</w:t>
      </w:r>
    </w:p>
    <w:p>
      <w:r>
        <w:t>BULLETIN NO. 50 OF DECEMBER 16, 2019 123</w:t>
      </w:r>
    </w:p>
    <w:p>
      <w:r>
        <w:t>Clarios, it seems that downstream of the processing36) are not dissimilar to those practiced by the recyclers (“[omissis]”37), and therefore agreed for [omissis]38, also considering the weight that both parties hold in the governing bodies of COBAT RIPA/COBAT where such parameters are defined.</w:t>
      </w:r>
    </w:p>
    <w:p>
      <w:r>
        <w:t>20. At the same time, from the information on file, it appears that the coordination between Fiamm, Clarios, and the A1 recyclers also extends to the definition of their commercial conduct in the purchase of exhausted batteries from competing collection systems. This point is also illustrated in the [omissis] the conditions cannot be negotiated, as they cannot [omissis] pay one euro more to avoid facing “calls to order,” thus breaking the peace established within the COBAT system (if it were to happen differently and “[omissis]” - that is, to the competing collection systems -, it could say “[omissis]”)39. This reconstruction, in terms of aligning their purchasing strategies vis-à-vis the competing collection systems of the COBAT system, seems to find confirmation in the data transmitted by the notifier regarding [omissis]40.</w:t>
      </w:r>
    </w:p>
    <w:p>
      <w:r>
        <w:t>IV. EVALUATIONS</w:t>
      </w:r>
    </w:p>
    <w:p>
      <w:r>
        <w:t>IV.1. Relevant markets</w:t>
      </w:r>
    </w:p>
    <w:p>
      <w:r>
        <w:t>21. The market for the product in which the aforementioned conduct has been implemented is that of purchasing exhausted lead batteries for vehicles and industrial use41. In this market, in Italy, on the supply side, there are collection systems (including the COBAT system), while on the demand side, both recyclers and integrated producers operate, who have their own treatment plants or have tolling agreements (for the transfer of waste for processing) with some recyclers42.</w:t>
      </w:r>
    </w:p>
    <w:p>
      <w:r>
        <w:t>22. From a geographical perspective, the conduct implemented by the COBAT system and the aforementioned A1 category consortia seems to have contributed to the closure of the national market (primarily limiting participation in tenders to COBAT recyclers), thus needing to confine, as per constant jurisprudence regarding agreements, the scope of the possible infringement to the Italian market43.</w:t>
      </w:r>
    </w:p>
    <w:p>
      <w:r>
        <w:t>23. All parties involved in the proceedings are active directly or indirectly (through tolling agreements, possibly channeled through the COBAT system) in this market; the overall share they hold, in terms of demand for exhausted batteries in the Italian market, seems to be effectively represented by the installed treatment capacity of the recyclers consorted in COBAT RIPA/COBAT (which, as seen, is at least 80% of the market), who process the waste subject to the agreement for themselves and also for Fiamm and Clarios.</w:t>
      </w:r>
    </w:p>
    <w:p>
      <w:r>
        <w:t>24. The aforementioned conduct is also likely to affect a number of additional relevant markets upstream: first, the national market for intermediation services in the recovery of exhausted lead batteries for vehicles and industrial use, in which collection systems compete, and the market, which also appears to be national or at most sub-national, for the collection of exhausted industrial and vehicle lead batteries, in which collectors operate.</w:t>
      </w:r>
    </w:p>
    <w:p>
      <w:r>
        <w:t>IV.2 The agreement between recyclers and integrated producers adhering to the COBAT system</w:t>
      </w:r>
    </w:p>
    <w:p>
      <w:r>
        <w:t>25. From the information on file, it seems to emerge that the recyclers adhering to the COBAT system, as well as the integrated producers Fiamm and Clarios, have jointly and progressively defined downward the purchase prices of exhausted batteries collected from the COBAT system and other national systems, coordinating also with respect to the quantities of waste purchased, in violation of Article 101 TFEU. Under normal conditions, and in a context where recyclers and integrated producers need to continuously procure exhausted batteries for the production of secondary lead (which, at present, represents the main input for the production of new lead batteries), they would find themselves competing with each other as buyers and would thus offer sufficiently high prices to attract battery suppliers44.</w:t>
      </w:r>
    </w:p>
    <w:p>
      <w:r>
        <w:t>26. On the contrary, Eco-bat, Piomboleghe, Piombifera, ESI, Fiamm, and Clarios seem to have established an agreement, which appears to still be ongoing, aimed at coordinating their purchasing behavior of exhausted lead batteries for vehicles and industrial use at least since June 1, 2018, and thus at least within the new structure of the COBAT system, articulated in the two consortia COBA RIPA and COBAT, which also appear to have participated in the contested conduct45.</w:t>
      </w:r>
    </w:p>
    <w:p>
      <w:r>
        <w:t>27. [Omissis] it seems to first emerge that the aforementioned recyclers have influenced, within the consortial bodies of COBAT RIPA/COBAT, the process of defining the price to be set as the basis for the periodic auctions held by the COBAT system (putting themselves “[omissis]”), deciding to progressively lower this reference value to stabilize the market (“[omissis]”)46. This conduct represents a decision of the association of COBAT RIPA/COBAT enterprises, defined by the recyclers within the Boards of Directors and Executive Committees of COBAT RIPA/COBAT also with the necessary contribution of at least one of the integrated producers Fiamm and Clarios47, (“[omissis]”48), and appears at the same time to be an expression of an agreement among the main market players aimed at lowering the value of the resource purchased for upstream operators in the supply chain.</w:t>
      </w:r>
    </w:p>
    <w:p>
      <w:r>
        <w:t>28. In the context of tenders reserved for recyclers, [omissis], the COBAT recyclers seem to have divided the various tender lots, [omissis]. The effectiveness of the coordination appears guaranteed by the fact that only COBAT recyclers can participate in the tenders, thus excluding non-consorted national recyclers and foreign recyclers.</w:t>
      </w:r>
    </w:p>
    <w:p>
      <w:r>
        <w:t>29. From the information on file, it also seems that the purchasing conditions defined within the COBAT system represent the reference benchmark for purchases across the entire market and thus also for the purchase, by the aforementioned COBAT recyclers and integrated producers, of exhausted batteries from competing collection systems of COBAT. In this regard, [omissis]49.</w:t>
      </w:r>
    </w:p>
    <w:p>
      <w:r>
        <w:t>30. The aforementioned conduct constitutes one or more restrictions of competition by object under Article 101 TFEU, letters a), b), and c), and also appears likely to generate excluding effects on competing collection systems active in the national market for intermediation services in the recovery of exhausted batteries. Continuing upstream in the supply chain, the reported conduct is capable of impacting the national collection market, in which collectors operate, as well as producing effects on waste holders, namely spare parts dealers, and subsequently on consumers, who are unable to appropriate the market value of the lead waste of which they are actually the primary holders, possibly due to the conduct implemented by and within the context of the COBAT system.</w:t>
      </w:r>
    </w:p>
    <w:p>
      <w:r>
        <w:t>V. HARM TO INTRA-EUROPEAN TRADE</w:t>
      </w:r>
    </w:p>
    <w:p>
      <w:r>
        <w:t>31. The examined conduct falls within the scope of Article 101 TFEU as it concerns the national market for the purchase of exhausted lead batteries for vehicles and industrial use, which constitutes a significant part of the European market, and is capable of limiting trade between the Member States of the European Union, also hindering the circulation of exhausted batteries collected by the COBAT system to other Member States.</w:t>
      </w:r>
    </w:p>
    <w:p>
      <w:r>
        <w:t>46 Doc. 9, pp. 4 and 16.</w:t>
      </w:r>
    </w:p>
    <w:p>
      <w:r>
        <w:t>47 On this point, it has already been noted that the only category of A1 recyclers does not hold the majority of shares in the COBAT RIPA and COBAT consortial fund, nor of votes in the consortial bodies (in particular, for what is of interest here, in their respective Boards of Directors and Executive Committees). This majority is reached through the agreement between A1 recyclers and the A1 integrated producers Fiamm and Clarios; the latter appear to have an interest in adhering to the agreement as integrated producers, in light of the information on file regarding the allocation by COBAT/COBAT RIPA of waste pro quota and regarding the existence, for Clarios, of a tolling relationship also channeled through the COBAT system. The “[omissis]” subject to tender will indeed influence, as far as it is currently plausible to hypothesize, also the price of waste allocation from the COBAT system to integrated producers, possibly downstream of processing by smelters (as seems to occur in the cited case of Clarios).</w:t>
      </w:r>
    </w:p>
    <w:p>
      <w:r>
        <w:t>48 Doc. 9, p. 11.</w:t>
      </w:r>
    </w:p>
    <w:p>
      <w:r>
        <w:t>49 See, in this regard, [omissis], as well as the information transmitted by the notifier on November 18, 2019 (Doc. 4). With reference to the conduct of COBAT/COBAT RIPA, the provisions of Article 9 of the Statutes of COBAT RIPA and COBAT also assume potential competitive relevance in this context, which provide that “[c]onsorted companies are obliged ... not to operate otherwise than through the Consortium, unless otherwise agreed in writing.”</w:t>
      </w:r>
    </w:p>
    <w:p>
      <w:r>
        <w:rPr>
          <w:b/>
        </w:rPr>
        <w:t>[Pages 124–126]</w:t>
      </w:r>
    </w:p>
    <w:p>
      <w:r>
        <w:t>126 BULLETIN NO. 50 OF DECEMBER 16, 2019</w:t>
        <w:br/>
        <w:t>CONSIDERED, therefore, that the conduct of Fiamm, Clarios, Eco-bat, Piomboleghe, Piombifera, ESI, and also by and in the context of COBAT RIPA and COBAT, at least as of June 1, 2018 and still ongoing, may, for the reasons stated above, constitute one or more violations of Article 101 TFEU;</w:t>
        <w:br/>
        <w:t>RESOLVES</w:t>
        <w:br/>
        <w:t>a) to initiate the investigation, pursuant to Article 14 of Law No. 287/90, against COBAT RIPA, COBAT, Fiamm Energy Technology S.p.A., Clarios Italia S.r.l., Eco-bat S.r.l., Piomboleghe S.r.l., Piombifera Italiana S.p.A., and E.S.I. Ecological Scrap Industry S.p.A. to ascertain the existence of possible violations of Article 101 TFEU;</w:t>
        <w:br/>
        <w:t>b) to set a deadline of 45 days from the notification of this provision for the legal representatives of the parties to exercise their right to be heard, specifying that the request for a hearing must be received by the Energy and Basic Industry Directorate of this Authority at least 30 days before the expiration of the aforementioned deadline;</w:t>
        <w:br/>
        <w:t>c) that the person responsible for the procedure is Dr. Clara Beatrice Calini;</w:t>
        <w:br/>
        <w:t>d) that the acts of the procedure can be viewed at the Energy and Basic Industry Directorate of this Authority by the legal representatives of the parties, as well as by a person delegated by them;</w:t>
        <w:br/>
        <w:t>e) that the procedure must be concluded by March 30, 2021.</w:t>
        <w:br/>
        <w:t>This provision will be notified to the interested parties and published in the Bulletin of the Antitrust Authority.</w:t>
      </w:r>
    </w:p>
    <w:p>
      <w:r>
        <w:t>THE SECRETARY GENERAL THE PRESIDENT</w:t>
        <w:br/>
        <w:t>Filippo Arena Roberto Rustichelli</w:t>
      </w:r>
    </w:p>
    <w:p>
      <w:r>
        <w:t>BULLETIN NO. 50 OF DECEMBER 16, 2019 127</w:t>
        <w:br/>
        <w:t>CONCENTRATION OPERATIONS</w:t>
        <w:br/>
        <w:t>C12246 - FRATELLI ARENA/BRANCHES OF SMA - DISTRIBUTION</w:t>
        <w:br/>
        <w:t>CAMBRIA-ROBERTO ABATE</w:t>
        <w:br/>
        <w:t>Provision No. 28002</w:t>
        <w:br/>
        <w:t>THE ANTITRUST AUTHORITY</w:t>
        <w:br/>
        <w:t>IN ITS MEETING of November 27, 2019;</w:t>
        <w:br/>
        <w:t>HEARD the Rapporteur Professor Michele Ainis;</w:t>
        <w:br/>
        <w:t>VIEWED Law No. 287 of October 10, 1990, and in particular, Article 16, paragraph 8, which governs the extension of the deadline for concluding the investigation initiated in relation to a concentration operation;</w:t>
        <w:br/>
        <w:t>VIEWED the Presidential Decree No. 217 of April 30, 1998;</w:t>
        <w:br/>
        <w:t>VIEWED its resolution of October 15, 2019, which initiated an investigation, pursuant to Article 16, paragraph 4, of Law No. 287/90, against the company Fratelli Arena S.r.l.;</w:t>
        <w:br/>
        <w:t>VIEWED its communication of November 12, 2019, in which it requested the notifying Party, pursuant to Article 14, paragraph 2, of Law No. 287/90 and Article 9, paragraph 1, of Presidential Decree No. 217/98, the necessary information for the evaluation of the concentration operation, to be transmitted by November 14, 2019;</w:t>
        <w:br/>
        <w:t>VIEWED the request received on November 13, 2019, in which the Party requested an extension of the deadline for closing the procedure by thirty days pursuant to Article 16, paragraph 8, of Law No. 287/1990, to provide the requested information and, at the same time, to produce statistical analyses related to the relevant markets subject to investigation;</w:t>
        <w:br/>
        <w:t>CONSIDERED that the requested information, necessary for the evaluation of the case, cannot be acquired within the established deadlines and, therefore, fully evaluated by the current deadline for concluding the procedure;</w:t>
        <w:br/>
        <w:t>CONSIDERED the need to ensure the Party the broadest exercise of the right of defense in order to fully guarantee the right to adversarial proceedings;</w:t>
        <w:br/>
        <w:t>CONSIDERED, therefore, necessary to extend the deadline for concluding the procedure pursuant to Article 16, paragraph 8, of Law No. 287/90;</w:t>
      </w:r>
    </w:p>
    <w:p>
      <w:r>
        <w:t>128 BULLETIN NO. 50 OF DECEMBER 16, 2019</w:t>
        <w:br/>
        <w:t>CONSIDERED that since the new deadline falls on a holiday, it must be understood as extended by law to the following non-holiday;</w:t>
        <w:br/>
        <w:t>RESOLVES</w:t>
        <w:br/>
        <w:t>to extend the deadline for concluding the procedure to December 30, 2019.</w:t>
        <w:br/>
        <w:t>This provision will be notified to the interested parties pursuant to Article 16, paragraph 3, of Presidential Decree No. 217/1998.</w:t>
        <w:br/>
        <w:t>This provision will be published in the Bulletin of the Antitrust Authority.</w:t>
      </w:r>
    </w:p>
    <w:p>
      <w:r>
        <w:t>THE SECRETARY GENERAL THE PRESIDENT</w:t>
        <w:br/>
        <w:t>Filippo Arena Roberto Rustichelli</w:t>
      </w:r>
    </w:p>
    <w:p>
      <w:r>
        <w:rPr>
          <w:b/>
        </w:rPr>
        <w:t>[Pages 127–129]</w:t>
      </w:r>
    </w:p>
    <w:p>
      <w:r>
        <w:t>BULLETIN NO. 50 OF DECEMBER 16, 2019 129</w:t>
        <w:br/>
        <w:t>C12256 - SISAL GROUP/BRANCH OF BUSINESS OF BANCA 5</w:t>
        <w:br/>
        <w:t>Provision No. 28003</w:t>
        <w:br/>
        <w:t>THE ANTITRUST AUTHORITY</w:t>
        <w:br/>
        <w:t>HEARD the Rapporteur Dr. Gabriella Muscolo;</w:t>
        <w:br/>
        <w:t>VIEWED Law No. 287 of October 10, 1990;</w:t>
        <w:br/>
        <w:t>VIEWED D.P.R. No. 217 of April 30, 1998;</w:t>
        <w:br/>
        <w:t>VIEWED the communication from Sisal Group S.p.A., received on September 10, 2019;</w:t>
        <w:br/>
        <w:t>VIEWED the request for information sent on September 25, 2019, with consequent interruption of the terms pursuant to Article 5, paragraph 3, of D.P.R. No. 217 of April 30, 1998;</w:t>
        <w:br/>
        <w:t>VIEWED the additional information from Sisal Group S.p.A. received on October 9, October 24, and October 30, 2019;</w:t>
        <w:br/>
        <w:t>CONSIDERED the following:</w:t>
        <w:br/>
        <w:t>I. THE PARTIES</w:t>
        <w:br/>
        <w:t>1. Sisal Group S.p.A. (hereinafter, Sisal) is the parent company of the eponymous Sisal Group, active in various sectors such as: (i) the gaming and betting sector (for example, in Superenalotto, online gaming, sports betting), through concessions granted by the Customs and Monopolies Agency; (ii) the payment services sector, under the SisalPay brand, including payment of bills and tax notices, issuance and top-up of prepaid cards, top-up of phone cards; (iii) the digital payment accounts sector (so-called wallet), through the Bill app; (iv) the issuance of electronic money, through the company QUI! Financial Services S.p.A.; and (v) other ancillary management and commercial services for affiliated merchants.</w:t>
        <w:br/>
        <w:t>Sisal is controlled by CVC Capital Partners, a consulting and investment fund management company active in numerous sectors. In 2017, CVC Capital Partners and the companies it manages achieved a global turnover of approximately 38 billion euros, of which about 1.6 billion in Italy.</w:t>
        <w:br/>
        <w:t>2. The branch of business subject to acquisition includes assets, contracts, employees, legal relationships, activities, and liabilities concerning payment services and other ancillary services, as well as services related to phone top-ups, distribution of Trenitalia travel tickets, digital identity, and digital signatures.</w:t>
        <w:br/>
        <w:t>Currently, the branch of business belongs to Banca 5 S.p.A. (hereinafter, Banca 5, which has replaced Banca dei Tabaccai), a company wholly controlled by the Intesa San Paolo Group S.p.A., active in the banking and payment services sector.</w:t>
        <w:br/>
        <w:t>In 2018, the branch of business generated a turnover of approximately [40-50]* million euros, entirely realized in Italy.</w:t>
        <w:br/>
        <w:t>* In this version, some data are omitted, as elements of confidentiality or secrecy of the information were deemed to exist.</w:t>
      </w:r>
    </w:p>
    <w:p>
      <w:r>
        <w:t>130 BULLETIN NO. 50 OF DECEMBER 16, 2019</w:t>
        <w:br/>
        <w:t>II. DESCRIPTION OF THE OPERATION</w:t>
        <w:br/>
        <w:t>3. Based on the information provided by Sisal, the communicated operation consists of the acquisition, by Sisal, of 70% of the share capital of HoldCo, the company to which the branch of business subject to transfer will be assigned. The remaining 30% of HoldCo's capital will be held by Banca 5.</w:t>
        <w:br/>
        <w:t>Due to the governance rules established by the parties and the absence of relevant shareholders' agreements for antitrust control purposes, HoldCo will be exclusively controlled by Sisal.</w:t>
        <w:br/>
        <w:t>4. In the context of the operation, the Parties have signed a non-compete clause, pursuant to which, for a period of two years, Banca 5 undertakes not to engage, directly or indirectly, in activities in competition with those carried out by HoldCo in the services subject to transfer.</w:t>
        <w:br/>
        <w:t>5. Finally, the Parties, alongside the acquisition operation, have entered into a framework collaboration agreement lasting five years, under which HoldCo will carry out, through its network, distribution activities for financial services and products on behalf of Banca 5.</w:t>
        <w:br/>
        <w:t>III. QUALIFICATION OF THE OPERATION</w:t>
        <w:br/>
        <w:t>6. The communicated operation, as it involves the acquisition of control over part of a company, constitutes a concentration pursuant to Article 5, paragraph 1, letter b), of Law No. 287/90. It falls within the scope of application of Law No. 287/90, as the conditions of Article 1 of Regulation (EC) No. 139/04 do not apply, and it is subject to the obligation of prior notification provided for by Article 16, paragraph 1, of the same law, as the total turnover achieved in the last financial year at the national level by the group of companies involved was over 498 million euros, and the turnover achieved individually, at the national level, by at least two of them is over 30 million euros.</w:t>
        <w:br/>
        <w:t>7. The non-compete agreement described above can be qualified as ancillary to the communicated concentration, to the extent that it contains restrictions directly related to the realization of the operation and necessary for it1. In particular, in this case, the commitments undertaken by Banca 5 benefit the acquirer and respond to the need to ensure the transfer of the actual value of the acquisition to the latter. However, in order not to exceed the limits of what is reasonably required for this purpose, it is necessary that they have a duration limited to two years, given that the acquirer is already present in the relevant sectors, and that they do not exceed the current territorial and product scope of the company being acquired.</w:t>
        <w:br/>
        <w:t>IV. EVALUATIONS</w:t>
        <w:br/>
        <w:t>8. In light of the assets subject to acquisition, this operation concerns certain activities related to payment services, phone top-ups, distribution of Trenitalia travel tickets, and issuance of digital identity and signatures.</w:t>
        <w:br/>
        <w:t>9. Regarding the activities related to payment services, it is represented that this category includes, among others, the collection of vehicle taxes, payment of fines, payment of utility bills, payments through MAV/RAV as well as, more generally, payments to Public Administrations through the PagoPA platform. In this regard, it is noted that this sector can be distinguished into different segments depending on the type of payment and the channel used (online or physical point of sale); however, it is observed that, due to the market positioning of the parties, the assessment of this operation appears the same whether considering the services involved as belonging to a single market or as belonging to distinct relevant markets. Therefore, at this stage, it does not seem necessary to identify distinct product markets within the broader scope of payment services.</w:t>
        <w:br/>
        <w:t>10. The geographical dimension is to be considered national in any case, given the homogeneity of the characteristics of demand and supply throughout the Italian territory.</w:t>
        <w:br/>
        <w:t>11. In particular, within the considered scope, the acquirer Sisal holds an estimated share of about [1-5%] which, when added to the share of the acquired branch of business, equal to [1-5%], will lead Sisal to hold, following the completion of the operation, a share equal to [5-10%]. In the same market, there are qualified competitors, including Poste Italiane S.p.A., Lottomatica S.p.A., and some GDO chains. Therefore, considering the not high level of the post-merger market share and taking into account the presence of qualified competing operators, the operation in question does not appear to be suitable to significantly alter the competitive structure in the provision of payment services.</w:t>
        <w:br/>
        <w:t>12. As for the market for phone top-ups, it is composed, on the demand side, of users of telephony who use prepaid cards and, on the supply side, by telephony operators and distribution networks in general. The supply has significantly changed in recent years in terms of product, channel, and sales methods.</w:t>
        <w:br/>
        <w:t>13. From a geographical point of view, the market has a national dimension given the homogeneity of demand and supply conditions throughout the Italian territory.</w:t>
        <w:br/>
        <w:t>14. In the market for phone top-ups, both parties operate, and following the acquisition of the branch of business, which holds a share of about [1-5%], Sisal's post-merger share will be slightly below [15-20%]. In light of the presence of numerous and qualified competitors, including the same telephony operators (TIM, Vodafone, H3G, and Poste Mobile) and given the absence of technological barriers to entry, the operation in question does not appear to be likely to significantly alter the previous competitive dynamics.</w:t>
        <w:br/>
        <w:t>15. Lastly, the activities of the parties overlap in the distribution of Trenitalia travel tickets, with a total post-merger share of Sisal slightly above [5-10%], substantially marginal in the overall sector, dominated by direct sales by Trenitalia through proprietary online and physical channels. It follows that the operation in question does not appear to be suitable to alter the competitive structure in the provision of this service.</w:t>
        <w:br/>
        <w:t>16. Similarly, the operation does not appear likely to alter the competitive dynamics in the provision of digital identity and signature services, where the position of the parties is entirely negligible, also due to the presence of alternative online channels.</w:t>
        <w:br/>
        <w:t>CONSIDERED, therefore, that the operation in question does not result, pursuant to Article 6, paragraph 1, of Law No. 287/90, in the establishment or strengthening of a dominant position in the relevant markets, such as to eliminate or substantially and durably reduce competition;</w:t>
      </w:r>
    </w:p>
    <w:p>
      <w:r>
        <w:rPr>
          <w:b/>
        </w:rPr>
        <w:t>[Pages 130–132]</w:t>
      </w:r>
    </w:p>
    <w:p>
      <w:r>
        <w:t>132 BULLETIN NO. 50 OF DECEMBER 16, 2019</w:t>
        <w:br/>
        <w:t>CONSIDERED, furthermore, that the non-competition agreement can be considered accessory to this operation only within the limits indicated above and that the Authority reserves the right to evaluate, where the conditions exist, the aforementioned agreement that occurs beyond those limits;</w:t>
      </w:r>
    </w:p>
    <w:p>
      <w: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Antitrust Authority.</w:t>
      </w:r>
    </w:p>
    <w:p>
      <w:r>
        <w:t>THE SECRETARY GENERAL THE PRESIDENT</w:t>
        <w:br/>
        <w:t>Filippo Arena Roberto Rustichelli</w:t>
      </w:r>
    </w:p>
    <w:p>
      <w:r>
        <w:t>BULLETIN NO. 50 OF DECEMBER 16, 2019 133</w:t>
        <w:br/>
        <w:t>C12265 - ZUCCHETTI/AMILON</w:t>
        <w:br/>
        <w:t>Provision No. 28004</w:t>
        <w:br/>
        <w:t>THE ANTITRUST AUTHORITY</w:t>
        <w:br/>
        <w:t>IN ITS MEETING of November 27, 2019;</w:t>
        <w:br/>
        <w:t>HEARD the Rapporteur Dr. Gabriella Muscolo;</w:t>
        <w:br/>
        <w:t>SEEN Law No. 287 of October 10, 1990;</w:t>
        <w:br/>
        <w:t>SEEN Presidential Decree No. 217 of April 30, 1998;</w:t>
        <w:br/>
        <w:t>SEEN the document from Zucchetti S.p.A., received on November 4, 2019;</w:t>
        <w:br/>
        <w:t>CONSIDERED the following:</w:t>
        <w:br/>
        <w:t>I. THE PARTIES</w:t>
        <w:br/>
        <w:t>1. Zucchetti S.p.A. (hereinafter, Zucchetti) is a company specialized in offering a range of products and services, including the production and marketing of application software for data processing for personnel management, accounting, security, automation, and maintenance management, as well as for the HO.RE.CA channel (i.e., hotels, restaurants, cafés); the production and marketing of management software for companies (accounting management software); the production and marketing of CLOUD services, systems, and ICT; data processing for personnel administration.</w:t>
        <w:br/>
        <w:t>The share capital of Zucchetti is 100% owned by Zucchetti Group S.p.A. In 2018, Zucchetti Group S.p.A. achieved a consolidated worldwide turnover of approximately €858.8 million, of which approximately [700-1,000]* million euros from sales in the European Union and approximately [700-1,000] million euros from sales in Italy.</w:t>
        <w:br/>
        <w:t>2. Amilon S.r.l. (hereinafter, Amilon) is a company primarily active in the marketing and intermediation of gift cards both to individuals and businesses. More precisely, Amilon operates as a retailer or as an agent by purchasing gift cards from retailers and reselling or promoting the sales of gift cards to businesses and individual consumers. In the case of the Business to Business relationship (hereinafter, B2B), the gift card is intended by Amilon's client as a reward or benefit for employees, while in the Business to Consumer relationship (hereinafter, B2C), Amilon's client uses the gift card as a gift for themselves or for another end user.</w:t>
        <w:br/>
        <w:t>The share capital of Amilon is wholly owned by ECRM Holding S.r.l. (hereinafter, ECRM or the Seller).</w:t>
        <w:br/>
        <w:t>In 2018, Amilon achieved a worldwide turnover of approximately [30-100] million euros, entirely generated in the European Union, of which approximately [30-100] million euros from sales in Italy.</w:t>
        <w:br/>
        <w:t>* In this version, some data are omitted, as elements of confidentiality or secrecy of the information were deemed to exist.</w:t>
      </w:r>
    </w:p>
    <w:p>
      <w:r>
        <w:t>134 BULLETIN NO. 50 OF DECEMBER 16, 2019</w:t>
        <w:br/>
        <w:t>II. DESCRIPTION OF THE OPERATION</w:t>
        <w:br/>
        <w:t>3. The Operation consists of Zucchetti acquiring 51% of the share capital of Amilon, while the remaining 49% will continue to be held by ECRM.</w:t>
        <w:br/>
        <w:t>4. In light of the governance rules provided in the shareholders' agreement that will be signed between Zucchetti and ECRM, Zucchetti will have the right to appoint the majority of the Board of Directors of the acquired company and will therefore be able to exercise a veto right on certain strategic decisions, including the approval and/or modification of the business plan and/or budget. The veto rights attributed to ECRM in the shareholders' meeting and in the Board of Directors constitute normal protective instruments for the minority shareholder and concern matters such as: extraordinary operations on share capital; mergers, demergers, liquidation, or dissolution; applications for admission to bankruptcy proceedings; distribution of dividends; amendments to the Articles of Association.</w:t>
        <w:br/>
        <w:t>5. According to the statements made by the Parties, the operation does not involve ancillary restrictions.</w:t>
        <w:br/>
        <w:t>III. QUALIFICATION OF THE OPERATION</w:t>
        <w:br/>
        <w:t>6. The communicated operation, as it involves the acquisition of exclusive control of a company, constitutes a concentration pursuant to Article 5, paragraph 1, letter b), of Law No. 287/90.</w:t>
        <w:br/>
        <w:t>7. It falls within the scope of application of Law No. 287/90, as the conditions referred to in Article 1 of EC Regulation No. 139/04 do not apply, and is subject to the obligation of prior notification provided for by Article 16, paragraph 1, of the same law, as amended by Article 1, paragraph 177, of Law No. 124 of August 4, 2017, since the total turnover achieved in the last financial year at the national level by the group of companies involved was over €498 million and the turnover achieved individually at the national level by at least two of the companies involved was over €30 million.</w:t>
        <w:br/>
        <w:t>IV. EVALUATION OF THE CONCENTRATION</w:t>
        <w:br/>
        <w:t>The product market</w:t>
        <w:br/>
        <w:t>8. This operation concerns the market for the distribution of gift cards, in which the acquired company Amilon operates.</w:t>
        <w:br/>
        <w:t>Gift cards are a solution designed to facilitate and streamline commercial transactions in various contexts, such as during meals, entertainment, or shopping. Gift cards are instruments that entitle the bearer to spend a certain amount, issued on various types of media by a commercial brand, at which they can be redeemed (through retail outlets or e-commerce).</w:t>
        <w:br/>
        <w:t>9. Among the factors driving demand growth in the market are the ease of online use of gift cards, the growth of e-commerce and mobile commerce in Italy, the increase in cashless transactions, the expansion of possible areas of use, the value of loyalty programs.</w:t>
      </w:r>
    </w:p>
    <w:p>
      <w:r>
        <w:rPr>
          <w:b/>
        </w:rPr>
        <w:t>[Pages 133–135]</w:t>
      </w:r>
    </w:p>
    <w:p>
      <w:r>
        <w:t>BULLETIN NO. 50 OF DECEMBER 16, 2019 135</w:t>
      </w:r>
    </w:p>
    <w:p>
      <w:r>
        <w:t>loyalty programs for companies for personnel management, the versatility of gift cards, technological innovation1.</w:t>
      </w:r>
    </w:p>
    <w:p>
      <w:r>
        <w:t>10. Gift cards differ from prepaid cards in that the former do not constitute a means of payment, as: (i) they can only operate on a closed circuit (i.e. at retailers that are part of the gift card retailer's commercial network), (ii) they are not linked to a bank account, and (iii) they are not subject to regulation.</w:t>
      </w:r>
    </w:p>
    <w:p>
      <w:r>
        <w:t>11. The reconstruction of the contractual relationships within the gift card market outlines a circular structure that connects the issuers of gift cards to their end users, as illustrated in the following representation2.</w:t>
      </w:r>
    </w:p>
    <w:p>
      <w:r>
        <w:t>12. Within this structure, Amilon operates as a gift card retailer or as an agent promoting the sales of gift cards issued by the issuers, in exchange for a margin or commission.</w:t>
      </w:r>
    </w:p>
    <w:p>
      <w:r>
        <w:t>13. Gift cards are issued directly by the retailers at which they can be used. Regarding distribution, in addition to issuers who sell the gift card directly to the end user, intermediaries such as Amilon operate, reselling gift cards primarily to companies that use them in their incentive and corporate welfare programs. In fact, while the figure of direct issuance is predominant in the B2C sector, the role of the distributor acquires particular relevance in the B2B context.</w:t>
      </w:r>
    </w:p>
    <w:p>
      <w:r>
        <w:t>14. Within gift cards, one can distinguish between multi-brand gift cards (open circuit) and single-brand gift cards (closed circuit). While the former are normally issued by a credit card issuing company and can be used at various merchants, the latter can only be spent at a single merchant. Furthermore, an additional distinction could be made between the B2C segment, related to the distribution of gift cards to individuals/consumers, and the B2B segment, related to the sale of gift cards to companies that use them as incentives, discounts, or reward solutions to encourage employees to achieve new productivity goals or to build relationships between customers and companies.</w:t>
      </w:r>
    </w:p>
    <w:p>
      <w:r>
        <w:t>15. For the purposes of this Operation, it is not deemed necessary to take a definitive position on the definition of the relevant product market as, under any possible definition, the Operation will not raise concerns from a competitive standpoint.</w:t>
      </w:r>
    </w:p>
    <w:p>
      <w:r>
        <w:t>The geographical market</w:t>
      </w:r>
    </w:p>
    <w:p>
      <w:r>
        <w:t>28. From a geographical standpoint, the market can be defined as national, taking into account the location of the retail outlets of the companies that issue gift cards and at which end users can use them3. On the other hand, however, there is a growing expansion of sales in other States (especially in the EEA area) and an increase in online sales in the reference market, factors that would seem to lean towards a supranational definition of the relevant market. In any case, for the purposes of this Operation, it is not deemed necessary to take a definitive position on the definition of the relevant geographical market as, considering any possible extension, the Operation does not raise concerns from a competitive standpoint.</w:t>
      </w:r>
    </w:p>
    <w:p>
      <w:r>
        <w:t>Effects of the operation</w:t>
      </w:r>
    </w:p>
    <w:p>
      <w:r>
        <w:t>29. Amilon is active, primarily in Italy, in the closed circuit gift card market, mostly in the B2B segment. Zucchetti is not active in the gift card market.</w:t>
      </w:r>
    </w:p>
    <w:p>
      <w:r>
        <w:t>30. In the Italian closed circuit gift card market, Amilon holds a share of [less than 1%], while Zucchetti is not active there. Furthermore, in the Italian closed circuit B2B gift card market, Amilon holds a share of approximately [1-5%], while Zucchetti is not active. It is noted, finally, that Zucchetti, through its subsidiary DoubleYou S.r.l., is active in providing welfare management solutions, downstream of the gift card market, where it holds a share of less than [10-15%] at the Italian level.</w:t>
      </w:r>
    </w:p>
    <w:p>
      <w:r>
        <w:t>31. Numerous qualified competitors are present in these markets. Among the main operators active in the distribution of gift cards in Italy are, on one hand, the issuers of gift cards themselves (e.g. Rinascente, Esselunga, etc.) and on the other hand, companies that operate at the distribution level such as Amilon, Epipoli, Edenred, Amazon (in its division that deals with the distribution of gift cards), SixthContinent, Sodexho, and SeriJakala.</w:t>
      </w:r>
    </w:p>
    <w:p>
      <w:r>
        <w:t>32. In light of the above considerations, it is believed that the operation will not have detrimental effects on competition in the relevant markets, not resulting in substantial changes in their competitive structure.</w:t>
      </w:r>
    </w:p>
    <w:p>
      <w:r>
        <w:t>CONSIDERING, therefore, that the operation in question does not result, pursuant to Article 6, paragraph 1, of Law No. 287/90, in the establishment or strengthening of a dominant position in the affected markets, such as to eliminate or substantially and durably reduce competition;</w:t>
      </w:r>
    </w:p>
    <w:p>
      <w:r>
        <w:t>3 See Autorité de la concurrence, Decision No. 11-D-08 of April 27, 2011.</w:t>
      </w:r>
    </w:p>
    <w:p>
      <w:r>
        <w:t>BULLETIN NO. 50 OF DECEMBER 16, 2019 137</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w:t>
      </w:r>
    </w:p>
    <w:p>
      <w:r>
        <w:t>Filippo Arena Roberto Rustichelli</w:t>
      </w:r>
    </w:p>
    <w:p>
      <w:r>
        <w:rPr>
          <w:b/>
        </w:rPr>
        <w:t>[Pages 136–138]</w:t>
      </w:r>
    </w:p>
    <w:p>
      <w:r>
        <w:t>138 BULLETIN NO. 50 OF DECEMBER 16, 2019</w:t>
        <w:br/>
        <w:t>C12266 - GUCCI LOGISTICA-COLONNA/COLONNA</w:t>
        <w:br/>
        <w:t>Decision No. 28005</w:t>
        <w:br/>
        <w:t>THE ANTITRUST AUTHORITY</w:t>
        <w:br/>
        <w:t>IN ITS MEETING of November 27, 2019;</w:t>
        <w:br/>
        <w:t>HEARD the Rapporteur Professor Michele Ainis;</w:t>
        <w:br/>
        <w:t>HAVING REGARD TO Law No. 287 of October 10, 1990;</w:t>
        <w:br/>
        <w:t>HAVING REGARD TO Presidential Decree No. 217 of April 30, 1998;</w:t>
        <w:br/>
        <w:t>HAVING REGARD TO the communication from Gucci Logistica S.p.A., received on November 6, 2019;</w:t>
        <w:br/>
        <w:t>CONSIDERED the following:</w:t>
        <w:br/>
        <w:t>I. THE PARTIES</w:t>
        <w:br/>
        <w:t>1. Gucci Logistica S.p.A. (hereinafter also Gucci) is a company belonging to the Gucci group, active internationally under the Gucci brand in the production and marketing of luxury goods such as bags, wallets, suitcases, belts, jewelry, perfumes, cosmetics, clothing, shoes, and eyewear. Gucci Logistica S.p.A. is controlled by Gucci Group NV, a Dutch company, which is in turn controlled by Kering S.A., a French holding company of the Kering group linked to the Pinault family. The Kering group is active in the luxury goods market, with majority stakes in several groups, including: Yves Saint Laurent, Balenciaga, Alexander McQueen, Bottega Veneta, Boucheron, Brioni, Pomellato, and others. In 2018, the Kering group achieved a consolidated worldwide revenue of approximately [10-20]* billion euros, of which approximately [3-5] billion euros from sales in the European Union and approximately [1-2] billion euros from sales in Italy.</w:t>
        <w:br/>
        <w:t>2. Colonna S.p.A. (hereinafter also Colonna) is a holding company that holds controlling stakes in various companies, both national and international, active in the tanning industry and the chemical products necessary for related processing. In particular, the company directly holds the entire share capital of Conceria 800 S.p.A., Marbella Pellami S.p.A., Chem-Tec S.r.l., and Falco Pellami S.p.A., as well as 49% of the share capital of Conceria Blutonic S.p.A. and indirectly 49% of Luxury Tannery D.O.O., a Serbian company, exercising joint control over the latter with the Kering group. The share capital of Colonna S.p.A. is entirely held by three individuals (hereinafter, Colonna Partners). In 2018, the Colonna group achieved a worldwide revenue of [30-100] million euros, of which approximately [30-100] million euros from sales in the European Union and approximately [30-100] million euros from sales in Italy.</w:t>
        <w:br/>
        <w:t>* In this version, some data are omitted, as elements of confidentiality or secrecy of the information were deemed to exist.</w:t>
      </w:r>
    </w:p>
    <w:p>
      <w:r>
        <w:t>BULLETIN NO. 50 OF DECEMBER 16, 2019 139</w:t>
        <w:br/>
        <w:t>II. DESCRIPTION OF THE TRANSACTION</w:t>
        <w:br/>
        <w:t>3. The notified transaction consists of the acquisition by Gucci of 51% of the share capital of Colonna, whereby, as a result of this transaction, the latter will be subject to joint control by Gucci and the Colonna Partners. In particular, the scope of the transaction includes all the stakes directly held by Colonna, excluding the 49% stakes in Conceria Blutonic S.p.A. and Luxury Tannery D.O.O.1.</w:t>
        <w:br/>
        <w:t>4. Joint control is ensured by a Shareholders' Agreement, under which:</w:t>
        <w:br/>
        <w:t>- the Board of Directors will be composed mainly of members appointed by Gucci, who will also have the right to appoint the Chairman, while the remaining directors will be appointed by the Colonna Partners, who will have the right to appoint the CEO;</w:t>
        <w:br/>
        <w:t>- in certain matters, the resolutions of the Board of Directors must be approved with the favorable vote of at least one of the directors appointed by the Colonna Partners. In this regard, according to the information provided, the matters subject to the veto right of the Colonna Partners include the appointment of the CEO of Colonna and its subsidiaries, the granting of powers to the same, and the determination of the related compensation, as well as the approval of the detailed annual budget of Colonna and its subsidiaries;</w:t>
        <w:br/>
        <w:t>- the CEO and the Chairman are granted broad management powers over Colonna and its subsidiaries, to be exercised with a single signature or jointly with a director appointed by Gucci.</w:t>
        <w:br/>
        <w:t>III. QUALIFICATION OF THE TRANSACTION</w:t>
        <w:br/>
        <w:t>5. The notified transaction, as it involves the acquisition of joint control of a company, constitutes a concentration pursuant to Article 5, paragraph 1, letter b), of Law No. 287/90. It falls within the scope of application of Law No. 287/90, as the conditions set out in Article 1 of Regulation (EC) No. 139/2004 do not apply, and it is subject to the obligation of prior notification provided for by Article 16, paragraph 1, of the same law, as the total revenue achieved in the last financial year at the national level by the group of companies involved exceeded 498 million euros and the total revenue achieved in the last financial year at the national level, individually by at least two of the companies involved, exceeded 30 million euros.</w:t>
        <w:br/>
        <w:t>IV. ASSESSMENT OF THE CONCENTRATION</w:t>
        <w:br/>
        <w:t>a) The product market</w:t>
        <w:br/>
        <w:t>6. Taking into account the activities carried out by the group subject to acquisition, the transaction in question concerns the sector of tanning, processing, finishing, and resale of leathers intended for the clothing, furniture, and accessories industries in general2. Given the easy adaptability of the aforementioned activities to the specific needs of leather users, it is not necessary to identify distinct product markets in relation to the different uses of such products.</w:t>
        <w:br/>
        <w:t>7. According to the information provided by the Parties, in Italy the tanning industry is characterized by the presence of approximately 1200 companies that produced, in 2018, approximately 128 million square meters of finished leather and 10 thousand tons of sole leather, for a total value of approximately 4.9 billion euros3. Therefore, this is a sector of activity that sees the presence of a very high number of competitors.</w:t>
        <w:br/>
        <w:t>b) The geographic market</w:t>
        <w:br/>
        <w:t>8. From a geographical perspective, the identified market presents at least a national dimension, tending towards a supranational level if one considers, on the one hand, the concentration of companies in the tanning industry predominantly in industrial basins and, on the other hand, the low impact of transportation costs on the final price of products, as well as the absence of technical or regulatory barriers to trade between various States. For the purposes of assessing the notified transaction, it does not appear necessary to arrive at a precise identification of the relevant geographical area since, even in the most restrictive scenario, the assessment of the competitive impact would not change.</w:t>
        <w:br/>
        <w:t>V. EFFECTS OF THE CONCENTRATION TRANSACTION</w:t>
        <w:br/>
        <w:t>9. The notified transaction concerns the acquisition by Gucci, a producer of luxury goods, of a corporate group that primarily operates in upstream activities of tanning, processing, finishing, and resale of leathers intended for the clothing, furniture, and accessories industries in general. Therefore, the transaction primarily produces vertical effects.</w:t>
        <w:br/>
        <w:t>10. For the purposes of the competitive assessment of this transaction, it is necessary to also verify the horizontal effects arising from it. According to the information provided, at the national level, the market share held by the Colonna group is less than [1-5%], while the market share of the subsidiaries of the Kering group is approximately [1-5%]. Therefore, following the transaction, the overall share of the Parties will be less than [1-5%]. Considering a supranational geographical dimension, the horizontal effects arising from this transaction are even more limited, as Colonna primarily operates in Italy.</w:t>
        <w:br/>
        <w:t>11. Regarding the vertical effects, the Parties have communicated that Colonna, while allocating part of its production to meet Gucci's needs, will continue to operate with significant volumes also for third parties4; furthermore, it is expected that Gucci will remain free to source from third parties.</w:t>
        <w:br/>
        <w:t>2 See AGCM Decision No. 27907 of September 18, 2019, Case C12253 - NB Renaissance Partners Sicav-Raif/Rino Mastrotto Group (Bulletin 40/2019) and Decision No. 14055 of February 16, 2005, Case C6894 – Caravel Pelli Pregiate/Ramo Di Azienda Di Conceria Caravel (Bulletin 7/2005).</w:t>
        <w:br/>
        <w:t>3 Source: UNIC, Annual Economic Report 2018, available at http://www.unic.it/posts/relazione-del-presidente-e-rapporto-economico-industria-conciaria-2018.</w:t>
        <w:br/>
        <w:t>4 In the forecasts of the Business plan, with volumes exceeding 20%.</w:t>
      </w:r>
    </w:p>
    <w:p>
      <w:r>
        <w:rPr>
          <w:b/>
        </w:rPr>
        <w:t>[Pages 139–141]</w:t>
      </w:r>
    </w:p>
    <w:p>
      <w:r>
        <w:t>BULLETIN NO. 50 OF DECEMBER 16, 2019 141</w:t>
        <w:br/>
        <w:t xml:space="preserve">In any case, there are numerous alternative companies to Colonna in the market from which Gucci's competitors can source leather, including: the Mastrotto Group, Faeda S.p.A., Nuti Ivo S.p.A., whose revenues have been found to exceed those of Colonna. As for the possible market outlets for Colonna's competitors, the Parties have communicated that the leather purchases of the Kering group (including Gucci) account for approximately [1-5%] of national production and about [5-10%] of European production. </w:t>
        <w:br/>
        <w:t xml:space="preserve">12. In light of the above considerations, the concentration under examination does not appear to be suitable to produce significant horizontal overlaps and vertical integrations that would alter the existing competitive situation in the relevant market. </w:t>
        <w:br/>
        <w:t xml:space="preserve">CONSIDERED, therefore, that the operation in question does not entail, pursuant to Article 6, paragraph 1, of Law No. 287/90,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Economic Development. </w:t>
        <w:br/>
        <w:t xml:space="preserve">This provision will be published in the Bulletin of the Antitrust Authority. </w:t>
        <w:br/>
        <w:t xml:space="preserve">THE SECRETARY GENERAL THE PRESIDENT </w:t>
        <w:br/>
        <w:t>Filippo Arena Roberto Rustichelli</w:t>
      </w:r>
    </w:p>
    <w:p>
      <w:r>
        <w:t xml:space="preserve">142 BULLETIN NO. 50 OF DECEMBER 16, 2019 </w:t>
        <w:br/>
        <w:t xml:space="preserve">C12267 - ASTM-SIAS/A.T.I.V.A. </w:t>
        <w:br/>
        <w:t xml:space="preserve">Provision No. 28006 </w:t>
        <w:br/>
        <w:t xml:space="preserve">THE ANTITRUST AUTHORITY </w:t>
        <w:br/>
        <w:t xml:space="preserve">IN ITS MEETING of November 27, 2019; </w:t>
        <w:br/>
        <w:t xml:space="preserve">HEARD the Rapporteur Dr. Gabriella Muscolo; </w:t>
        <w:br/>
        <w:t xml:space="preserve">HAVING REGARD to Law No. 287 of October 10, 1990; </w:t>
        <w:br/>
        <w:t xml:space="preserve">HAVING REGARD to the Presidential Decree No. 217 of April 30, 1998; </w:t>
        <w:br/>
        <w:t xml:space="preserve">HAVING REGARD to the communication from the company ASTM S.p.A., received on November 11, 2019; </w:t>
        <w:br/>
        <w:t xml:space="preserve">CONSIDERED the following: </w:t>
        <w:br/>
        <w:t xml:space="preserve">I. THE PARTIES </w:t>
        <w:br/>
        <w:t xml:space="preserve">1. ASTM S.p.A. (hereinafter, Astm) is an Italian listed company that operates, through its subsidiaries, in the management of toll highway networks and the design and construction of large infrastructure works. Among Astm's subsidiaries is the listed Italian company SIAS – Società Iniziative Autostradali e Servizi S.p.A. (hereinafter Sias, for which a common merger project for the incorporation of Sias into Astm has already been approved by the respective shareholders). </w:t>
        <w:br/>
        <w:t xml:space="preserve">The control of Astm is attributable to the company Aurelia S.r.l., whose share capital is divided among members of the same family. </w:t>
        <w:br/>
        <w:t xml:space="preserve">The Aurelia group, during 2018, achieved a total revenue of [2-3]* billion euros, of which [2-3] and [2-3] billion from sales made respectively in the European Union and in Italy. </w:t>
        <w:br/>
        <w:t xml:space="preserve">2. A.T.I.V.A. S.p.A. – Autostrada Torino-Ivrea-Valle d’Aosta (hereinafter, Ativa) is a company under Italian law whose activity consists in the management and operation, based on a specific Convention1, of the A5 Torino-Ivrea-Valle d’Aosta highway, the A4/A5 Ivrea-Santhià connecting link, and the tangential highway system of Turin (including the Torino-Pinerolo highway branch and the Moncalieri highway axis). Ativa is also active in the design and construction of public works through two subsidiaries (SI.CO.GEN. S.r.l. and ATIVA Engineering S.p.A.). </w:t>
        <w:br/>
        <w:t xml:space="preserve">Ativa is subject, based on parasocial provisions2, to joint control by its two main shareholders (the aforementioned Sias and the company Mattioda Autostrade S.r.l.), each holding approximately 41.2% of the relevant share capital; the remaining share is held by the Metropolitan City of Turin (17.6%) and other minor shareholders (0.01%). </w:t>
        <w:br/>
        <w:t xml:space="preserve">* In this version, some data are omitted, as elements of confidentiality or secrecy of the information were deemed to exist. </w:t>
        <w:br/>
        <w:t xml:space="preserve">1 The aforementioned Convention expired on August 31, 2016; Ativa continues to manage the concession, in accordance with the provisions of the Convention itself, until the new concessionaire takes over. </w:t>
        <w:br/>
        <w:t>2 Expiring in November 2019.</w:t>
      </w:r>
    </w:p>
    <w:p>
      <w:r>
        <w:t xml:space="preserve">BULLETIN NO. 50 OF DECEMBER 16, 2019 143 </w:t>
        <w:br/>
        <w:t xml:space="preserve">During the 2018 financial year, Ativa achieved, entirely in Italy, a total revenue of [100-498] million euros. </w:t>
        <w:br/>
        <w:t xml:space="preserve">II. DESCRIPTION OF THE OPERATION </w:t>
        <w:br/>
        <w:t xml:space="preserve">3. The communication under examination concerns the acquisition, by the Aurelia group, through Sias and Astm, of exclusive control of Ativa, through the transfer, by Mattioda Autostrade, of a share of approximately 31.2% of the share capital. In particular, unless the exercise of the pre-emption right reserved by statute to the other shareholders (in which case, however, the percentage of capital held by Sias will also increase pro-rata), Sias will acquire approximately 15.6% of the capital from Mattioda Autostrade, as will Astm. Consequently, following the operation, the acquiring group will hold a share of Ativa's share capital exceeding 70%. </w:t>
        <w:br/>
        <w:t xml:space="preserve">III. QUALIFICATION OF THE OPERATION </w:t>
        <w:br/>
        <w:t xml:space="preserve">4. The communicated operation, as it involves the acquisition of control of a company, constitutes a concentration pursuant to Article 5, paragraph 1 letter b), of Law No. 287/90. </w:t>
        <w:br/>
        <w:t xml:space="preserve">It falls within the scope of application of Law No. 287/90, as the conditions of Article 1 of EC Regulation 139/2004 do not apply, and is subject to the obligation of prior notification provided for by Article 16, paragraph 1, of the same law, as the total revenue achieved, in the last financial year at the national level, by the group of companies involved was over 498 million euros and the total revenue achieved, in the last financial year at the national level, individually by at least two of the companies involved was over 30 million euros. </w:t>
        <w:br/>
        <w:t xml:space="preserve">IV. EVALUATION OF THE CONCENTRATION </w:t>
        <w:br/>
        <w:t xml:space="preserve">The product and geographic market </w:t>
        <w:br/>
        <w:t xml:space="preserve">5. From a product perspective, the sectors involved in the operation under examination are those in which the company subject to acquisition operates, namely the management of the highway network and the construction of public works. </w:t>
        <w:br/>
        <w:t xml:space="preserve">6. In particular, the management of the highway network involves a series of activities related to automobile traffic on highways, such as the safety of the managed network, traffic control and assistance, toll collection, and information, as well as ordinary and extraordinary maintenance activities and the expansion and modernization of infrastructures. The Italian highway network is under the Ministry of Infrastructure and Transport, which generally entrusts its management to concessionary companies through the signing of specific Conventions (which in particular set the duration of the operation, the rights and obligations of the concessionaries, as well as the criteria for tariff changes). </w:t>
        <w:br/>
        <w:t>The geographic dimension of this product market can be indicated as national, as the Conventions contain uniform provisions for the national territory and the overall management</w:t>
      </w:r>
    </w:p>
    <w:p>
      <w:r>
        <w:rPr>
          <w:b/>
        </w:rPr>
        <w:t>[Pages 142–144]</w:t>
      </w:r>
    </w:p>
    <w:p>
      <w:r>
        <w:t>144 BULLETIN NO. 50 OF DECEMBER 16, 2019</w:t>
        <w:br/>
        <w:t>of the Italian motorway network is governed by specific regulations different from those in force in other countries3.</w:t>
      </w:r>
    </w:p>
    <w:p>
      <w:r>
        <w:t>7. The second market sector under examination concerns the construction and maintenance of public works, including roads and motorways. In particular, the design and execution of related civil and industrial engineering works. In this case, it is not necessary to arrive at a precise geographical delimitation of the market, as the assessment is conducted considering the most restrictive hypothesis of a market confined to national borders, where the company subject to acquisition operates exclusively.</w:t>
      </w:r>
    </w:p>
    <w:p>
      <w:r>
        <w:t>Effects of the operation</w:t>
        <w:br/>
        <w:t>8. With reference to the management of the national motorway network, the acquiring group is attributable to approximately [15-25%] of both toll revenues and kilometers under concession. Following the operation, this percentage will experience a modest increase (slightly more than [1-5%] in both cases), in any case in the presence of other competing operators (primarily the Atlantia group, which accounts for approximately [45-55%] of the aforementioned two measures).</w:t>
      </w:r>
    </w:p>
    <w:p>
      <w:r>
        <w:t>9. As for the market for the construction of public works, Ativa's share is negligible (well below 1%), and therefore will not change the market position of the acquiring group (estimated at approximately [1-5%] in the face of other competing operators such as Salini-Impregilo, Astaldi, and Pizzarotti).</w:t>
      </w:r>
    </w:p>
    <w:p>
      <w:r>
        <w:t>10. In light of the above considerations, the concentration under examination, which moreover consists in fact of the transition from joint control to exclusive control, does not appear suitable to significantly alter the competitive dynamics in the relevant markets.</w:t>
      </w:r>
    </w:p>
    <w:p>
      <w:r>
        <w:t>CONSIDERING, therefore, that the operation in question does not entail, pursuant to Article 6, paragraph 1, of Law No. 287/90, the establishment or strengthening of a dominant position in the relevant markets, such as to eliminate or substantially and durably reduce competition;</w:t>
      </w:r>
    </w:p>
    <w:p>
      <w:r>
        <w:t>RESOLVES</w:t>
        <w:br/>
        <w:t>not to initiate the investigation referred to in Article 16, paragraph 4, of Law No. 287/90. The above conclusions will be communicated, pursuant to Article 16, paragraph 4, of Law No. 287/90, to the interested companies and to the Minister of Economic Development.</w:t>
      </w:r>
    </w:p>
    <w:p>
      <w:r>
        <w:t>3 See C12121 – SIAS SOCIETA’ INIZIATIVE AUTOSTRADALI E SERVIZI/TANGENZIALI ESTERNE DI MILANO-TANGENZIALE EST ESTERNA DI MILANO and C12122 – INTESA SAN PAOLO/AUTOSTRADE LOMBARDE, Provision No. 26823, in Bulletin No. 44/2017.</w:t>
      </w:r>
    </w:p>
    <w:p>
      <w:r>
        <w:t>BULLETIN NO. 50 OF DECEMBER 16, 2019 145</w:t>
        <w:br/>
        <w:t>This provision will be published in the Bulletin of the Antitrust Authority.</w:t>
      </w:r>
    </w:p>
    <w:p>
      <w:r>
        <w:t>THE SECRETARY GENERAL THE PRESIDENT</w:t>
        <w:br/>
        <w:t>Filippo Arena Roberto Rustichelli</w:t>
      </w:r>
    </w:p>
    <w:p>
      <w:r>
        <w:t>146 BULLETIN NO. 50 OF DECEMBER 16, 2019</w:t>
        <w:br/>
        <w:t>C12269 - INTERBANK DEPOSIT PROTECTION FUND/BANCA CARIGE S.P.A.</w:t>
        <w:br/>
        <w:t>Provision No. 28007</w:t>
        <w:br/>
        <w:t>THE ANTITRUST AUTHORITY</w:t>
        <w:br/>
        <w:t>IN ITS MEETING of November 27, 2019;</w:t>
        <w:br/>
        <w:t>HEARD the Rapporteur Dr. Gabriella Muscolo;</w:t>
        <w:br/>
        <w:t>HAVING REGARD to Law No. 287 of October 10, 1990;</w:t>
        <w:br/>
        <w:t>HAVING REGARD to the Presidential Decree No. 217 of April 30, 1998;</w:t>
        <w:br/>
        <w:t>HAVING REGARD to the communication from the Interbank Deposit Protection Fund, received on November 21, 2019;</w:t>
      </w:r>
    </w:p>
    <w:p>
      <w:r>
        <w:t>CONSIDERED the following:</w:t>
        <w:br/>
        <w:t>I. THE PARTIES</w:t>
        <w:br/>
        <w:t>1. The Interbank Deposit Protection Fund (hereinafter also “FITD”) is a private law consortium, established in 1987 on a voluntary basis, with the aim of guaranteeing the depositors of the member banks, and subsequently made mandatory following the implementation of EU Directive 94/19/EC on deposit guarantee schemes, the content of which has been confirmed and expanded by Directive 2014/49/EU. Currently, all Italian banks are members, except for Cooperative Credit Banks (which instead belong to the Interbank Deposit Protection Fund of Cooperative Credit).</w:t>
      </w:r>
    </w:p>
    <w:p>
      <w:r>
        <w:t>From a governance perspective, a balanced representation of the member banks is provided both in the Assembly and in the Board of Directors, so that, in the absence of shareholders' agreements, no institution is able to exclusively or jointly control the FITD. In 2018, FITD generated a total revenue entirely in Italy, calculated pursuant to Article 16, paragraph 2, of Law No. 287/90 (one-tenth of the balance sheet total, excluding off-balance-sheet accounts), amounting to approximately 143 million euros.</w:t>
      </w:r>
    </w:p>
    <w:p>
      <w:r>
        <w:t>2. Banca Carige S.p.A. (hereinafter also “Banca Carige”) is a company listed on the Milan Stock Exchange, at the head of the eponymous group, active in the banking sector to which, in addition to Banca Carige, Banca del Monte di Lucca S.p.A., Banca Cesare Ponti S.p.A., and Creditis Servizi Finanziari S.p.A. belong. The capital of Banca Carige is currently divided among numerous entities, with Malacalza Investimenti s.r.l. being the main shareholder, holding 27.5% of the share capital, and Compania Financiera Lonestar SA as the second shareholder, with a stake of approximately 9.08% of the share capital. In 2018, the Carige Group generated a total revenue entirely in Italy, calculated pursuant to Article 16, paragraph 2, of Law No. 287/90 (one-tenth of the balance sheet total, excluding off-balance-sheet accounts), amounting to approximately 2.2 billion euros.</w:t>
      </w:r>
    </w:p>
    <w:p>
      <w:r>
        <w:rPr>
          <w:b/>
        </w:rPr>
        <w:t>[Pages 145–147]</w:t>
      </w:r>
    </w:p>
    <w:p>
      <w:r>
        <w:t>BULLETIN NO. 50 OF DECEMBER 16, 2019 147</w:t>
      </w:r>
    </w:p>
    <w:p>
      <w:r>
        <w:t xml:space="preserve">II. DESCRIPTION OF THE OPERATION  </w:t>
        <w:br/>
        <w:t>3. The communicated operation consists of the subscription by FITD of a portion of the shares of Banca Carige subject to a capital increase such that, as a result of the operation, FITD will hold shares and voting rights in a range between 70% and 83% of the share capital of Banca Carige. The remaining part of the capital will be distributed among minority shareholders.</w:t>
      </w:r>
    </w:p>
    <w:p>
      <w:r>
        <w:t xml:space="preserve">III. QUALIFICATION OF THE OPERATION  </w:t>
        <w:br/>
        <w:t>4. The communicated operation, as it involves the acquisition of control of a company, constitutes a concentration pursuant to Article 5, paragraph 1, letter b), of Law No. 287/90. It falls within the scope of application of Law No. 287/90, as the conditions of Article 1 of Regulation (EC) No. 139/04 do not apply, and it is subject to the obligation of prior notification provided for by Article 16, paragraph 1, of the same law, as the total turnover achieved in the last financial year at the national level by the group of companies involved exceeded 498 million euros, and the turnover achieved individually, at the national level, by at least two of them exceeds 30 million euros.</w:t>
      </w:r>
    </w:p>
    <w:p>
      <w:r>
        <w:t xml:space="preserve">IV. EVALUATIONS  </w:t>
        <w:br/>
        <w:t>5. The Carige Group is active in various markets included in the traditional banking sector (loans and deposits), as well as in the sectors of asset management, consumer credit, leasing, factoring, and payment services. However, in none of these markets are there any competitive issues since FITD is not active in any of these markets. The operation, therefore, involves merely the replacement of one operator with another.</w:t>
      </w:r>
    </w:p>
    <w:p>
      <w:r>
        <w:t>CONSIDERING, therefore, that the operation in question does not result, pursuant to Article 6, paragraph 1, of Law No. 287/90, in the establishment or strengthening of a dominant position in the relevant market, such as to eliminate or substantially and durably reduce competition;</w:t>
      </w:r>
    </w:p>
    <w:p>
      <w:r>
        <w:t xml:space="preserve">RESOLVES  </w:t>
        <w:br/>
        <w:t xml:space="preserve">not to initiate the investigation referred to in Article 16, paragraph 4, of Law No. 287/90.  </w:t>
        <w:br/>
        <w:t>The above conclusions will be communicated, pursuant to Article 16, paragraph 4, of Law No. 287/90, to the companies involved and to the Ministry of Economic Development.</w:t>
      </w:r>
    </w:p>
    <w:p>
      <w:r>
        <w:t xml:space="preserve">THE SECRETARY GENERAL THE PRESIDENT  </w:t>
        <w:br/>
        <w:t>Filippo Arena Roberto Rustichelli</w:t>
      </w:r>
    </w:p>
    <w:p>
      <w:r>
        <w:t>148 BULLETIN NO. 50 OF DECEMBER 16, 2019</w:t>
      </w:r>
    </w:p>
    <w:p>
      <w:r>
        <w:t xml:space="preserve">ACTIVITY OF REPORTING AND CONSULTATION  </w:t>
        <w:br/>
        <w:t xml:space="preserve">AS1627 - DRAFT PROGRAM CONTRACT 2020-2024 BETWEEN THE MINISTRY OF ECONOMIC DEVELOPMENT AND POSTE ITALIANE  </w:t>
        <w:br/>
        <w:t xml:space="preserve">Rome, December 6, 2019  </w:t>
        <w:br/>
        <w:t xml:space="preserve">President of the Council of Ministers  </w:t>
        <w:br/>
        <w:t>Minister of Economic Development</w:t>
      </w:r>
    </w:p>
    <w:p>
      <w:r>
        <w:t>The Antitrust Authority, in its meeting of November 27, 2019, deemed it appropriate to formulate, pursuant to Article 22 of Law No. 287/90, some considerations regarding the draft program contract 2020-2024 between the Minister of Economic Development and Poste Italiane S.p.A. (Government Act No. 128 submitted for parliamentary opinion), which will regulate in the five-year period 2020-2024 the methods of providing the universal postal service, as well as the related obligations of the entrusted company, the services provided to users, state transfers, the regulations concerning the issuance of value papers, and the provisions regarding international relations.</w:t>
      </w:r>
    </w:p>
    <w:p>
      <w:r>
        <w:t>In particular, the Authority intends to highlight the competitive criticalities that emerge in the current framework of the draft program contract in question, with particular reference to the contents of the following articles: “1 – Object”; “2 - Activities and methods of providing the universal service and objectives of rationalization and management efficiency” and “5 – Services to citizens, businesses, and public administrations”.</w:t>
      </w:r>
    </w:p>
    <w:p>
      <w:r>
        <w:t>The program contract between the State and Poste Italiane S.p.A. is governed by the law of January 29, 1994, No. 71, converting into law, with amendments, the Decree Law of December 1, 1993, No. 487, concerning “Transformation of the Administration of Posts and Telecommunications into a public economic entity and reorganization of the Ministry”, which specifically provides in Article 8 that “(...) The program contract must contain a charter of the public postal service, in which the obligations and responsibilities of the entity regarding the quality levels of services will be identified, with specific reference to the purposes of equal treatment among the different categories or groups of users, full information on the methods of services and quality levels, easy access to offices especially for disabled users, simplification of procedures, prompt response to complaints, requests, reports, and requests for compensation.”</w:t>
      </w:r>
    </w:p>
    <w:p>
      <w:r>
        <w:t>BULLETIN NO. 50 OF DECEMBER 16, 2019 149</w:t>
      </w:r>
    </w:p>
    <w:p>
      <w:r>
        <w:t>Therefore, the purpose of the program contract provided for by the reference norm is to regulate the methods of providing the universal postal service, as well as the related obligations of the entrusted company.</w:t>
      </w:r>
    </w:p>
    <w:p>
      <w:r>
        <w:t>Conversely, the draft program contract for the five-year period 2020-2024 provides not only for the regulation of the relations between the State and Poste Italiane S.p.A. for the provision of the universal postal service entrusted to it but also for those for the provision of other services to citizens, businesses, and public administrations that are outside the universal service and, in some cases, even outside the postal sector, as also noted by the Authority for Communications Guarantees in its favorable opinion “with observations” rendered with Resolution No. 349/19/CONS.</w:t>
      </w:r>
    </w:p>
    <w:p>
      <w:r>
        <w:t>In this regard, the Authority intends to highlight some competitive criticalities and formulate some observations so that the aforementioned upcoming program contract can more correctly pursue its purpose of regulating solely the methods of providing the universal postal service, as well as the related obligations of the entrusted company and not include provisions that deal with services that fall outside the scope of the universal postal service, thereby introducing unjustified competitive distortions.</w:t>
      </w:r>
    </w:p>
    <w:p>
      <w:r>
        <w:t>Moving into the details of the provisions, with reference to Article 1, titled “Object”, which outlines the object of the program contract, it is highlighted that the latter not only regulates the relations between the State and Poste Italiane S.p.A. for the provision of the universal postal service entrusted to it but also the relations between the State and Poste Italiane S.p.A. for the provision of other services (in the draft contract indicated as “in multichannel”) to citizens, businesses, and public administrations, through the use of the network of Poste Italiane S.p.A.</w:t>
      </w:r>
    </w:p>
    <w:p>
      <w:r>
        <w:t xml:space="preserve">Regarding the provision of the universal postal service by Poste Italiane S.p.A., the well-known criticalities, also reported on several occasions by the Authority1 and still persistent, related to:  </w:t>
        <w:br/>
        <w:t xml:space="preserve">- the methods of entrusting the universal service: the selection of the provider of the universal service has occurred directly and not through a public tender;  </w:t>
        <w:br/>
        <w:t xml:space="preserve">- the duration of the direct entrustment: extremely long and therefore incompatible with a real opening of the market;  </w:t>
        <w:br/>
        <w:t>- the scope of the universal service: it should be redefined and limited exclusively to those essential services that the user would not otherwise be able to purchase individually.</w:t>
      </w:r>
    </w:p>
    <w:p>
      <w:r>
        <w:t>In this sense, services aimed at commercial customers that involve large volume shipments (so-called non-retail such as bulk mail or non-retail registered mail) should be excluded from the scope of the universal service and should be limited to services primarily aimed at individuals (so-called retail). Therefore, the universal service should be limited to the sending of correspondence in the strict sense between individuals, excluding other shipments (for example, that of parcels) for which there do not seem to be reasons to finance activities that find ample opportunity to be acquired on the market at reasonable conditions at the expense of the State. The choice to maintain too broad a scope of the universal service imposes an additional burden on the provider, which</w:t>
      </w:r>
    </w:p>
    <w:p>
      <w:r>
        <w:t>1 AS1550 - CONCESSIONS AND COMPETITIVE CRITICALITIES of December 20, 2018, AS1137 - PROPOSALS FOR COMPETITIVE REFORM FOR THE ANNUAL LAW FOR THE MARKET AND COMPETITION of July 4, 2014, AS988 - PROPOSALS FOR COMPETITIVE REFORM FOR THE ANNUAL LAW FOR THE MARKET AND COMPETITION of October 2, 2012, and AS901 - PROPOSALS FOR COMPETITIVE REFORM FOR THE ANNUAL LAW FOR THE MARKET AND COMPETITION of January 5, 2012.</w:t>
      </w:r>
    </w:p>
    <w:p>
      <w:r>
        <w:rPr>
          <w:b/>
        </w:rPr>
        <w:t>[Pages 148–150]</w:t>
      </w:r>
    </w:p>
    <w:p>
      <w:r>
        <w:t>150 BULLETIN NO. 50 OF DECEMBER 16, 2019</w:t>
        <w:br/>
        <w:t>inevitably reflects on its efficiency and its income statement, as well as on the State's budget (through the transfer charged to the State). Furthermore, this situation, also due to the exemption of the universal service from value-added tax (VAT), creates evident competitive distortions to the detriment of competing operators. Moreover, the European group of postal regulators2 has recently stated that the universal service should only be maintained where "market forces do not ensure that (...) a minimum set of postal services is available to users at a certain level of quality and price" and that "when the portion of the population dependent on postal services is very small, a universal service may not be a proportional tool, therefore its imposition may not be necessary"3;</w:t>
        <w:br/>
        <w:t>- the financing methods: the need to make financing systems more transparent.</w:t>
        <w:br/>
        <w:t>Regarding the provision of other services by Poste Italiane S.p.A. to citizens, businesses, and public administrations, through the use of the Poste Italiane S.p.A. network, the superfluity of including the latter within a program contract that should regulate only the provision of the universal postal service is highlighted. This could confuse the market regarding postal services falling within the scope of the universal postal service and those that are external, some of which are of a non-postal nature, which, even if considered of general interest, must be offered by Poste Italiane S.p.A. in a free market regime and cannot be subject to agreements, as public tender procedures must be followed for their assignments4. All this has evident competitive repercussions regarding possible discrimination in the liberalized postal sector for private postal operators compared to the incumbent and also in other non-postal sectors, where Poste Italiane S.p.A., due to direct access to public administrations, would have an unjustified competitive advantage, harming not only competitors but also the treasury, which would not benefit from the advantages of public tender procedures.</w:t>
        <w:br/>
        <w:t>Furthermore, the considerations made by the Regulator regarding the need to separate, at least accounting-wise, the universal postal service from all other services are shared, with the aim of making the allocation of public resources transparent by dedicating them to activities strictly related to the provision of the universal service provided by Poste Italiane S.p.A..</w:t>
        <w:br/>
        <w:t>With reference to Article 2, titled "Activities and methods of providing the universal service and objectives of rationalization and management efficiency," which defines the activities and methods of providing the universal service, as well as the objectives of rationalization and management efficiency, the incorrect terms present in paragraph 4 are highlighted: "correspondence" and "packages and parcels," instead of "postal items" and "postal parcels," and in lexical deviation from the exact indication of the products falling within the universal postal service, particularly using the term "packages," which is employed in the field of logistics and transport.</w:t>
        <w:br/>
        <w:t>Regarding Article 5, titled services to citizens, businesses, and public administrations, which regulates services excluded from the universal postal service and its resources, consisting of additional services that Poste Italiane S.p.A. can offer, using its network and technological infrastructures, the considerations made regarding such services in relation to Article 1 apply. Specifically, the following are of particular competitive concern:</w:t>
        <w:br/>
        <w:t>- paragraph 2, which lists digital services, partly related to the postal services supply chain, that Poste Italiane S.p.A. is tasked with making available to public administrations, consisting of the dematerialization of administrative requests sent by mail, the delivery and reporting of outcomes, and the archiving of documents issued by administrations. These services will be defined by specific agreements with the public administrations;</w:t>
        <w:br/>
        <w:t>- paragraph 3, which lists non-postal services, regarding which Poste Italiane S.p.A. will evaluate whether to make them available to public administrations, consisting, among other things, of the issuance and delivery of certificates and attestations, collection and payment activities, support and assistance for the elderly population to promote the use of IT tools in carrying out activities related to postal services and other services offered by Poste Italiane S.p.A., and logistics for urban centers and rural areas, in some cases not included in the 2015-2019 program contract. These services will be defined by specific agreements with public administrations;</w:t>
        <w:br/>
        <w:t>- paragraph 8, which provides that in municipalities with a resident population of up to 5,000 inhabitants, the requesting administrations are offered, among others, the treasury service.</w:t>
        <w:br/>
        <w:t>As mentioned, these provisions allow Poste Italiane S.p.A. to offer services unrelated to the universal postal service, in some cases even unrelated to the postal sector, based on agreements, circumventing public tender procedures for their assignments, resulting in competitive distortions and a burden on public accounts.</w:t>
      </w:r>
    </w:p>
    <w:p>
      <w:r>
        <w:t>152 BULLETIN NO. 50 OF DECEMBER 16, 2019</w:t>
        <w:br/>
        <w:t>In conclusion, in order to promote the full development of competitive dynamics in the now fully liberalized postal sector and in other non-postal sectors affected by the program contract in question, the Authority believes that it should be brought back to its original purpose of regulating solely the methods of providing the universal postal service, as well as the related obligations of the entrusted company, and that at the same time the scope of the universal service should be limited to only those services for which it is essential, essentially reducible to mere correspondence between private parties.</w:t>
        <w:br/>
        <w:t>This opinion will be published in the bulletin referred to in Article 26 of Law No. 287/90.</w:t>
        <w:br/>
        <w:t>THE PRESIDENT</w:t>
        <w:br/>
        <w:t>Roberto Rustichelli</w:t>
      </w:r>
    </w:p>
    <w:p>
      <w:r>
        <w:rPr>
          <w:b/>
        </w:rPr>
        <w:t>[Pages 151–153]</w:t>
      </w:r>
    </w:p>
    <w:p>
      <w:r>
        <w:t>BULLETIN NO. 50 OF DECEMBER 16, 2019 153</w:t>
      </w:r>
    </w:p>
    <w:p>
      <w:r>
        <w:t>AS1628 - AUTHORIZATION OF ADVERTISING TO THE PUBLIC OF MEDICINAL PRODUCTS</w:t>
      </w:r>
    </w:p>
    <w:p>
      <w:r>
        <w:t>Rome, December 9, 2019</w:t>
      </w:r>
    </w:p>
    <w:p>
      <w:r>
        <w:t>Ministry of Health</w:t>
      </w:r>
    </w:p>
    <w:p>
      <w:r>
        <w:t>The Antitrust Authority, in its meeting on November 27, 2019, intended to formulate, pursuant to Article 21 of Law No. 287/90, some observations regarding the restrictive effects on competition in the market for the distribution - physical and online - of pharmaceutical products resulting from the provision of Article 10 of the Ministry of Health Circular No. 3 of October 3, 2006, which states that “the authorization for the advertising of an over-the-counter medicine can only be requested by the holder of the marketing authorization; moreover, the holder of the commercial establishment is also responsible for irregular advertising carried out at the point of sale.” This limitation on the category of subjects authorized to request the authorization is also reported on the Ministry of Health portal1, under the heading “who can request it,” where it is specified: “The manufacturing company or the responsible party for the marketing of the medicine.”</w:t>
      </w:r>
    </w:p>
    <w:p>
      <w:r>
        <w:t>In this regard, it is worth noting that Article 118 of Legislative Decree No. 219 of April 24, 2006, titled “Authorization of advertising to the public,” states that no advertising of medicines to the public can be carried out without the authorization of the Ministry of Health, and does not provide limitations on the categories of subjects authorized to request such authorization, specifically referring to the medicines referred to in Article 96 of the same decree (over-the-counter or non-prescription medicines). According to the primary regulation, therefore, any operator authorized to sell drugs that, by composition and therapeutic objective, can be used without the intervention of a doctor (for diagnosis, prescription, or monitoring during treatment) is entitled to request from the Ministry of Health the authorization to advertise its products. And this is regardless of whether it is a manufacturer or a distributor and, in the latter case, whether it operates in the wholesale phase or in the consumer distribution phase.</w:t>
      </w:r>
    </w:p>
    <w:p>
      <w:r>
        <w:t>Article 10 of the Ministerial Circular No. 3/2006, therefore, introduces an unjustified restriction on the subjects that could be legitimately authorized to advertise their activities and their products, thereby limiting the available tools for competition, to the detriment of the overall level of competitiveness in the affected markets.</w:t>
      </w:r>
    </w:p>
    <w:p>
      <w:r>
        <w:t>To this end, the Authority highlights how, with particular reference to the consumer distribution of medicines, in various previous interventions it has expressed its opposition to regulatory provisions that limit competition among pharmacies.</w:t>
      </w:r>
    </w:p>
    <w:p>
      <w:r>
        <w:t>The Authority therefore hopes that the Ministry in question will adequately consider the observations made herein, in order to protect and promote competition in the most effective manner in the relevant sectors, and invites communication of the determinations taken in this regard.</w:t>
      </w:r>
    </w:p>
    <w:p>
      <w:r>
        <w:t>This report will be published in the Bulletin referred to in Article 26 of Law No. 287 of October 10, 1990.</w:t>
      </w:r>
    </w:p>
    <w:p>
      <w:r>
        <w:t>THE PRESIDENT</w:t>
      </w:r>
    </w:p>
    <w:p>
      <w:r>
        <w:t>Roberto Rustichelli</w:t>
      </w:r>
    </w:p>
    <w:p>
      <w:r>
        <w:t>BULLETIN NO. 50 OF DECEMBER 16, 2019 155</w:t>
      </w:r>
    </w:p>
    <w:p>
      <w:r>
        <w:t>AS1629 - DIRECT ASSIGNMENT OF SUBSTITUTE/COMPLEMENTARY AUTOMOBILE SERVICES FOR RAILWAY SERVICES</w:t>
      </w:r>
    </w:p>
    <w:p>
      <w:r>
        <w:t>Rome, December 11, 2019</w:t>
      </w:r>
    </w:p>
    <w:p>
      <w:r>
        <w:t>Regions</w:t>
      </w:r>
    </w:p>
    <w:p>
      <w:r>
        <w:t>Autonomous Provinces of Trento and Bolzano</w:t>
      </w:r>
    </w:p>
    <w:p>
      <w:r>
        <w:t>The Antitrust Authority, during 2018 and 2019, received several reports regarding possible distortions of competition attributable to the direct assignment by the Regions of so-called substitute/complementary automobile services for railway services, pursuant to Article 5, paragraph 6, of Regulation 1370/2007/EC. Following the receipt of the reports, there was extensive dialogue with the Regions and the Autonomous Provinces of Trento and Bolzano, with requests for information aimed at acquiring an overall picture of the situation regarding the assignment of so-called substitute/complementary automobile services for regional railway services.</w:t>
      </w:r>
    </w:p>
    <w:p>
      <w:r>
        <w:t>Following this in-depth analysis, the Authority, during the meeting on November 27, 2019, deemed it appropriate to make the following considerations, pursuant to Article 22 of Law No. 287/1990.</w:t>
      </w:r>
    </w:p>
    <w:p>
      <w:r>
        <w:t>The possibility of substituting and/or complementing railway services with automobile transport services has been recognized by Articles 1 and 2 of the Royal Decree of December 21, 1931, No. 15751, which, for the first time, regulated the possibility, by the then Minister of Communications, to partially or totally replace railway services with automobile services to be assigned exclusively “to the administration of the state railways, or to private industry.” Said Ministry could also “assign to the state railways other automobile services integrating the railway network.”</w:t>
      </w:r>
    </w:p>
    <w:p>
      <w:r>
        <w:t>More recently, the legislator intervened with Article 34-octies of Decree Law No. 179/2012, anchoring the model for assigning substitute/complementary automobile services to the principles of competition, cost-effectiveness, and efficiency2. The underlying logic of the possibility of substituting or complementing railway services with automobile services arises, in fact, from the need to address unforeseen and unpredictable events (which can render the railway service impracticable or insufficient, such as breakdowns, maintenance, unexpected peaks in demand, or force majeure) or from the need to use less expensive services to more efficiently support the demand for transport on lines characterized by low patronage, especially during periods of greater contraction of resources allocated by the State and Regions for the financing of public transport services. In the latter case, the services</w:t>
      </w:r>
    </w:p>
    <w:p>
      <w:r>
        <w:t>1 Titled “Operation of the lines of the state railways network.” Published in the Official Gazette on December 31, 1931, No. 301 and converted into law by Law No. 386 of March 24, 1932.</w:t>
        <w:br/>
        <w:t>2 Inserted by the conversion law of December 17, 2012, No. 221.</w:t>
      </w:r>
    </w:p>
    <w:p>
      <w:r>
        <w:rPr>
          <w:b/>
        </w:rPr>
        <w:t>[Pages 154–156]</w:t>
      </w:r>
    </w:p>
    <w:p>
      <w:r>
        <w:t>156 BULLETIN NO. 50 OF DECEMBER 16, 2019</w:t>
        <w:br/>
        <w:t>substitute/integrative services can certainly be excluded from the scope of railway service contracts (and the related direct assignment), considering that their configuration should derive from public choices also of medium-long term linked to identifying the least burdensome method for public finances in relation to the mobility needs to be met3. Consequently, for the "stably and continuously provided" substitute/integrative bus services4, the rules contained in paragraphs 4, 5, and 6 of Article 34-octies require the Regions to organize their provision in optimal territorial basins, so as to maximize their efficiency and integration with the minimum public transport services5 and to award them (starting from the now expired deadline of December 31, 2013) through competitive procedures with public evidence in compliance with the principles of the TFEU and the principles of economy, impartiality, transparency, publicity, non-discrimination, equal treatment, mutual recognition, and proportionality6. The rationale of the regulation is clear: to eliminate from the scope of railway service contracts the substitute/integrative bus services provided with a stable character that must be subject to legislative discipline and the more competitive and good administration logics provided for ordinary road public transport services. For such services, in fact, Regulation 1370/2007/EC provides for the public evidence procedure as the ordinary method of assignment7. Regarding the integration with road public transport services, the recent innovations provided by Decree Law No. 50/2017 should be included, whose Article 48 requires the Regions to define mobility basins based on demand analysis, using origin/destination matrices to identify the intermodal transport network3. Similarly, in the case of expansion or maintenance interventions of the railway network lasting several years.4 Paragraph 3 of Article 34-octies excludes from the application of the regulation the temporary services rendered necessary by the temporary interruption of the railway network or by the temporary suspension of the railway service for extraordinary maintenance interventions, breakdowns, and other force majeure causes, and the services (also temporary) rendered necessary by a temporary and unprogrammable peak in transport demand and carried out at the same times and routes as the railway service they integrate. For these, the Royal Decree of December 21, 1931, No. 1575 continues to apply.5 Identified by each Region in implementation of Article 16 of Legislative Decree No. 422 of November 19, 1997 and pursuant to Article 48 of Decree Law No. 50/2017.6 Paragraph 6 also provides that "in order to promote competitive structure and efficiency of services, the tender notice or the invitation letter related to the procedures referred to in paragraph 5: a) ensures that the fees set as the basis for the auction are quantified according to the standard cost criterion of similar bus services, determined by each region pursuant to Article 17 of Legislative Decree No. 422 of November 19, 1997; b) provides that the evaluation of the offers is carried out according to the criterion of the economically most advantageous offer by a commission appointed by the awarding entity and composed of experts in the specific subject; c) ensures that the evaluation criteria of the offers based on quality and quantity of the services rendered and on integration projects with the existing minimum service network prevail over the criteria related to the unit price of the services; d) indicates the criteria for the transfer of employees to the new service awardees, providing, among the evaluation elements of the offer, the adoption of tools to protect employment levels and the average annual salary levels related to the previous management."7 If one follows the logic chosen by the legislator with Article 34-octies of Decree Law No. 179/2012, integrating the related discipline with the general rules provided by Article 5 of Regulation 1370/2007/EC, Article 18 of Legislative Decree No. 422/1997, and Article 27 of Decree Law No. 50/2017 cited, it is evident that – aside from the case of in-house assignment – the only opportunity to "avoid" the tender lies in the occurrence of the circumstances regulated in Article 5, paragraphs 4 and 5 of the Regulation. It is therefore possible to derogate from the tender rule only when there is an imminent danger of interruption of services (and, in any case, the assignment cannot have a duration exceeding 2 years) or when the average annual value of the services is less than 1 million euros or their volume is less than 300,000 kilometers per year. Excluding such exceptional cases, the only plausible method of assigning such services remains the public evidence procedure.</w:t>
      </w:r>
    </w:p>
    <w:p>
      <w:r>
        <w:t>BULLETIN NO. 50 OF DECEMBER 16, 2019 157</w:t>
        <w:br/>
        <w:t>of public transport services ensuring the elimination of any possible overlap between existing services8. The current regulatory framework is largely disregarded by the Regions which, within the framework of railway service contracts, continue to award without tender about 13.5 million km annually of substitute/integrative bus services with a stable character, for a total value of over 40 million euros annually9. However, some Regions (Friuli-Venezia Giulia10, Sardinia, Molise, Basilicata, Tuscany, Campania, and Apulia), which have recently directly awarded the new railway service contract with Trenitalia and which have simultaneously already defined or are defining the mobility basins of road public transport, pursuant to Article 48 of Decree Law No. 50/2017 and the resolutions of the Transport Authority (ART), have requested, in implementation of Article 34-octies, the inclusion of a specific clause whereby the railway operator commits to provide the substitute/integrative services until the identification, through tender, of the new manager of road public transport services11. Other Regions (Lombardy12, Liguria, Calabria, and Veneto13), on the other hand, confirm their choice to maintain the substitute bus services within the railway service contracts, despite the fact that they recognize that part of these is aimed at containing costs concerning lines with weak demand for which the railway service would be uneconomical. To date, where railway service contracts are directly awarded to Trenitalia S.p.A., the substitute/integrative bus services with a stable character are managed by Busitalia Rail Service S.r.l. (controlled by Busitalia – Sita Nord S.r.l.), another company of the FSI Group, which provides them directly or sub-awards them in whole or in part to other selected road transport companies pursuant to the public contracts code14. The Authority believes that the circumstances that have emerged present more than one potential criticality from a competitive point of view regarding both the methods of awarding substitute/integrative bus services and their management and financing methods. The inclusion of substitute/integrative bus services provided with a stable character within railway service contracts, and their consequent direct assignment, finds no justification other than wanting to delegate to the railway operator the exercise of programming functions over part of the road transport services. In fact, the thesis of some Regions that believe that the programming of stable substitute/integrative services should be the exclusive prerogative of the incumbent railway operator is unconvincing. The fact that it is possible to easily distinguish within railway service contracts the stable bus services (generally included in a separate annex of the contract) from emergency ones is proof of the profound difference between the two types of service, differentiating the mobility needs that can be satisfied in a medium-long term perspective from those that are unpredictable, which instead require emergency management by the railway company. The thesis aimed at defending the inclusive choice is, moreover, contradicted by the facts considering that numerous Regions, including Friuli-Venezia Giulia, Sardinia, Molise, Basilicata, Tuscany, Campania, and Apulia, have already started and in some cases concluded the programming activities of the services, integrating the stable substitute/integrative bus services into the road public transport mobility basins pursuant to Article 48 of Decree Law No. 50/2017 and Article 34-octies of Decree Law No. 179/2012. Not coincidentally, all railway service contracts stipulated by the aforementioned Regions with Trenitalia contain the clause that the substitute bus services will be managed by Trenitalia until the entry of the winning companies of the tenders for the assignment of the road public transport basins. The choice to include stable substitute/integrative bus services in railway service contracts is therefore in contrast with Article 48 of Decree Law No. 50/2017 regarding the definition of mobility basins and with Article 34-octies of Decree Law No. 179/2012, which explicitly requires that such services be removed from railway service contracts and integrated into road mobility basins. They could hardly form the subject of an optimal territorial basin given their fragmented nature and considering that they generally connect railway stations.14 In particular, the FSI group directly or indirectly provides stable substitute/integrative services in 11 regions together with other transport companies selected as a result of tender procedures. Busitalia Rail Service directly provides part of the services in Basilicata, Calabria, Campania, Emilia, Lazio, Molise, Apulia, and Tuscany. In Emilia Romagna, the substitute services are provided by SPR-ER Scarl, a consortium company established on June 18, 2016, by Trenitalia and TPER following the award of the tender called by Ferrovie Emilia Romagna S.r.l., at the request of the Emilia-Romagna Region, for the management of public railway passenger transport services, as well as the substitute bus services, under the jurisdiction of the Emilia-Romagna Region. In Umbria, the approximately 300,000 bus/km annually are awarded to the company Umbria Mobilità acquired in 2015 by Busitalia. In Lombardy, the services are managed by the Elio Scarl Consortium established by Trenord with FNMAutoservizi S.p.A. and Busitalia Rail Service. FNMA and Busitalia Rail Service in turn award the services to other operators through public evidence procedures. In Veneto, Friuli, Sardinia, and Sicily, the service has been fully sub-awarded by Busitalia Rail Service to other operators.</w:t>
      </w:r>
    </w:p>
    <w:p>
      <w:r>
        <w:rPr>
          <w:b/>
        </w:rPr>
        <w:t>[Pages 157–159]</w:t>
      </w:r>
    </w:p>
    <w:p>
      <w:r>
        <w:t>BULLETIN NO. 50 OF DECEMBER 16, 2019 159</w:t>
      </w:r>
    </w:p>
    <w:p>
      <w:r>
        <w:t>The direct assignment, resulting from such erroneous programming choices, is in contrast with the principles protecting competition, as it unjustifiably removes significant revenue shares from the market and constitutes a violation of Article 5 of Regulation No. 1370/2007/EC and Article 34-octies of Decree Law No. 179/2012 in that they provide for the initiation of a public tender procedure for the assignment of passenger transport services by road.</w:t>
      </w:r>
    </w:p>
    <w:p>
      <w:r>
        <w:t>As is known, in fact, Article 5 of Regulation 1370/2007/EC allows, within certain limits, the direct assignment of railway service contracts15, while for road passenger transport it prescribes, as the ordinary model of assignment, the public tender procedure, which can only be deviated from if the conditions for in-house providing exist or in the limited cases regulated by paragraphs 4 and 5, that is, if there is a concrete risk of service interruption or if it concerns services of modest size (in terms of volume, up to 300,000 km and in value, up to 1 million euros).</w:t>
      </w:r>
    </w:p>
    <w:p>
      <w:r>
        <w:t>Specifically regarding substitute/integrative bus services, in the Commission's Communication on interpretative guidelines concerning Regulation (EC) No. 1370/2007 relating to public transport services for passengers by road and rail16, the Commission clarified that any exception to the general rule of a competitive award procedure must always be applied restrictively. This means that even “substitute services for railway transport operated, for example, by buses, which can be requested by contract from the public service operator in the event of disruption of the railway network, cannot be considered railway transport services and, therefore, do not fall within the scope of Article 5, paragraph 6. It is therefore necessary to subcontract such substitute services by bus in accordance with the relevant public procurement legislation”17. The passage from the Communication is crucial because it recognizes the extraneousness to the railway service contract of even emergency substitute services, requiring the railway company benefiting from a direct assignment to subcontract them through a competitive procedure. All the more so, substitute/integrative bus services with a stable nature must be considered extraneous to the railway service contract, and the obligation to initiate a public tender procedure in this case falls on the competent administration, which is required to integrate such services upstream, within the mobility basins of public transport by road defined pursuant to Article 48 of Decree Law No. 50/2017. In the same vein, the Council of State expressed itself, which, in judgment No. 2222/201718, reiterated the obligation for the Regions to exclude stable substitute/integrative services from the railway service contract and to assign them through a competitive procedure in accordance with Regulation 1370/2007/EC.</w:t>
      </w:r>
    </w:p>
    <w:p>
      <w:r>
        <w:t>15 Following the changes recently introduced by Regulation 2016/2338/EU, the aforementioned Regulation 1370 provides that Article 5, paragraph 6 ceases to apply from December 25, 2023, and that the duration of contracts awarded in accordance with Article 5, paragraph 6, between December 3, 2019, and December 24, 2023, cannot exceed ten years. In other words, railway service contracts may be awarded without a competitive procedure until December 24, 2023.</w:t>
      </w:r>
    </w:p>
    <w:p>
      <w:r>
        <w:t>16 In OJUE 2014/C 92/01.</w:t>
      </w:r>
    </w:p>
    <w:p>
      <w:r>
        <w:t>17 Point 2.3.5. Article 5, paragraph 6. Railway services that may be subject to direct award procedure.</w:t>
      </w:r>
    </w:p>
    <w:p>
      <w:r>
        <w:t>18 The judgment of the Council of State No. 2222/2017, which confirms that of the TAR Potenza No. 429/16, annulled the acts of the tender announced by the Basilicata region for the assignment of substitute/integrative bus services not because it deemed the principle set forth in Article 34-octies irrelevant, but because the Region had not adequately fulfilled some of the informational obligations arising from the annex to resolution No. 49/2015 of the ART. The Council of State, in fact, while establishing that “the appeal must be rejected” emphasizes that “the obligation of the administration to carry out the assignment through a competitive procedure with acts purged of the identified illegitimacies” certainly remains, thus recognizing the necessity to exclude stable substitute/integrative services from the railway service contract and to assign them through a competitive procedure in accordance with Regulation 1370/2007/EC.</w:t>
      </w:r>
    </w:p>
    <w:p>
      <w:r>
        <w:t>160 BULLETIN NO. 50 OF DECEMBER 16, 2019</w:t>
      </w:r>
    </w:p>
    <w:p>
      <w:r>
        <w:t>It also does not seem convincing the thesis of some Regions according to which the direct assignment would be fully legitimate as the modest size of the substitute/integrative bus services would integrate the specific case of exemption regulated in Article 5.4 of the EC Regulation (de minimis). The entirety of the referenced norms, in fact, prescribes that substitute services be awarded through a tender and integrated into the mobility basins of public transport by road defined pursuant to Article 48 of Decree Law No. 50/2017, that is, after evaluating the possible efficiencies and cost savings (for example, attributable to the elimination of existing overlaps) resulting from an oversizing of the traffic basins. It is plausible to believe that, following such planning activity, the substitute/integrative bus services would lose their individuality, integrating into the operational programs subject to the mobility basins, whose value and volume exceed the thresholds within which Article 5, paragraph 4, of Regulation 1370/2007 allows for direct assignment to third parties.</w:t>
      </w:r>
    </w:p>
    <w:p>
      <w:r>
        <w:t>The Authority also intends to express some considerations regarding the management and financing regime of substitute/integrative bus services carried out with a stable nature. From the information obtained through requests made to the Regions and Autonomous Provinces, it appears that in some territorial contexts the fees per bus-km recognized by the Regions to the company Trenitalia S.p.A. in the railway service contract for the performance of substitute/integrative bus services could be significantly higher than the costs19 actually incurred by the transport companies providing such services by virtue of a subcontracting through a tender. It cannot be excluded, therefore, that the railway operator holding the directly awarded service contract retains a portion of the fee paid by the Region (equal to the difference between this and the costs actually incurred by the subcontracting companies of the substitute/integrative services), without this being justified by any cost related to the management of the substitute/integrative bus services.</w:t>
      </w:r>
    </w:p>
    <w:p>
      <w:r>
        <w:t>Within these limits, the practice of subcontracting substitute/integrative bus services by the railway operator or its controlled companies to third-party carriers could constitute a case of overcompensation of public service burdens in violation of Article 4 and the annex to Regulation 1370/2007/EC, which reiterate the principles arising from the well-known Altmark ruling regarding state aid granted to companies entrusted with the management of a public service20.</w:t>
      </w:r>
    </w:p>
    <w:p>
      <w:r>
        <w:t>19 Including a reasonable profit margin.</w:t>
      </w:r>
    </w:p>
    <w:p>
      <w:r>
        <w:t>20 Judgment of the Court of July 24, 2003, case C-280/00, Altmark Trans GmbH and Regierungspräsidium Magdeburg against Nahverkehrsgesellschaft Altmark GmbH, in the presence of Oberbundesanwalt beim Bundesverwaltungsgericht. As is known, the Altmark criteria recognize that, in the case of services awarded as a result of a competitive tender procedure, the verification of the appropriateness of the compensations provided by the competent administrations in relation to the fulfillment of public service obligations is not necessary. Conversely, in the case of direct assignment, it is necessary to demonstrate that the compensations provided are strictly necessary to compensate for the costs of fulfilling the public service obligations that would be incurred by an average company managed efficiently, plus a reasonable profit margin. In the case of direct assignment, the “genetic defect” inherent in the calculation of the fee by the Regions is a risk that is by no means remote. In this specific case, such a defect could be revealed by the fact that in some cases the tenders announced to subcontract part of the services would highlight the “efficient” cost of the service (including a reasonable profit margin) and, therefore, the corresponding excess portion of the fee paid by the Region.</w:t>
      </w:r>
    </w:p>
    <w:p>
      <w:r>
        <w:t>BULLETIN NO. 50 OF DECEMBER 16, 2019 161</w:t>
      </w:r>
    </w:p>
    <w:p>
      <w:r>
        <w:t>Even if such practice were justified by the existence of corresponding transaction costs21, it could nonetheless constitute a case of unnecessary waste of public resources since the Regions would find themselves compensating the costs incurred by the railway operator for the delegated exercise of public functions in violation of Article 34-octies of Decree Law No. 179/2012, which imposes on the Regions the direct exercise of contracting authority functions (as well as integrating substitute/integrative bus services into the mobility basins of public transport).</w:t>
      </w:r>
    </w:p>
    <w:p>
      <w:r>
        <w:t>The Authority hopes that the above observations will be adequately considered by the addressed Administrations, for the full development of competition in the passenger transport services market by road.</w:t>
      </w:r>
    </w:p>
    <w:p>
      <w:r>
        <w:t>This opinion will be published in the Bulletin of the Authority pursuant to Article 26 of Law No. 287/1990.</w:t>
      </w:r>
    </w:p>
    <w:p>
      <w:r>
        <w:t>THE ACTING PRESIDENT</w:t>
        <w:br/>
        <w:t>Gabriella Muscolo</w:t>
      </w:r>
    </w:p>
    <w:p>
      <w:r>
        <w:t>21 Attributable to the management of the tender procedure and contracts by the railway operator or its controlled companies to third-party carriers.</w:t>
      </w:r>
    </w:p>
    <w:p>
      <w:r>
        <w:rPr>
          <w:b/>
        </w:rPr>
        <w:t>[Pages 160–162]</w:t>
      </w:r>
    </w:p>
    <w:p>
      <w:r>
        <w:t>162 BULLETIN NO. 50 OF DECEMBER 16, 2019</w:t>
        <w:br/>
        <w:t>AS1630 – CONSIP – TENDER FOR THE AWARD OF FACILITY MANAGEMENT SERVICES FOR UNIVERSITY OFFICES AND RESEARCH ENTITIES - EDITION 1</w:t>
        <w:br/>
        <w:t>Rome, September 24, 2019</w:t>
        <w:br/>
        <w:t>Ministry of Economy and Finance</w:t>
        <w:br/>
        <w:t>With reference to the request for an opinion formulated, pursuant to Article 22 of Law No. 287 of October 10, 1990, by the Ministry of Economy and Finance, concerning the "Tender for the award of a Framework Agreement for the provision of Facility Management services for offices, universities, and research entities - Edition No. 1 (ID SIGEF 2077)", prepared by the Public IT Services Concessionaire - CONSIP S.p.A., it is communicated that the Antitrust Authority, in its meeting of September 18, 2019, examined the request and the documentation produced, formulating the following considerations.</w:t>
        <w:br/>
        <w:t>Firstly, it is noted that the design of the tender strategy, as well as the participation requirements and the award criteria defined by the special law of the public procurement procedure for the award of the contract do not seem, at first glance, likely to restrict the proper conduct of the competitive comparison for the award of the tender in question.</w:t>
        <w:br/>
        <w:t>However, regarding the relevance of previous assessments by the Authority for the purpose of exclusion evaluation by Consip, it is highlighted that the special law refers to what is established by Article 80, paragraph 5, of Legislative Decree No. 50/2016 and by the Guidelines of the National Anti-Corruption Authority No. 6.</w:t>
        <w:br/>
        <w:t>In this regard, it is noted that it would be appropriate to integrate the regulations by requiring the operator to declare, in addition to the executive sanctioning measures of the Authority for antitrust violations, also their finality or confirmation in a definitive manner, in line with the orientation indicated by ANAC in the proposed amendment of the aforementioned Guidelines which has already received the favorable opinion of the Council of State.1</w:t>
        <w:br/>
        <w:t>Furthermore, regarding the indications about the relevance of a previous measure concerning unfair commercial practices, for the possible exclusion of an operator, reference is made here to what has already been observed by the Authority in the report sent to ANAC on Guidelines No. 6.2</w:t>
        <w:br/>
        <w:t>Specifically, the Authority noted that it does not appear to be in line with what is provided by the primary norm, regarding professional offenses that could be considered as grounds for exclusion from participation in public contracts, the choice to include in this scope also the condemnation measures "for unfair commercial practices." In fact, this type of violation does not seem to configure a professional offense related to public contracting, given that the conduct carried out during the participation phase of the economic operator in the tender does not fall within the scope of a consumer relationship.</w:t>
        <w:br/>
        <w:t>The Authority reserves the right to evaluate the outcomes of the tender, should elements emerge during its conduct that could configure antitrust violations.</w:t>
        <w:br/>
        <w:t>This opinion will be published in the bulletin referred to in Article 26 of Law No. 287/90, following the publication of the tender notice.</w:t>
        <w:br/>
        <w:t>THE PRESIDENT</w:t>
        <w:br/>
        <w:t>Roberto Rustichelli</w:t>
      </w:r>
    </w:p>
    <w:p>
      <w:r>
        <w:t>Antitrust Authority Weekly Bulletin</w:t>
        <w:br/>
        <w:t>of Competition and Market Year XXIX - No. 50 - 2019</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