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https://www.agcm.it/dotcmsdoc/bollettini/2020/50-20.pdf</w:t>
      </w:r>
    </w:p>
    <w:p>
      <w:r>
        <w:t>Pages translated : 133</w:t>
      </w:r>
    </w:p>
    <w:p/>
    <w:p>
      <w:r>
        <w:rPr>
          <w:b/>
        </w:rPr>
        <w:t>[Pages 1–3]</w:t>
      </w:r>
    </w:p>
    <w:p>
      <w:r>
        <w:t>Bulletin</w:t>
        <w:br/>
        <w:t>Weekly</w:t>
        <w:br/>
        <w:t>Year XXX - No. 50</w:t>
        <w:br/>
        <w:t>Published on the website www.agcm.it</w:t>
        <w:br/>
        <w:t>December 21, 2020</w:t>
      </w:r>
    </w:p>
    <w:p>
      <w:r>
        <w:t>SUMMARY</w:t>
        <w:br/>
        <w:t>AGREEMENTS AND ABUSE OF DOMINANT POSITION 5</w:t>
        <w:br/>
        <w:t>A537 - PET CONTAINER PRODUCTION MARKET</w:t>
        <w:br/>
        <w:t>Decision No. 28467 5</w:t>
        <w:br/>
        <w:t>I848 - ISSUES CONCERNING PROMOTIONAL ACTIVITIES IN THE</w:t>
        <w:br/>
        <w:t>SCHOOL PUBLISHING MARKET</w:t>
        <w:br/>
        <w:t>Decision No. 28474 6</w:t>
        <w:br/>
        <w:t>CONCENTRATION OPERATIONS 13</w:t>
        <w:br/>
        <w:t>C12231B - BPER BANCA/UNIPOL BANCA</w:t>
        <w:br/>
        <w:t>Decision No. 28468 13</w:t>
        <w:br/>
        <w:t>C12247C - BDC ITALIA-CONAD/AUCHAN</w:t>
        <w:br/>
        <w:t>Decision No. 28469 15</w:t>
        <w:br/>
        <w:t>C12316 - GENERAL MUNICIPAL SERVICES COMPANY OF VERONA/MUNICIPAL INDUSTRIAL</w:t>
        <w:br/>
        <w:t>COMPANIES VICENZA</w:t>
        <w:br/>
        <w:t>Decision No. 28470 18</w:t>
        <w:br/>
        <w:t>C12331 - F2I AIRPORTS 2/GEASAR</w:t>
        <w:br/>
        <w:t>Decision No. 28471 25</w:t>
        <w:br/>
        <w:t>C12332 - ARTEMIS ACQUISITIONS/LANDINI GIUNTINI</w:t>
        <w:br/>
        <w:t>Decision No. 28472 30</w:t>
        <w:br/>
        <w:t>C12336 - FAERCH/SIRAP GEMA</w:t>
        <w:br/>
        <w:t>Decision No. 28473 35</w:t>
        <w:br/>
        <w:t>REPORTING AND CONSULTATIVE ACTIVITIES 38</w:t>
        <w:br/>
        <w:t>AS1711 - CONSIP - TENDER FOR THE RENTAL SUPPLY OF MULTIFUNCTIONAL</w:t>
        <w:br/>
        <w:t>EQUIPMENT 38</w:t>
        <w:br/>
        <w:t>AS1712 - MUNICIPALITY OF CASTIGLIONE DELLA PESCAIA (GR) - EXTENSION OF</w:t>
        <w:br/>
        <w:t>MARITIME CONCESSIONS FOR TOURIST-RECREATIONAL PURPOSES 41</w:t>
        <w:br/>
        <w:t>UNFAIR COMMERCIAL PRACTICES 44</w:t>
        <w:br/>
        <w:t>PS11665 - A.C.A. COMPREHENSIVE AQUEDUCT COMPANY - INSURANCE FOR HIDDEN</w:t>
        <w:br/>
        <w:t>LOSSES</w:t>
        <w:br/>
        <w:t>Decision No. 28458 44</w:t>
        <w:br/>
        <w:t>IP334 - UNILIBRO - PIGGY BANK FUNCTION</w:t>
        <w:br/>
        <w:t>Decision No. 28475 62</w:t>
        <w:br/>
        <w:t>PS11429 - DEBT DEFENSE/VARIOUS CONDUCTS</w:t>
        <w:br/>
        <w:t>Decision No. 28476 68</w:t>
        <w:br/>
        <w:t>PS11637 - HW1 - CREDIT CARD PAYMENT COMMISSION</w:t>
        <w:br/>
        <w:t>Decision No. 28477 87</w:t>
        <w:br/>
        <w:t>PS11650 - PNEUMATICONE - FAILURE TO DELIVER</w:t>
        <w:br/>
        <w:t>Decision No. 28478 96</w:t>
        <w:br/>
        <w:t>PS11726 - GOFUNDME - OPTIONAL COMMISSIONS</w:t>
        <w:br/>
        <w:t>Decision No. 28479 109</w:t>
        <w:br/>
        <w:t>VARIOUS 133</w:t>
        <w:br/>
        <w:t>BUDGET FORECAST FOR THE FINANCIAL YEAR 2021 AND MULTIYEAR 2021-2023</w:t>
        <w:br/>
        <w:t>Decision No. 28466 133</w:t>
      </w:r>
    </w:p>
    <w:p>
      <w:r>
        <w:t>BULLETIN NO. 50 OF DECEMBER 21, 2020 5</w:t>
        <w:br/>
        <w:t>AGREEMENTS AND ABUSE OF DOMINANT POSITION</w:t>
        <w:br/>
        <w:t>A537 - PET CONTAINER PRODUCTION MARKET</w:t>
        <w:br/>
        <w:t>Decision No. 28467</w:t>
        <w:br/>
        <w:t>THE ANTITRUST AUTHORITY</w:t>
        <w:br/>
        <w:t>IN ITS MEETING of December 1, 2020;</w:t>
        <w:br/>
        <w:t>HEARD the Rapporteur, Professor Michele Ainis;</w:t>
        <w:br/>
        <w:t>HAVING REGARD to Article 102 of the Treaty on the Functioning of the European Union (TFEU);</w:t>
        <w:br/>
        <w:t>HAVING REGARD to Council Regulation No. 1/2003 of December 16, 2002;</w:t>
        <w:br/>
        <w:t>HAVING REGARD to Law No. 287 of October 10, 1990;</w:t>
        <w:br/>
        <w:t>HAVING REGARD to Presidential Decree No. 217 of April 30, 1998;</w:t>
        <w:br/>
        <w:t>HAVING REGARD to its decision of January 28, 2020, No. 28106, which initiated an</w:t>
        <w:br/>
        <w:t>investigative procedure against Husky Injection Molding Systems Ltd, Husky Injection Molding Systems S.A. and Husky</w:t>
        <w:br/>
        <w:t>Italia S.r.l., pursuant to Article 14 of Law No. 287/90, to ascertain</w:t>
        <w:br/>
        <w:t>an alleged violation of Article 102 of the TFEU, consisting of conduct likely to impede</w:t>
        <w:br/>
        <w:t>or at least limit the growth of its competitors in the market for the production of molds to</w:t>
        <w:br/>
        <w:t>be used in the machinery employed by producers of PET preforms;</w:t>
        <w:br/>
        <w:t>HAVING REGARD to the documents of the procedure;</w:t>
        <w:br/>
        <w:t>CONSIDERING it necessary to replace the person responsible for the procedure due to</w:t>
        <w:br/>
        <w:t>organizational needs that have arisen;</w:t>
        <w:br/>
        <w:t>RESOLVES</w:t>
        <w:br/>
        <w:t>to replace Dr. Gianluca Oliva with Dr. Giulia Cipolla as the Responsible for</w:t>
        <w:br/>
        <w:t>the procedure.</w:t>
        <w:br/>
        <w:t>This decision will be notified to the interested parties and published in the bulletin</w:t>
        <w:br/>
        <w:t>of the Antitrust Authority.</w:t>
        <w:br/>
        <w:t>THE SECRETARY GENERAL THE PRESIDENT</w:t>
        <w:br/>
        <w:t>Filippo Arena Roberto Rustichelli</w:t>
      </w:r>
    </w:p>
    <w:p>
      <w:r>
        <w:rPr>
          <w:b/>
        </w:rPr>
        <w:t>[Pages 4–6]</w:t>
      </w:r>
    </w:p>
    <w:p>
      <w:r>
        <w:t>6 BULLETIN NO. 50 OF DECEMBER 21, 2020</w:t>
        <w:br/>
        <w:t>I848 - ISSUES CONCERNING PROMOTIONAL ACTIVITIES IN THE SCHOOL PUBLISHING MARKET</w:t>
        <w:br/>
        <w:t>Decision No. 28474</w:t>
        <w:br/>
        <w:t>THE ANTITRUST AUTHORITY</w:t>
        <w:br/>
        <w:t>IN ITS MEETING of December 1, 2020;</w:t>
        <w:br/>
        <w:t>HEARD the Rapporteur, Dr. Gabriella Muscolo;</w:t>
        <w:br/>
        <w:t>HAVING REGARD to Article 101 of the Treaty on the Functioning of the European Union (hereinafter TFEU);</w:t>
        <w:br/>
        <w:t>HAVING REGARD to Regulation No. 1/2003 of the Council of December 16, 2002, concerning the application of the competition rules laid down in Articles 81 and 82 of the EC Treaty (now 101 and 102 TFEU);</w:t>
        <w:br/>
        <w:t>HAVING REGARD to Regulation No. 330/2010 of the Commission of April 20, 2010 and the Guidelines on vertical restrictions No. 2010/C 130/01;</w:t>
        <w:br/>
        <w:t>HAVING REGARD to Law No. 287 of October 10, 1990;</w:t>
        <w:br/>
        <w:t>HAVING REGARD to the report of February 14, 2019 received from an operator active in the school publishing sector, subsequently supplemented on May 8, September 27, and December 12, 2019;</w:t>
        <w:br/>
        <w:t>HEARD the reporting party on February 4, 2020;</w:t>
        <w:br/>
        <w:t>HAVING REGARD to the additional documentation submitted by the reporting party on June 26, July 8, and September 9, 2020;</w:t>
        <w:br/>
        <w:t>HAVING REGARD to the documentation on file;</w:t>
        <w:br/>
        <w:t>CONSIDERING the following:</w:t>
        <w:br/>
        <w:t>I. THE PARTIES</w:t>
        <w:br/>
        <w:t>1. De Agostini Scuola S.p.A. is the company of the De Agostini publishing group active in the school publishing sector through various brands, including Black Cat, Cedam Scuola, De Agostini, Garzanti Linguistica, Garzanti Scuola, Theorema. The company, wholly owned by De Agostini Editore S.p.A., achieved a turnover of 75.7 million euros in 2019.</w:t>
        <w:br/>
        <w:t>2. Mondadori Education S.p.A. and Rizzoli Education S.p.A. are the companies of the Mondadori group active in school, legal, and, to a lesser extent, university publishing through a total catalog of about 30 brands. The two companies, wholly owned by Arnoldo Mondadori S.p.A., achieved a turnover of 81.7 and 83.1 million euros, respectively, in 2019.</w:t>
        <w:br/>
        <w:t>3. Pearson Italia S.p.A. is active in school and university publishing through various brands, including Pearson, Paravia, and Bruno Mondadori. The company, wholly owned by Pearson PLC, achieved a turnover of 115 million euros in 2019.</w:t>
        <w:br/>
        <w:t>4. Zanichelli Editore S.p.A. is active in school, university, and legal publishing, with the brands Atlas, Loesher, and Zanichelli. The company, whose capital is distributed among numerous individuals and legal entities, achieved a turnover of 157.7 million euros in the financial year ending June 30, 2019.</w:t>
      </w:r>
    </w:p>
    <w:p>
      <w:r>
        <w:t>BULLETIN NO. 50 OF DECEMBER 21, 2020 7</w:t>
        <w:br/>
        <w:t>II. THE REPORT</w:t>
        <w:br/>
        <w:t>5. On February 14, 2019, a report was received, subsequently supplemented multiple times, most recently on September 9, 2020, from an operator active in the school publishing sector, concerning alleged anticompetitive conduct carried out by publishers of textbooks for lower and upper secondary schools.</w:t>
        <w:br/>
        <w:t>6. In particular, the report concerns the exercise, by the main publishers, of so-called "approval clauses" present in the contracts governing the relationships between publishers and promoters. These clauses grant the publisher the authority to approve (or not) the promoter's ability to promote another publisher different from the one with which they have a contractual relationship. The reporting party also notes that larger publishers can require promotional structures to achieve very high targets, suitable to saturate their available resources, thereby penalizing the promotional efforts that they can exert towards the smaller publishers they represent.</w:t>
        <w:br/>
        <w:t>III. THE CONDUCT OF PUBLISHERS</w:t>
        <w:br/>
        <w:t>7. In the agency contracts between publishers and promoters, there are so-called approval clauses which – as represented by the reporting party – establish that the promoter cannot contract with a new publisher without having first obtained express authorization from the publisher they already represent. According to the reporting party, such clauses represent a widespread and longstanding practice in the sector, being present in contracts used by almost all publishers. They generally do not impose limits either geographically or by subject matter, so that, without the authorization of the already represented publisher, a promoter cannot extend their activity even to a new publisher whose catalog, in terms of subjects covered and/or school order of reference, does not overlap with that of the "incumbent" publisher.</w:t>
        <w:br/>
        <w:t>8. Despite their widespread presence, approval clauses would, in fact, be exercised, moreover informally, only by larger publishers, who, due to the considerable turnover they generate for the individual promoter, would limit their opposition to the expansion of the promoter's client portfolio by merely suggesting the possibility of terminating their contract. In contrast, smaller publishers, even when they may rely on a promotional contract that includes the approval clause, cannot credibly exercise it, as the turnover they produce is too small to influence the choices of the individual promoter.</w:t>
        <w:br/>
        <w:t>9. Furthermore, according to what the reporting party indicated, larger publishers would impose de facto exclusivity constraints on promotional structures by assigning them very high targets, in terms of the number of adoptions, suitable to saturate their resources.</w:t>
        <w:br/>
        <w:t>IV. EVALUATIONS</w:t>
        <w:br/>
        <w:t>A) The school publishing market</w:t>
        <w:br/>
        <w:t>10. The reported conduct is rooted in the relationship between publishers and promoters of school books. In its previous decisions, the Authority has considered that the production and sale of school books adopted in lower and upper secondary schools defines a market of national geographical scope1.</w:t>
        <w:br/>
        <w:t>1 See the Authority's decision of April 24, 2008 regarding case I692, School Publishing Market (decision No. 18286) and decision of January 21, 2016, No. 25807, concerning the initiation of the investigation related to concentration C12023 - Arnoldo Mondadori Editore/Rcs Libri.</w:t>
      </w:r>
    </w:p>
    <w:p>
      <w:r>
        <w:t>8 BULLETIN NO. 50 OF DECEMBER 21, 2020</w:t>
        <w:br/>
        <w:t>11. This market has significant dimensions, which over time show a contained growth trend, due to the limited potential for demand increase, attributable to the fact that, on the one hand, the number of students is tendentially stable and, consequently, the adoption of new texts responds almost exclusively to the replacement of previous adoptions and, on the other hand, the expenditure for the purchase of school books is subject to regulatory constraints (see infra).</w:t>
        <w:br/>
        <w:t>Table 1: Size of the school publishing market (millions of euros)</w:t>
        <w:br/>
        <w:t>2017 2018 2019</w:t>
        <w:br/>
        <w:t>SCHOOL PUBLISHING 722.1 747.7 769.0</w:t>
        <w:br/>
        <w:t>+3.5% +2.9%</w:t>
        <w:br/>
        <w:t>Source: AIE Report on the State of Publishing in Italy 2020</w:t>
        <w:br/>
        <w:t>12. The school publishing market has a rather concentrated structure: according to the information available, updated to 2018, the top four groups – Mondadori, Zanichelli, De Agostini, Pearson – represent 70% of the supply of books for lower secondary schools and an even greater share, close to 80%, for upper secondary schools (see Table 2), while the remaining part is represented by a fringe of smaller publishers, whose individual shares do not exceed 7-8%. The degree of market concentration has progressively increased over the last ten years: according to the reconstruction carried out by the Authority during the assessment of the Mondadori/RCS concentration2, the supply expressed by the top four operators (for both school orders) was 65% in 2011 and 68% in 2015.</w:t>
        <w:br/>
        <w:t>Table 2: School Publishing Market 2018 – Shares of Major Operators (Adoptions)</w:t>
        <w:br/>
        <w:t>Mondadori Zanichelli De Agostini Pearson CR4</w:t>
        <w:br/>
        <w:t>Lower Secondary 25.41% 15.7% 16.08% 13.07% 70.26%</w:t>
        <w:br/>
        <w:t>Upper Secondary 21.38% 32.06% 9.73% 15.51% 78.68%</w:t>
        <w:br/>
        <w:t>Source: ESAIE data</w:t>
        <w:br/>
        <w:t>13. In this market context, competitive dynamics are rather weakened, also due to some contextual elements, among which, first and foremost, the fact that books are not chosen by families who bear the expense, but by teachers, whose decisions regarding adoptions must be approved by the School Board3. For this reason, textbooks, unlike what happens in general publishing, are not subject to advertising communication, but are presented to teachers by promoters, figures who, as will be described later, are specifically assigned to this activity, while physical retailers (such as bookstores and large distribution points) and online merely provide the physical distribution of the product.</w:t>
        <w:br/>
        <w:t>14. Furthermore, the Ministry of Education establishes each year the maximum expenditure ceiling for the book supply necessary for the subjects of each course year; any overruns of the amounts related to the ceilings of the mandatory book supply for secondary school classes must be contained within a maximum limit of 10%. In this case, the relevant adoption resolutions must be contained within the limits set by the Ministry.</w:t>
      </w:r>
    </w:p>
    <w:p>
      <w:r>
        <w:rPr>
          <w:b/>
        </w:rPr>
        <w:t>[Pages 7–9]</w:t>
      </w:r>
    </w:p>
    <w:p>
      <w:r>
        <w:t>BULLETIN NO. 50 OF DECEMBER 21, 2020 9</w:t>
        <w:br/>
        <w:t>the adoption of textbooks must be adequately justified by the Board of Teachers and approved by the School Council.</w:t>
      </w:r>
    </w:p>
    <w:p>
      <w:r>
        <w:t>Additionally, in secondary schools, for several years (between 2008 and 2012), the replacement of adopted textbooks was subject to the constraints introduced by Law No. 196/20084, which, with a view to containing expenses for families with multiple children (attending the same school), established that textbooks, once adopted, must necessarily be maintained for five years.</w:t>
      </w:r>
    </w:p>
    <w:p>
      <w:r>
        <w:t xml:space="preserve">B) The activity of promoting school textbooks </w:t>
        <w:br/>
        <w:t xml:space="preserve">15. The activity of school textbook promoters consists of illustrating to teachers the characteristics of the books that belong to the catalog of the publisher/publishers they promote, trying to convince them to advocate for the adoption of the same at the School Council. </w:t>
        <w:br/>
        <w:t xml:space="preserve">16. As a rule, promotion agencies are independent entities from the publishers5, with whom they collaborate based on contractual agreements of generally indefinite duration6 that assign the promoter a specific geographical area and grant them a commission normally proportional (in percentage) to the revenue derived from the sale of books in that area. </w:t>
        <w:br/>
        <w:t xml:space="preserve">17. The operational areas assigned to promoters are defined on a provincial or interprovincial basis, sometimes regional. The local scope of the promoters' operational area is determined by the need to maintain close contact with schools and visit them, generally before the start of classes, often multiple times during the period of the year when teachers make their choice of textbooks to adopt (between February and May). </w:t>
        <w:br/>
        <w:t xml:space="preserve">18. Currently in Italy, in the face of approximately 400,000 teachers, about 450 promotion agencies operate, whose distribution in the territory is substantially correlated to the presence of the student population, with a very limited number of agencies found in provinces that have a low density of students. As a consequence of the substantial stagnation in the school publishing market, the number of promotion agencies has decreased over time, while the entry of new operators appears disincentivized by the low margins that the mere activity of promotion allows to achieve. </w:t>
        <w:br/>
        <w:t xml:space="preserve">19. In light of the peculiar methods of choosing textbooks, highlighted in the previous section, promoters appear to represent a strategic element for publishers to convey their offer in the market. </w:t>
        <w:br/>
        <w:t xml:space="preserve">20. Regarding the number of represented publishers, from the currently available information, it emerges that in numerous cases agencies offer promotion services for only one publisher (usually one of the main operators); however, sometimes multiple publishers are represented by the same agency. Among the situations of multiple mandates, it is not uncommon for the same promoter to represent two (or more) of the major publishers. </w:t>
        <w:br/>
        <w:t xml:space="preserve">4 Conversion into law, with amendments, of Decree-Law No. 137 of September 1, 2008, containing urgent provisions regarding education and universities. The latter, in Article 5, established that “[ ] the competent school authorities adopt textbooks for which the publisher has committed to maintaining the content unchanged for five years, except for any necessary updates to be made available separately. Unless specific and justified needs arise, the adoption of textbooks occurs every five years, valid for the subsequent five-year period.” This provision was repealed by Law No. 221/2012 converting Decree-Law No. 179 of October 18, 2012. </w:t>
        <w:br/>
        <w:t xml:space="preserve">5 Zanichelli uses subsidiaries that it directly controls for promotion, although not in all provinces. </w:t>
        <w:br/>
        <w:t>6 Even in contracts with a fixed duration, it may include a provision whereby upon the first tacit renewal, they transform into indefinite duration assignments.</w:t>
      </w:r>
    </w:p>
    <w:p>
      <w:r>
        <w:t xml:space="preserve">10 BULLETIN NO. 50 OF DECEMBER 21, 2020 </w:t>
        <w:br/>
        <w:t xml:space="preserve">C) Vertical agreements </w:t>
        <w:br/>
        <w:t xml:space="preserve">21. The clauses of approval present in the contractual relationships between publishers and promoters represent a form of vertical restriction capable of limiting the operation of promoters with excluding effects in the school publishing market. Such clauses, in fact, grant the publisher the power to limit the operational scope of the promoter, who cannot include additional publishers in their portfolio without having previously obtained express authorization from the publisher proposing the contract. </w:t>
        <w:br/>
        <w:t xml:space="preserve">22. Furthermore, the approval clauses, also due to their formulation, grant the publisher the power to decide with which other competitors to potentially share the promotion services offered by each agency. </w:t>
        <w:br/>
        <w:t xml:space="preserve">23. The ability to condition the operations of individual promoters through the exercise of approval clauses is characteristic of the major publishers who individually contribute a considerable part of the promoter's revenue, proving irreplaceable for the latter. By virtue of this position, they manage to exercise the approval power provided by the contested clauses, thus preventing the expansion of a promoter's client portfolio to additional unwanted publishers. </w:t>
        <w:br/>
        <w:t xml:space="preserve">24. In this regard, it is noteworthy that the four main publishers of secondary school books – De Agostini, Mondadori, Pearson, and Zanichelli – jointly hold a market share exceeding 70%. Therefore, the parallel exercise of approval clauses by these operators represents a set of vertical restrictions. </w:t>
        <w:br/>
        <w:t xml:space="preserve">25. Pursuant to Article 5 of Regulation (EC) No. 330/2010, concerning the application of Article 101(3) of the Treaty on the Functioning of the European Union to categories of vertical agreements and concerted practices, obligations of non-competition, direct or indirect, with an indefinite duration, are not exempt from the application of Article 101(1) TFEU, regardless of the market share held by the parties to the agreement containing the aforementioned obligation. </w:t>
        <w:br/>
        <w:t xml:space="preserve">26. For the purposes of assessing the likely effects of the vertical restrictions under examination, it is relevant to consider that they are implemented in parallel by all the main publishers, who jointly hold a market share far exceeding 50% in the secondary school book publishing market. In this context, the approval clause grants the major publishers the power to bind promoters within closed relationships, which can also translate into de facto exclusive situations, and which in any case appear capable of producing exclusionary effects against smaller publishers and/or potential competitors, also considering the significant barriers to entry that characterize the publishing promotion activity, strategically fundamental for access to teachers. In fact, smaller publishers and/or those potentially interested in entering the market can hardly find, in the relevant local areas, additional promoters, apart from those already firmly established and largely tied to the major publishers: this is due to the strong local rooting that characterizes the operations of such agencies, which makes the choice of an individual promoter to extend their activity to different and distant local areas economically irrational, as well as, more generally, the low economic attractiveness of the publishing promotion sector, which is also affected by the almost stagnant demand for secondary school books. </w:t>
        <w:br/>
        <w:t xml:space="preserve">27. Furthermore, the widespread presence of approval clauses in distribution relationships and the discretion they grant to individual publishers regarding their concrete exercise appear capable of facilitating the achievement, by the main publishers, of a stability objective regarding their positions, on which the convergence of their respective incentives can be considered rational, in light of the high concentration and weakened competitive dynamics that characterize the market. In this regard, the Guidelines on vertical restrictions from the Commission note that “the possible risks for competition of monopoly are the exclusion of the market to competing suppliers and potential suppliers, the weakening of competition, and the facilitation of collusion among suppliers in the case of cumulative use”7. </w:t>
        <w:br/>
        <w:t xml:space="preserve">28. In light of the observations made, therefore, the parallel provision, by the De Agostini, Mondadori, Pearson, and Zanichelli publishing groups, of the so-called approval clauses in their relationships with their respective networks of promoters is likely to implement, in the secondary school publishing market, a set of vertical restrictions capable of restricting competition, in violation of Article 101 TFEU. </w:t>
        <w:br/>
        <w:t xml:space="preserve">D) Harm to trade between EU Member States </w:t>
        <w:br/>
        <w:t xml:space="preserve">29. According to the European Commission Communication 2004/C 101/07 - Guidelines on the notion of harm to trade between Member States under Articles 81 and 82 of the Treaty, published in OJ C 101/81 of April 27, 2004, the concept of harm to intra-community trade must be interpreted taking into account the direct or indirect, real or potential influence on trade flows between Member States. </w:t>
        <w:br/>
        <w:t xml:space="preserve">30. In light of the aforementioned principles, it is noted that the vertical restrictions subject to this proceeding are implemented in parallel by the main publishers of secondary school books. Furthermore, although included within contracts that govern the typically local operations of promoters, they apply throughout the national territory, thus being capable of hindering access to the national market for those entities wishing to enter and/or expand their activities in school publishing in Italy. Therefore, the case subject to this proceeding appears capable of causing harm to trade between Member States. </w:t>
        <w:br/>
        <w:t xml:space="preserve">CONSIDERING, therefore, that the conduct carried out by De Agostini Scuola S.p.A., Mondadori Education S.p.A., Rizzoli Education S.p.A., Pearson Italia S.p.A., and Zanichelli Editore S.p.A. in their relationships with promotion agencies, consisting of the implementation of a set of vertical restrictions, for the reasons outlined above, appears to constitute a violation of Article 101 TFEU; </w:t>
        <w:br/>
        <w:t xml:space="preserve">RESOLVES </w:t>
        <w:br/>
        <w:t xml:space="preserve">a) to initiate the investigation, pursuant to Article 14 of Law No. 287/90, against the companies De Agostini Scuola S.p.A., Mondadori Education S.p.A., Rizzoli Education S.p.A., Pearson Italia S.p.A., and Zanichelli Editore S.p.A. to ascertain the existence of violations of Article 101 TFEU; </w:t>
        <w:br/>
        <w:t xml:space="preserve">b) to set a deadline of sixty days, starting from the notification of this provision, for the exercise by the legal representatives of the aforementioned companies or by a person delegated by them, of the right to be heard, specifying that the request for a hearing must be received by the Communications Directorate of the Directorate General for Competition of this Authority at least seven days before the expiration of the aforementioned deadline; </w:t>
        <w:br/>
        <w:t xml:space="preserve">c) that the person responsible for the procedure is Dr. Lara Magnani; </w:t>
        <w:br/>
        <w:t>7 Cf. Guidelines, para. 130.</w:t>
      </w:r>
    </w:p>
    <w:p>
      <w:r>
        <w:rPr>
          <w:b/>
        </w:rPr>
        <w:t>[Pages 10–12]</w:t>
      </w:r>
    </w:p>
    <w:p>
      <w:r>
        <w:t>12 BULLETIN NO. 50 OF DECEMBER 21, 2020</w:t>
        <w:br/>
        <w:t>d) that the documents of the procedure can be viewed at the Communications Directorate of the Directorate General for Competition of this Authority by the legal representatives of the companies De Agostini Scuola S.p.A., Mondadori Education S.p.A., Rizzoli Education S.p.A., Pearson Italia S.p.A. and Zanichelli Editore S.p.A. or by a person delegated by them;</w:t>
        <w:br/>
        <w:t>e) that the procedure must be concluded by December 31, 2021.</w:t>
        <w:br/>
        <w:t>This provision will be notified to the interested parties and published in the Bulletin of the Authority for the Guarantee of Competition and the Market.</w:t>
        <w:br/>
        <w:t>THE SECRETARY GENERAL THE PRESIDENT</w:t>
        <w:br/>
        <w:t>Filippo Arena Roberto Rustichelli</w:t>
      </w:r>
    </w:p>
    <w:p>
      <w:r>
        <w:t>BULLETIN NO. 50 OF DECEMBER 21, 2020 13</w:t>
        <w:br/>
        <w:t>CONCENTRATION OPERATIONS</w:t>
        <w:br/>
        <w:t>C12231B - BPER BANCA/UNIPOL BANCA</w:t>
        <w:br/>
        <w:t>Provision No. 28468</w:t>
        <w:br/>
        <w:t>THE AUTHORITY FOR THE GUARANTEE OF COMPETITION AND THE MARKET</w:t>
        <w:br/>
        <w:t>IN ITS MEETING of December 1, 2020;</w:t>
        <w:br/>
        <w:t>HEARD the Rapporteur Professor Michele Ainis;</w:t>
        <w:br/>
        <w:t>HAVING REGARD to Law No. 287 of October 10, 1990;</w:t>
        <w:br/>
        <w:t>HAVING REGARD to Articles 6, 14, 18, and 19, paragraph 1, of the aforementioned law;</w:t>
        <w:br/>
        <w:t>HAVING REGARD, in particular, to Article 19, paragraph 1, of the aforementioned law, according to which, if companies carry out a concentration operation in violation of the prohibition set forth in Article 18, paragraph 1, or do not comply with the provisions of paragraph 3 of the same article, the Authority imposes administrative monetary sanctions not less than one percent and not more than ten percent of the turnover of the business activities subject to the concentration;</w:t>
        <w:br/>
        <w:t>HAVING REGARD, also, to Article 18, paragraph 3, of the aforementioned law, according to which the Authority, if the concentration operation has already been carried out, may prescribe the necessary measures to restore effective competition, eliminating the distorting effects;</w:t>
        <w:br/>
        <w:t>HAVING REGARD to the decree of the President of the Republic No. 217 of April 30, 1998;</w:t>
        <w:br/>
        <w:t>HAVING REGARD to Law No. 689 of November 24, 1981;</w:t>
        <w:br/>
        <w:t>HAVING REGARD to its resolution of July 17, 2019, No. 27842, with which the concentration operation between BPER Banca S.p.A. and Unipol Banca S.p.A. was authorized, subject to the full and effective implementation of the measures prescribed pursuant to Article 6, paragraph 2, of the aforementioned law;</w:t>
        <w:br/>
        <w:t>HAVING REGARD to the request of BPER Banca S.p.A., received on September 10, 2020, and subsequently supplemented on October 21, 2020, in which the company communicated the "objective impossibility" to effectively implement the aforementioned measures, "having carried out all the appropriate procedures to realize the transfer of the branches (...) according to the methods provided in the Authority's provision," therefore requesting: i) the revocation of the measures ordered by the Authority with resolution No. 27842 of July 17, 2019, consisting of [omissis]*; and ii) the simultaneous replacement of the same with an "Alternative Corrective Measure" consisting of [omissis];</w:t>
        <w:br/>
        <w:t>HAVING REGARD to the reports sent by the trustee in charge of the transfer on June 19, 2020, and September 3, 2020;</w:t>
        <w:br/>
        <w:t>CONSIDERING, therefore, it necessary to assess whether the reported facts constitute a case of non-compliance with the Authority's resolution of July 17, 2019, No. 27842, pursuant to Article 19, paragraph 1, of Law No. 287/90 and whether it is necessary to impose new measures, in addition to or in replacement of those originally provided, in order to restore effective competition conditions, pursuant to Article 18, paragraph 3, of Law No. 287/90;</w:t>
        <w:br/>
        <w:t>* In this version, some data are omitted, as elements of confidentiality or secrecy of the information were deemed to exist.</w:t>
      </w:r>
    </w:p>
    <w:p>
      <w:r>
        <w:t>14 BULLETIN NO. 50 OF DECEMBER 21, 2020</w:t>
        <w:br/>
        <w:t>CONSIDERING that such assessments must be made in contradiction with the Party and any interested third parties;</w:t>
        <w:br/>
        <w:t>HAVING REGARD to the documentation on file;</w:t>
        <w:br/>
        <w:t>RESOLVES</w:t>
        <w:br/>
        <w:t>a) to initiate a procedure against BPER Banca S.p.A. to ascertain the existence of violations of Article 19, paragraph 1, of Law No. 287/90 and to evaluate whether it is necessary to impose new measures, in addition to or in replacement of those originally provided, pursuant to Article 18, paragraph 3, of the aforementioned law;</w:t>
        <w:br/>
        <w:t>b) to set a deadline of forty-five days from the notification of this provision for the exercise by the legal representatives of the party, or by persons delegated by it, of the right to be heard, pursuant to Article 14, paragraph 1, of Law No. 287/90, specifying that the request for a hearing must be received by the Credit, Post and Tourism Directorate of the Directorate General for Competition of this Authority at least five days before the expiration of the aforementioned deadline;</w:t>
        <w:br/>
        <w:t>c) that the person responsible for the procedure is Dr. Matteo Zavattini;</w:t>
        <w:br/>
        <w:t>d) that the documents of the procedure can be viewed at the Credit, Post and Tourism Directorate of the Directorate General for Competition of this Authority by the legal representatives of the Party or by persons delegated by them;</w:t>
        <w:br/>
        <w:t>e) that the procedure must be concluded by June 30, 2021.</w:t>
        <w:br/>
        <w:t>This provision will be notified to the interested parties and published in the Bulletin of the Authority for the Guarantee of Competition and the Market.</w:t>
        <w:br/>
        <w:t>THE SECRETARY GENERAL THE PRESIDENT</w:t>
        <w:br/>
        <w:t>Filippo Arena Roberto Rustichelli</w:t>
      </w:r>
    </w:p>
    <w:p>
      <w:r>
        <w:rPr>
          <w:b/>
        </w:rPr>
        <w:t>[Pages 13–15]</w:t>
      </w:r>
    </w:p>
    <w:p>
      <w:r>
        <w:t>BULLETIN NO. 50 OF DECEMBER 21, 2020 15</w:t>
        <w:br/>
        <w:t>C12247C - BDC ITALIA-CONAD/AUCHAN</w:t>
        <w:br/>
        <w:t>Decision No. 28469</w:t>
        <w:br/>
        <w:t>THE ANTITRUST AUTHORITY</w:t>
        <w:br/>
        <w:t>IN ITS MEETING of December 1, 2020;</w:t>
        <w:br/>
        <w:t>HEARD the Rapporteur Professor Michele Ainis;</w:t>
        <w:br/>
        <w:t>HAVING REGARD to Law No. 287 of October 10, 1990;</w:t>
        <w:br/>
        <w:t>HAVING REGARD to Articles 6, 14, 18, and 19, paragraph 1, of the aforementioned law;</w:t>
        <w:br/>
        <w:t>HAVING REGARD, in particular, to Article 19, paragraph 1, of the aforementioned law, according to which, if companies carry out a concentration operation in violation of the prohibition set forth in Article 18, paragraph 1, or do not comply with the provisions of paragraph 3 of the same article, the Authority imposes administrative monetary sanctions not less than one percent and not more than ten percent of the turnover of the business activities subject to the concentration;</w:t>
        <w:br/>
        <w:t>HAVING REGARD, also, to Article 18, paragraph 3, of the aforementioned law, according to which the Authority, if the concentration operation has already been carried out, may prescribe the necessary measures to restore effective competition, eliminating the distorting effects;</w:t>
        <w:br/>
        <w:t>HAVING REGARD to Presidential Decree No. 217 of April 30, 1998;</w:t>
        <w:br/>
        <w:t>HAVING REGARD to Law No. 689 of November 24, 1981;</w:t>
        <w:br/>
        <w:t>HAVING REGARD to its resolution No. 28163 of February 25, 2020 (hereinafter also referred to as “the Decision”), with which the Authority authorized, subject to the full and effective execution of the measures prescribed pursuant to Article 6, paragraph 2, of the aforementioned law, the concentration operation communicated by BDC Italia S.p.A. (hereinafter, “BDC”) and CONAD Consorzio Nazionale Dettaglianti Soc. Coop. (hereinafter, “CONAD”), whereby BDC, a vehicle company specifically established and controlled by CONAD, acquired the entire share capital of Auchan S.p.A. (now Margherita Distribuzione S.p.A.) for the purpose of transferring to the member Cooperatives, in whole or in part, the acquired points of sale;</w:t>
        <w:br/>
        <w:t>HAVING REGARD to the measure concerning the transfer of control, both de facto and de jure, of 29 points of sale identified in letters a) and b) of the aforementioned resolution to subjects who have the following requirements: “i) to be independent subjects, also commercially, from the Parties and from the companies connected to them, as well as from the subjects at the top of the control chain of the Parties; ii) to possess the financial means, as well as the incentive and capacity to maintain and develop, on an efficient scale, the retail sale of food and non-food products; iii) to preferably be primary operators in the sector active at the national level, and in any case already active in the retail sale of food and non-food products; iv) the acquisition of the divested activity by a proposed buyer must not create new problems for competition, nor entail the risk that the implementation of the measures will be postponed”;</w:t>
        <w:br/>
        <w:t>HAVING REGARD to the measure according to which the points of sale referred to in letter a) of the Decision must be sold by [omitted]* and, if the buyers have not been identified by that deadline, the Parties must, within [omitted] from the expiration of the same, sell the points of sale in question by identifying the buyers [omitted], granting for this purpose an irrevocable mandate to a designated trustee (divesture trustee);</w:t>
        <w:br/>
        <w:t>* In this version, some data are omitted, as elements of confidentiality or secrecy of the information were deemed to exist.</w:t>
      </w:r>
    </w:p>
    <w:p>
      <w:r>
        <w:t>16 BULLETIN NO. 50 OF DECEMBER 21, 2020</w:t>
        <w:br/>
        <w:t>HAVING REGARD to its communication of May 13, 2020, with which the Authority accepted the request for an extension submitted by the Parties, moving the original deadline referred to in letter a) of the Decision to [omitted];</w:t>
        <w:br/>
        <w:t>HAVING REGARD to the communication of October 21, 2020, in which the Parties represented that they had encountered “serious and objective difficulties” that make the measure concerning the transfer to third parties [omitted] “extremely difficult to implement”;</w:t>
        <w:br/>
        <w:t>CONSIDERING, therefore, it necessary to assess whether the reported facts constitute a case of non-compliance with the Authority's resolution No. 28163 of February 25, 2020, pursuant to Article 19, paragraph 1, of Law No. 287/90, and whether it is necessary to impose new measures, in addition to or in substitution of those originally provided, in order to restore effective competition, pursuant to Article 18, paragraph 3, of Law No. 287/90;</w:t>
        <w:br/>
        <w:t>CONSIDERING that such assessments must be carried out in contradiction with the Parties and any interested third parties;</w:t>
        <w:br/>
        <w:t>HAVING REGARD to the documentation on file;</w:t>
        <w:br/>
        <w:t>RESOLVES</w:t>
        <w:br/>
        <w:t>a) to initiate proceedings against the companies BDC Italia S.p.A., CONAD Consorzio Nazionale Dettaglianti Soc. Coop., Pac2000A Soc. Coop., Conad Nord Ovest Soc. Coop., Commercianti Indipendenti Associati Soc. Coop., Conad Centro Nord Soc. Coop., Conad Adriatico Soc. Coop., to ascertain the existence of violations of Article 19, paragraph 1, of Law No. 287/90 and to evaluate whether it is necessary to impose new measures, in addition to or in substitution of those originally provided, pursuant to Article 18, paragraph 3, of the aforementioned law;</w:t>
        <w:br/>
        <w:t>b) to set a deadline of forty-five days, starting from the date of notification of this decision, for the exercise by the legal representatives of the Parties, or by persons delegated by them, of the right to be heard, pursuant to Article 14, paragraph 1, of Law No. 287/90, specifying that the request for a hearing must be received by the Agro-food, Pharmaceutical and Transport Directorate of the General Directorate for Competition of this Authority at least five days before the expiration of the aforementioned deadline;</w:t>
        <w:br/>
        <w:t>c) that the person responsible for the proceedings is Dr. Bianca Maria Cammino;</w:t>
        <w:br/>
        <w:t>d) that the documents of the proceedings can be viewed at the Agro-food, Pharmaceutical and Transport Directorate of the General Directorate for Competition of this Authority by the legal representatives of the Parties or by a person delegated by them;</w:t>
        <w:br/>
        <w:t>e) that the proceedings must be concluded by June 30, 2021.</w:t>
      </w:r>
    </w:p>
    <w:p>
      <w:r>
        <w:t>BULLETIN NO. 50 OF DECEMBER 21, 2020 17</w:t>
        <w:br/>
        <w:t>This decision will be notified to the interested parties and published in the Bulletin of the Antitrust Authority.</w:t>
        <w:br/>
        <w:t>THE SECRETARY GENERAL THE PRESIDENT</w:t>
        <w:br/>
        <w:t>Filippo Arena Roberto Rustichelli</w:t>
      </w:r>
    </w:p>
    <w:p>
      <w:r>
        <w:rPr>
          <w:b/>
        </w:rPr>
        <w:t>[Pages 16–18]</w:t>
      </w:r>
    </w:p>
    <w:p>
      <w:r>
        <w:t>18 BULLETIN NO. 50 OF DECEMBER 21, 2020</w:t>
        <w:br/>
        <w:t>C12316 - GENERAL MUNICIPAL SERVICES COMPANY OF VERONA/MUNICIPAL INDUSTRIAL COMPANIES VICENZA</w:t>
        <w:br/>
        <w:t>Decision No. 28470</w:t>
        <w:br/>
        <w:t>THE ANTITRUST AUTHORITY</w:t>
        <w:br/>
        <w:t>IN ITS MEETING of December 1, 2020;</w:t>
        <w:br/>
        <w:t>HEARD the Rapporteur Dr. Gabriella Muscolo;</w:t>
        <w:br/>
        <w:t>HAVING REGARD TO Law No. 287 of October 10, 1990;</w:t>
        <w:br/>
        <w:t>HAVING REGARD TO Presidential Decree No. 217 of April 30, 1998;</w:t>
        <w:br/>
        <w:t>HAVING REGARD TO Council Regulation (EC) No. 139/2004;</w:t>
        <w:br/>
        <w:t>HAVING REGARD TO the communication from the company General Municipal Services Company of Verona S.p.A., received on August 18, 2020;</w:t>
        <w:br/>
        <w:t>HAVING REGARD TO the request for information sent to the company General Municipal Services Company of Verona S.p.A. on September 15, 2020, with consequent interruption of the deadlines pursuant to Article 5, paragraph 3, of Presidential Decree No. 217 of April 30, 1998;</w:t>
        <w:br/>
        <w:t>HAVING REGARD TO the information received from the company General Municipal Services Company of Verona S.p.A. on November 9, 2020;</w:t>
        <w:br/>
        <w:t>HAVING REGARD TO the documents of the proceeding;</w:t>
        <w:br/>
        <w:t>CONSIDERING the following:</w:t>
        <w:br/>
        <w:t>I. THE PARTIES</w:t>
        <w:br/>
        <w:t>1. The municipality of Verona is a territorial public entity1 that holds controlling interests in companies active in various sectors, including natural gas and electricity, urban hygiene, management of public lighting services, public parking, and telecommunications services, where it operates, in particular, through the controlled company General Municipal Services Company of Verona S.p.A..</w:t>
        <w:br/>
        <w:t>2. General Municipal Services Company of Verona S.p.A. (hereinafter "AGSM") is the company at the head of the homonymous multi-utility corporate group active, in particular, in the distribution and sale of natural gas and electricity, in the urban hygiene sector, district heating, management of public lighting services, management of public parking, and telecommunications services. AGSM is 100% owned by the Municipality of Verona and, in the last financial year closed on December 31, 2019, achieved a consolidated revenue of over 1.105 million euros entirely in Italy.</w:t>
        <w:br/>
        <w:t>1 According to paragraph 12 of the "Consolidated Communication of the Commission on the criteria for jurisdictional competence pursuant to Council Regulation (EC) No. 139/2004 on the control of concentrations between undertakings" (published in the Official Journal of the European Union on April 16, 2008, No. C95/1), the acquisition of control can occur "also by a person who controls (alone or jointly) at least one other undertaking [...]. In this context, the term 'person' also includes public entities [...] including the State." In this regard, see, for community cases, those cited by the Communication itself and, for national cases, among others, decision No. 8557 of July 28, 2000, C4103 - Edison-Autonomous Province of Bolzano/Production Company, in Bulletin No. 30/2000; decision No. 16793 of May 4, 2007, C8447 - Autonomous Region of Aosta Valley/Inva, in Bulletin No. 18/2007 and decision No. 25550 of July 15, 2015, C11990 - SEL-Alto Adige Electric Company/Energy Company, in Bulletin No. 26/2015.</w:t>
      </w:r>
    </w:p>
    <w:p>
      <w:r>
        <w:t>BULLETIN NO. 50 OF DECEMBER 21, 2020 19</w:t>
        <w:br/>
        <w:t>3. The Municipality of Vicenza is a territorial public entity that holds controlling interests in companies active in various sectors, including natural gas and electricity, as well as waste management, where it mainly operates through the company Municipal Industrial Companies Vicenza S.p.A..</w:t>
        <w:br/>
        <w:t>4. Municipal Industrial Companies Vicenza S.p.A. (hereinafter AIM) is the company at the head of the homonymous multi-utility corporate group active, in particular, in the distribution and sale of natural gas and electricity and, secondarily, in waste management, public lighting, district heating, and telecommunications services. AIM is 100% owned by the Municipality of Vicenza and in the last financial year closed on December 31, 2019, achieved a consolidated revenue of over 292 million euros entirely in Italy.</w:t>
        <w:br/>
        <w:t>II. DESCRIPTION OF THE OPERATION</w:t>
        <w:br/>
        <w:t>5. The notified concentration operation (hereinafter also the "Operation") consists of the merger by incorporation of AIM into AGSM based on an exchange ratio as a result of which the Municipality of Verona will hold 62.8% of the post-merger company and the Municipality of Vicenza the remaining 38.8%. The company resulting from the integration (the so-called New Parent Company) will be subject to the joint control of the Municipalities of Verona and Vicenza, as the adoption of strategic decisions of the New Parent Company requires majorities such that the favorable vote of representatives from both Municipalities is necessary.</w:t>
        <w:br/>
        <w:t>III. QUALIFICATION OF THE OPERATION</w:t>
        <w:br/>
        <w:t>6. The notified Operation, consisting of the merger of the companies AGSM and AIM into a newly established company, of which the Municipalities of Verona and Vicenza will acquire joint control, constitutes a concentration pursuant to Article 5, paragraph 1, letter a), of Law No. 287/90.</w:t>
        <w:br/>
        <w:t>7. It falls within the scope of application of Law No. 287/90, as the conditions of Article 1 of EC Regulation No. 139/2004 do not apply and is subject to the obligation of prior notification provided for by Article 16, paragraph 1, of the same law as the total revenue achieved, in the last financial year at the national level, by the group of companies involved was over 504 million euros and the total revenue achieved individually, in the last financial year at the national level, by at least two of the companies involved was over 31 million euros.</w:t>
        <w:br/>
        <w:t>IV. EVALUATION OF THE CONCENTRATION</w:t>
        <w:br/>
        <w:t>Relevant markets and effects of the Operation</w:t>
        <w:br/>
        <w:t>8. Due to the operations of the Parties, the Operation affects several markets within the sectors of sale and distribution of natural gas and electricity, waste management, as well as other markets such as public lighting service management, public parking, district heating, and telecommunications services.</w:t>
        <w:br/>
        <w:t>The natural gas sector</w:t>
        <w:br/>
        <w:t>9. With regard to the natural gas sector, the concentration affects the following relevant markets:</w:t>
        <w:br/>
        <w:t>i. the market for the distribution of natural gas in the respective concession areas;</w:t>
        <w:br/>
        <w:t>ii. the market for the so-called future tenders for the award of the concession for the distribution of natural gas in the ATEMs;</w:t>
        <w:br/>
        <w:t>iii. the market for the retail sale of natural gas to large final customers;</w:t>
      </w:r>
    </w:p>
    <w:p>
      <w:r>
        <w:t>20 BULLETIN NO. 50 OF DECEMBER 21, 2020</w:t>
        <w:br/>
        <w:t>iv. the market for the retail sale of natural gas to final customers with consumption below two hundred thousand cubic meters;</w:t>
        <w:br/>
        <w:t>10. In relation to the market for the distribution of natural gas in the concession areas, the Operation results in the mere substitution of one operator with another, as this service is provided under legal monopoly in each concession area.</w:t>
        <w:br/>
        <w:t>11. With reference to the market for future tenders for the awarding of natural gas distribution concessions, it is considered, according to the constant practice of the Authority, to coincide with each of the tenders of the areas within which the current municipal concessions are grouped (the so-called "ATEM"). Based on the information provided by the Parties, the ATEMs affected by the concentration are those of Verona 1, Mantova 1, Vicenza 4, where the AGSM Group is currently present through the controlled company Megareti S.r.l., and those of Treviso 1, Vicenza 1, Vicenza 3, and Padova 1, where AIM is currently present through the controlled companies Servizi a Rete S.r.l. and AIM Vicenza S.p.A..</w:t>
        <w:br/>
        <w:t>12. The Authority, in its previous decisions12, has always assessed the impact of concentration operations among distributors on the contestability of future ATEM tenders by verifying whether they resulted in the attribution to a single decision-making center of two of the main and most accredited competitors of the future tender of a given ATEM and/or the creation of a subject so advantaged in the tender as to discourage the participation of third parties. Therefore, for the evaluation of an operation, the market position of the Parties in terms of PDR (delivery points) managed within the individual ATEMs in which they are present as municipal concessionaires is primarily relevant.</w:t>
        <w:br/>
        <w:t>13. The Operation, in this case, involves two small operators in the sector3 and does not appear to be suitable to determine prejudicial consequences regarding the current contestability of the respective future tenders, particularly considering the absence of overlaps in all the ATEMs affected by the concentration, including those in which the two groups are the main operators, the AGSM Group in the ATEM of Verona-1 (with a share of PdR of about [50-55%]*) and the AIM Group in the ATEM of Vicenza-1 ([70-75%] of the PdR). The Parties are also present, in a completely marginal manner, in other ATEMs: the AGSM Group in the ATEM, Mantova-1 ([1-5%] of the PdR) and the AIM Group in those of Vicenza-3 ([1-5%] of the PdR) and Padova-1 ([1-5%] of the PdR). Finally, the Parties have a significant presence (albeit always without overlaps) in two ATEMs (the AGSM Group in the ATEM of Vicenza 4 with about [20-25%] of the PDR and the AIM Group in the ATEM of Treviso 1 with about [25-30%] of the PDR) in which other qualified operators are also active, with shares even exceeding those of the Parties.</w:t>
        <w:br/>
        <w:t>14. The retail sale of natural gas consists of the supply and delivery of gas to final customers connected to the distribution networks or the gas transport network. According to the Authority's orientation, it is possible to identify distinct product markets in relation to the sales activity towards medium-large final customers with consumption exceeding 200,000 cubic meters/year.</w:t>
        <w:br/>
        <w:t>2 *In this version, some data are omitted, as elements of confidentiality or secrecy of the information were deemed to exist.</w:t>
        <w:br/>
        <w:t>1 See, lastly, the closure decision No. 28406 of October 20, 2020, C12294 - A2A/Environment Energy Brianza, in Bulletin 45/2020.</w:t>
        <w:br/>
        <w:t>3 The AGSM and AIM Groups fall among the small distributors with a market share, in terms of volumes distributed at the national level, well below 1% (see ARERA, "Annual Report - State of Services 2019", p. 239, table TAV. 3.20 "First twenty groups operating in the distribution of natural gas in 2019 (volumes of natural gas distributed in M(m3))", published on the institutional website www.arera.it).</w:t>
      </w:r>
    </w:p>
    <w:p>
      <w:r>
        <w:rPr>
          <w:b/>
        </w:rPr>
        <w:t>[Pages 19–21]</w:t>
      </w:r>
    </w:p>
    <w:p>
      <w:r>
        <w:t>BULLETIN NO. 50 OF DECEMBER 21, 2020 21</w:t>
        <w:br/>
        <w:t>and small final customers (households, condominiums, and other uses) with consumption below 200,000 m³ of gas/year4.</w:t>
      </w:r>
    </w:p>
    <w:p>
      <w:r>
        <w:t>15. The geographical dimension of the markets for the sale of natural gas to medium-large final customers is considered, according to the Authority's practice, to be of national scope. In this market, the Operation does not appear suitable to create or strengthen a dominant position, given that the market shares currently held by both industrial Groups are largely below 1% for each.</w:t>
      </w:r>
    </w:p>
    <w:p>
      <w:r>
        <w:t>16. Regarding the market for the sale of gas to small final customers, the Authority has recently considered that, despite full liberalization and the increasing operations of national sales companies, competition can still occur, to some extent, at the local level5. In this specific case, however, it is not necessary to precisely define the geographical scope of this market, as whatever dimension is chosen, the assessment would not change. The Operation does not appear to present competitive concerns either at the national level, where the Parties would hold a joint share of approximately [1-5%], nor at the regional level, where they would hold a joint share of approximately [15-20%], nor even at the provincial level, considering that each of the two Groups involved in the merger concentrates its natural gas sales activity to small final customers solely in the provinces of Verona and Vicenza, respectively.</w:t>
      </w:r>
    </w:p>
    <w:p>
      <w:r>
        <w:t>The electricity sector</w:t>
        <w:br/>
        <w:t>17. With reference to the electricity sector, the Operation involves the following relevant markets:</w:t>
        <w:br/>
        <w:t>i. the market for the distribution of electricity;</w:t>
        <w:br/>
        <w:t>ii. the retail market for electricity sales to non-domestic customers connected at medium and high voltage;</w:t>
        <w:br/>
        <w:t>iii. the retail market for electricity sales to domestic customers connected at low voltage;</w:t>
        <w:br/>
        <w:t>iv. the retail market for electricity sales to non-domestic customers connected at low voltage.</w:t>
      </w:r>
    </w:p>
    <w:p>
      <w:r>
        <w:t>18. The activity of electricity distribution occurs under a legal monopoly, granted at the municipal level by a specific concession, and therefore, the concentration results in the mere substitution of one operator with another in each concession area6.</w:t>
      </w:r>
    </w:p>
    <w:p>
      <w:r>
        <w:t>19. Regarding the market for the sale of electricity to non-domestic customers connected at high and medium voltage, which, based on the Authority's precedents7, has a national geographical dimension, the Operation has no appreciable effects, considering that the Parties, following its completion, would hold a joint market share of approximately [0-5%].</w:t>
      </w:r>
    </w:p>
    <w:p>
      <w:r>
        <w:t>20. As for the markets for the sale of electricity to customers connected at low voltage (both domestic and non-domestic), in its practice, the Authority tends to consider them as markets of local geographical dimension due to the still strong presence of connected sellers.</w:t>
      </w:r>
    </w:p>
    <w:p>
      <w:r>
        <w:t>22 BULLETIN NO. 50 OF DECEMBER 21, 2020</w:t>
        <w:br/>
        <w:t>to the distribution company, which after having exercised a monopoly on sales to captive customers, have nonetheless inherited the position of suppliers under the enhanced protection regime8. This impact is, evidently, greater in local contexts that coincide with the coverage area of the distribution concession and, moreover, the established presence of companies belonging to the same corporate group in different types of public services provided to the same local community contributes to granting such an entity various advantages, including reputational, among the consumers of that community. That said, it should be noted that, due to an increasing contestability of the clientele by operators external to the locality concerned, where necessary, this geographical limit may need to be subjected to further checks. However, given the position of the Parties, each predominantly concentrated in their respective reference areas (AGSM in the province of Verona and AIM in that of Vicenza) and without significant overlaps, it does not seem essential to carry out such verification, as it would not change the outcome of the assessment, also considering that in the sale of electricity to customers at low voltage, both domestic and non-domestic, qualified and leading operators at the national level such as Enel, Eni, and Edison are active in all geographical contexts.</w:t>
      </w:r>
    </w:p>
    <w:p>
      <w:r>
        <w:t>The waste sector</w:t>
        <w:br/>
        <w:t>21. As is well known, waste management consists of various interconnected activities, including collection, transport, recovery, and disposal of waste9, with distinct industrial and competitive characteristics. The management of the collection, sweeping, and transport of urban and assimilated waste has the characteristics of a natural monopoly, in which only one company operates, awarded the service following a public procurement procedure or entrusted directly through in-house methods. The activity in question is usually carried out on a local basis (coinciding with the extent of the Optimal Territorial Area or the Municipality for which the service has been entrusted) under a monopoly defined by the scope of the assignment; concerning the ongoing management of the Parties, the Operation results in the mere substitution of one operator with another. Considering then, prospectively, the competition that may arise in future procedures for new assignments, competition among companies could occur at the national or sub-national level10. In any case, in this specific case, it is not necessary to arrive at a complete definition of the geographical extent of the market, because whatever perimeter is identified, the outcome of the competitive assessment remains unchanged. In particular, if the assessment is limited to a regional level, the Parties would not, with the concentration, constitute a predominant operator, as they provide the service in municipalities that collectively do not reach [10-20%] of the total population of the region. Even more so, given that the Parties are active in this market only in the Veneto region, the Operation would not have significant effects if considered at a national level.</w:t>
      </w:r>
    </w:p>
    <w:p>
      <w:r>
        <w:t>22. Regarding the markets for the treatment and disposal of unsorted urban waste, according to the information provided, the Parties carry out this activity with a TMB plant owned by the AGSM group located in the province of Verona and with a landfill attributable to the AIM group located in the province of Vicenza. These activities usually have a limited scope, also due to the constraints on the movement of unsorted urban waste, but whatever the geographical dimension considered, the Operation does not raise competitive concerns, given that in the Veneto region alone there are six TMB plants, two incinerators, and twelve landfills11.</w:t>
      </w:r>
    </w:p>
    <w:p>
      <w:r>
        <w:t>23. Even in the selection and treatment of sorted waste (urban and non-hazardous special waste), the Parties have reported being active with a limited number of plants, and therefore, in this case as well, the Operation does not appear likely to create significant effects from a competitive perspective, considering that the geographical dimension of these markets can be deemed supra-regional as there is no environmental regulation limiting the scope of action of the companies operating in this area. The geographical reference area can therefore be identified as the macro-area North-East, with respect to which the capacity of the Parties' plants remains below [0-5%]12.</w:t>
      </w:r>
    </w:p>
    <w:p>
      <w:r>
        <w:t>24. Finally, it should be noted that due to the limited presence of the Parties in the downstream markets of both unsorted and sorted waste treatment, the Operation does not appear capable of generating significant vertical effects within the waste cycle.</w:t>
      </w:r>
    </w:p>
    <w:p>
      <w:r>
        <w:t>Other sectors of activity</w:t>
        <w:br/>
        <w:t>25. With reference to the other residual activities carried out by the Parties, the concentration involves the following relevant markets:</w:t>
        <w:br/>
        <w:t>i. the market for the management of public lighting services;</w:t>
        <w:br/>
        <w:t>ii. the district heating market;</w:t>
        <w:br/>
        <w:t>iii. the market for the management of public parking;</w:t>
        <w:br/>
        <w:t>iv. the telecommunications services market.</w:t>
      </w:r>
    </w:p>
    <w:p>
      <w:r>
        <w:t>26. Regarding the market for the management of public lighting systems, this service is exclusively entrusted by the relevant municipalities through tenders or agreements or direct in-house assignments, generally of long duration. In relation to this market, competitive comparison among operators occurs only during tenders for the assignment of the service, potentially open to all national and even foreign operators. The concentration does not result in the establishment of an operator capable of holding a dominant position in future tender markets, as the Parties have limited operations in the market in question. They would, in fact, hold, at the national level and as a result of the Operation, a joint share of approximately [1-5%], compared to operators with much larger shares such as Enel and HERA13.</w:t>
      </w:r>
    </w:p>
    <w:p>
      <w:r>
        <w:t>27. Similar evaluations apply regarding the effects of the operation in the markets for the management of public parking, district heating, and telecommunications services where the Parties have very limited operations compared to the presence of other qualified operators.</w:t>
      </w:r>
    </w:p>
    <w:p>
      <w:r>
        <w:rPr>
          <w:b/>
        </w:rPr>
        <w:t>[Pages 22–24]</w:t>
      </w:r>
    </w:p>
    <w:p>
      <w:r>
        <w:t>24 BULLETIN NO. 50 OF DECEMBER 21, 2020</w:t>
        <w:br/>
        <w:t>28. In light of the considerations above, the concentration under examination does not appear to be capable of establishing and/or strengthening a dominant position or significantly altering the competitive conditions in the relevant markets mentioned.</w:t>
        <w:br/>
        <w:t>CONSIDERED, therefore, that the operation under examination does not entail, pursuant to Article 6, paragraph 1, of Law No. 287/90, the establishment or strengthening of a dominant position in the affected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r>
    </w:p>
    <w:p>
      <w:r>
        <w:t>THE SECRETARY GENERAL THE PRESIDENT</w:t>
        <w:br/>
        <w:t>Filippo Arena Roberto Rustichelli</w:t>
      </w:r>
    </w:p>
    <w:p>
      <w:r>
        <w:t>BULLETIN NO. 50 OF DECEMBER 21, 2020 25</w:t>
        <w:br/>
        <w:t>C12331 - F2I AIRPORTS 2/GEASAR</w:t>
        <w:br/>
        <w:t>Provision No. 28471</w:t>
        <w:br/>
        <w:t>THE ANTITRUST AUTHORITY</w:t>
        <w:br/>
        <w:t>IN ITS MEETING of December 1, 2020;</w:t>
        <w:br/>
        <w:t>HEARD the Rapporteur, Dr. Gabriella Muscolo;</w:t>
        <w:br/>
        <w:t>HAVING REGARD TO Law No. 287 of October 10, 1990;</w:t>
        <w:br/>
        <w:t>HAVING REGARD TO the communication from F2i SGR S.p.A. received on November 10, 2020;</w:t>
        <w:br/>
        <w:t>HAVING REGARD TO the documentation on file;</w:t>
        <w:br/>
        <w:t>CONSIDERED the following:</w:t>
        <w:br/>
        <w:t>I. THE PARTIES</w:t>
        <w:br/>
        <w:t xml:space="preserve">1. F2i SGR S.p.A. (hereinafter "F2i") is an asset management company that currently manages three closed-end alternative investment funds: F2i – Second Italian Fund for Infrastructure (hereinafter "Second Fund"); F2i – Third Fund for Infrastructure (hereinafter "Third Fund"); ANIA F2i Fund (hereinafter "ANIA Fund"), established in December 2019. The investment strategy of the funds managed by F2i aims to ensure the efficiency of industrial and financial management, as well as the development of acquired holdings in the most important infrastructural sectors including airports, highways, gas distribution, water services, telecommunications, renewable energies, local public services, and social infrastructure. </w:t>
        <w:br/>
        <w:t>For the purposes of this concentration operation, it is noteworthy that F2i, and in particular the Third Fund, holds controlling interests in the following companies active in the airport sector: GE.S.A.C. S.p.A., operator of Naples airport; SAGAT S.p.A., operator of Turin airport; SoGeAA1 S.p.A., operator of Alghero airport; Friuli Venezia Giulia Airport S.p.A., operator of Trieste airport. The Third Fund also holds non-controlling interests in Bologna Airport S.p.A. and SEA S.p.A. – operator of the Milan airports of Linate and Malpensa – a company that, in turn, holds shares in the capital of SACBO S.p.A., which operates Bergamo-Orio al Serio airport. The share capital of F2i is owned by numerous entities, none of which exercises exclusive or joint control. In 2019, the revenue generated in Italy by F2i was approximately [2-3]* billion euros at the consolidated level.</w:t>
        <w:br/>
        <w:t>2. Geasar S.p.A. (hereinafter also "Geasar") is the company that manages Olbia airport under a concession expiring in 2046. Geasar performs both operational and management activities, maintaining flight and ground infrastructures, providing security services, handling services for commercial aviation, as well as ground assistance services for passengers and aircraft of Line and Charter. In addition to airport services for commercial carriers, Geasar, through its subsidiaries Eccelsa Aviation S.r.l., Cortesa S.r.l., and Alisarda Real Estate S.r.l. (hereinafter also "Geasar Group"), provides handling services for general aviation (private jets) and is active in so-called "non aviation" commercial activities (retail services, catering services, management of parking and real estate owned).</w:t>
        <w:br/>
        <w:t>In 2019, the total revenue generated in Italy by the Geasar Group was [31-100] million euros.</w:t>
        <w:br/>
        <w:t>II. DESCRIPTION OF THE OPERATION</w:t>
        <w:br/>
        <w:t>3. The notified concentration operation consists of the acquisition of exclusive control of Geasar and its subsidiaries (Geasar Group) by F2i, through the company F2i Aeroporti 2 S.r.l. (hereinafter also "F2i Aeroporti 2"), a holding company currently held by the Third Fund. Following the concentration operation, the Geasar Group will be controlled by F2i Aeroporti 2, which, directly or through a newly established company (NewCo), will acquire 79.8% of the share capital of Geasar currently held by Alisarda S.p.A. In turn, the share capital of F2i Aeroporti 2, following the capital increase related to the operation, will be held by a consortium composed of: ANIA Fund, with an absolute or relative controlling stake; Third Fund, with a qualified minority stake; Sardinia Foundation and other potential co-investors with minority stakes.</w:t>
        <w:br/>
        <w:t>4. The described concentration operation is also subject to the so-called "Golden Power Procedure," pursuant to Decree-Law No. 21 of March 15, 2012, concerning special powers over corporate structures in the defense and national security sectors, as well as for activities of strategic relevance in the energy, transport, and communications sectors.</w:t>
        <w:br/>
        <w:t>III. QUALIFICATION OF THE OPERATION</w:t>
        <w:br/>
        <w:t>5. The communicated operation constitutes a concentration pursuant to Article 5, paragraph 1, letter b), of Law No. 287/90, as it involves the acquisition of control of a company. It falls within the scope of application of Law No. 287/90, as the conditions set out in Article 1 of Regulation (EC) No. 139/04 do not apply, and it is subject to the obligation of prior notification established by Article 16, paragraph 1, of the same law, as the total revenue generated, in the last financial year at the national level, by the group of interested companies exceeded 504 million euros and the total revenue generated, in the last financial year at the national level, by at least two of the interested companies exceeded 31 million euros.</w:t>
        <w:br/>
        <w:t>IV. EVALUATION OF THE OPERATION</w:t>
        <w:br/>
        <w:t>Relevant markets</w:t>
        <w:br/>
        <w:t>Product markets</w:t>
        <w:br/>
        <w:t>6. The operation concerns the airport management sector. As repeatedly stated by the Authority and the European Commission, within airport management, three broad types of services can be identified1:</w:t>
        <w:br/>
        <w:t>(a) services related to centralized infrastructures, defined by Legislative Decree No. 18/1999, are managed exclusively by the airport managing body, as their complexity, cost or</w:t>
        <w:br/>
        <w:t>1 See AGCM: C10779 / F2i – GESAC (2010), C11873 / F2i – Società Azionaria Gestione Aeroporto Torino (2013), as well as A474 / SEA – ATA Convention, A507 / Fuel supply service at Bergamo airport. Regarding previous community cases, see also: M9270 / Vinci Airports – Gatwick Airport (2019), M7537 / Ardian France – F2i – F2i Airports (2015).</w:t>
      </w:r>
    </w:p>
    <w:p>
      <w:r>
        <w:rPr>
          <w:b/>
        </w:rPr>
        <w:t>[Pages 25–27]</w:t>
      </w:r>
    </w:p>
    <w:p>
      <w:r>
        <w:t>BULLETIN NO. 50 OF DECEMBER 21, 2020 27</w:t>
        <w:br/>
        <w:t>environmental impact do not appear to allow for its division or duplication2. These services, strictly necessary for the performance of takeoff, landing, and flight activities, constitute a single "package" of services, requested in their entirety by handlers for the provision to carriers of passenger and aircraft assistance services, or by the carriers themselves who resort to self-production. The use of airport infrastructure is compensated through fees that, where conditions of irreplaceability of the infrastructure managed under monopoly conditions exist, are subject to regulation3. In this case, the airport fees applied by the operator of Olbia airport have recently been reviewed by the Transport Regulatory Authority4 (ART).</w:t>
        <w:br/>
        <w:t>(b) Ground handling services, also defined by Legislative Decree No. 18/1999, consist of the set of necessary and ancillary assistance operations for the departure, landing, and parking of the aircraft and its cargo. Each of them generally requires distinct know-how and responds to a specific and distinct demand from air carriers. For airports with traffic equal to or greater than 2 million passengers or 50 thousand tons of goods, service providers are granted free access to the market, based on the requirements set forth by the regulations5;</w:t>
        <w:br/>
        <w:t>(c) Commercial services which, in turn, include: the management of retail shops selling products to the public, generally exercised by third parties benefiting from sub-concessions; the management of parking lots, the sale of advertising space, as well as the management of any real estate owned by the airport operator (office rentals, warehouses, etc.). The types of services listed above could be further divided into multiple sub-markets.</w:t>
        <w:br/>
        <w:t>On the other hand, it should be considered that carriers, in choosing the airports in which to operate, take into account additional characteristics of the airports involved. In particular, with reference to passenger transport, the different destination airports may be more or less substitutable among themselves in relation to both the type of passengers (business or leisure) and carriers (for example, low-cost carriers make their location choices also evaluating the overall offer of airport services provided at different airports). For cargo transport, generally combined with passenger transport, from the carriers' perspective, the degree of substitutability between different airports also depends on the quality of logistics and intermodal services6.</w:t>
        <w:br/>
        <w:t>In this case, regarding the type of passengers, it is noteworthy that, despite the tourist vocation of both Olbia and Alghero airports (which, as a result of this operation, will fall under the same control of F2i), Olbia is also characterized by a strong development of private aviation (so-called General Aviation), which is almost entirely absent at Alghero airport. Furthermore, there are differentiations between the two airports also considering the type of carriers, as Alghero airport is characterized by a more intense presence of low-cost airlines, interested in the overall offer of airport services and any advantageous conditions related to their use.</w:t>
        <w:br/>
        <w:t>2 See Legislative Decree of January 13, 1999, No. 18, concerning the implementation of Council Directive 96/67/EC on the free access to the market for ground handling services at Community airports.</w:t>
        <w:br/>
        <w:t>3 See Articles 71 to 82 of Decree-Law of January 24, 2012, No. 1, converted, with amendments, by Law of March 24, 2012, No. 27, implementing Directive 2009/12/EC.</w:t>
        <w:br/>
        <w:t>4 See ART resolutions No. 31/2020, No. 146/2020, and No. 164/2020, concerning the "Proposal for the revision of airport fees at the 'Olbia Costa Smeralda' Airport of Olbia – tariff period 2019-2022."</w:t>
        <w:br/>
        <w:t>5 See Legislative Decree of January 13, 1999, No. 18, implementing Council Directive 96/67/EC on the free access to the market for ground handling services at Community airports.</w:t>
        <w:br/>
        <w:t>6 See AGCM: C10779 / F2i – GESAC (2010), C11873 / F2i – Società Azionaria Gestione Aeroporto Torino (2013).</w:t>
      </w:r>
    </w:p>
    <w:p>
      <w:r>
        <w:t>28 BULLETIN NO. 50 OF DECEMBER 21, 2020</w:t>
        <w:br/>
        <w:t>7. For the purposes of this operation, it does not appear necessary to proceed with a more precise delimitation of the markets, as it would not lead to a different assessment of the competitive effects of the operation.</w:t>
        <w:br/>
        <w:t>Geographic markets</w:t>
        <w:br/>
        <w:t>8. Regarding the geographic dimension of the market concerning services related to centralized infrastructures, in Community practice, catchment areas are currently defined by assigning as an indicative measure a radius – starting from the individual airport – of about 100 km for so-called "regional" airports and 300 km for "international" ones7.</w:t>
        <w:br/>
        <w:t>9. With specific reference to Olbia airport and the nearby Sardinian airport of Alghero, both falling into the category of airports of regional significance, previous Community decisions have established that the two airports fall within two distinct catchment areas (both for the carriers that use them and for the passengers who must reach a given destination), due to their distance and travel times, which are also connected to the characteristics of the transport network8. In particular, Olbia and Alghero airports are 128 km apart, which can be traveled in about 90 minutes by car. Moreover, the high travel time between the two airports, relative to the distance, shows how the orographic characteristics of the territory affect the infrastructural and road system, making the catchment areas of Alghero and Olbia airports even more limited than what could be inferred by considering the kilometer distances.</w:t>
        <w:br/>
        <w:t>10. Regarding ground handling services, the geographic dimension of the relevant markets coincides with that of the individual airports where the operator operates. In fact, carriers that perform self-handling at a given airport require, at that airport and not elsewhere, the infrastructure to support ground handling activities. The same consideration applies to handlers, who are also bound by the assistance contracts stipulated with air carriers, which identify the airports where handling services must be provided.</w:t>
        <w:br/>
        <w:t>11. With reference to the commercial services provided within the airport, although they or some of them, in principle, could be substitutable with similar services provided in areas adjacent to the airport, in this case, a more precise geographic delimitation of the market does not appear necessary, considering that in the relevant geographic market the buyer will operate only through the acquired group. Therefore, with regard to the market for commercial services, it can also be considered that the geographic extension coincides with Olbia airport.</w:t>
        <w:br/>
        <w:t>The effects of the operation</w:t>
        <w:br/>
        <w:t>12. The operation in question does not appear to be capable of producing anti-competitive effects in the examined markets, resulting in the mere substitution of one operator with another. Specifically, due to the distinction between the catchment areas of Alghero airport (currently controlled by the acquiring company) and Olbia, the operation does not appear capable of generating horizontal overlap effects in the market for services related to centralized infrastructures. The same applies to the market for ground handling services and for commercial services, characterized by a geographic dimension coinciding with the individual airport in question, namely Olbia airport, where, among other things, the acquirer is not active in vertically related markets.</w:t>
        <w:br/>
        <w:t>THEREFORE, CONSIDERING that the operation in question does not entail, pursuant to Article 6, paragraph 1, of Law No. 287/90, the establishment or strengthening of a dominant position in the relevant markets, such as to eliminate or substantially and durably reduce competition;</w:t>
        <w:br/>
        <w:t>RESOLVES</w:t>
        <w:br/>
        <w:t>not to initiate the investigation, pursuant to Article 16, paragraph 4, of Law No. 287/90.</w:t>
        <w:br/>
        <w:t>The above conclusions will be communicated, pursuant to Article 16, paragraph 4, of Law No. 287/90, to the interested companies and to the Ministry of Economic Development.</w:t>
        <w:br/>
        <w:t>This provision will be published in the Bulletin of the Antitrust Authority.</w:t>
        <w:br/>
        <w:t>THE SECRETARY GENERAL THE PRESIDENT</w:t>
        <w:br/>
        <w:t>Filippo Arena Roberto Rustichelli</w:t>
      </w:r>
    </w:p>
    <w:p>
      <w:r>
        <w:rPr>
          <w:b/>
        </w:rPr>
        <w:t>[Pages 28–30]</w:t>
      </w:r>
    </w:p>
    <w:p>
      <w:r>
        <w:t xml:space="preserve">30 BULLETIN NO. 50 OF DECEMBER 21, 2020  </w:t>
        <w:br/>
        <w:t xml:space="preserve">C12332 - ARTEMIS ACQUISITIONS/LANDINI GIUNTINI  </w:t>
        <w:br/>
        <w:t xml:space="preserve">Decision No. 28472  </w:t>
        <w:br/>
        <w:t xml:space="preserve">THE ANTITRUST AUTHORITY  </w:t>
        <w:br/>
        <w:t xml:space="preserve">IN ITS MEETING of December 1, 2020;  </w:t>
        <w:br/>
        <w:t xml:space="preserve">HEARD the Rapporteur Dr. Gabriella Muscolo;  </w:t>
        <w:br/>
        <w:t xml:space="preserve">HAVING REGARD to Law No. 287 of October 10, 1990;  </w:t>
        <w:br/>
        <w:t xml:space="preserve">HAVING REGARD to the Presidential Decree No. 217 of April 30, 1998;  </w:t>
        <w:br/>
        <w:t xml:space="preserve">HAVING REGARD to the communication made by Artemis Acquisitions Limited, received on November 10, 2020;  </w:t>
        <w:br/>
        <w:t xml:space="preserve">CONSIDERING the following:  </w:t>
        <w:br/>
        <w:t xml:space="preserve">I. THE PARTIES  </w:t>
        <w:br/>
        <w:t xml:space="preserve">1. Artemis Acquisitions Limited (hereinafter also "Artemis") is a limited liability company under English law, wholly owned and controlled by the Sixth Cinven Fund, a fund managed by Cinven Capital Management (VI) General Partner Limited (hereinafter "Cinven"). Cinven is a private equity firm engaged in providing management and advisory services in investment matters to various investment funds, which, through the companies in its portfolio, is active in a wide range of sectors, mainly commercial services, consumer goods, financial services, healthcare, industry, and technology, media, and telecommunications. Cinven is also active, albeit to a limited extent, in the pet food sector in Italy, through its subsidiary Partner in Pet Foods Hungaria Kft (PPF), which also includes the recently acquired Doggy AB (Doggy). In the financial year 2019, Cinven achieved a global turnover of approximately [10-20]* billion euros, of which approximately [2-3] billion euros in Italy.  </w:t>
        <w:br/>
        <w:t xml:space="preserve">2. Landini Giuntini S.p.A. (hereinafter also "Landini") is a company controlled by individuals that operates mainly in the Italian market, in the production and sale of snacks and industrial food, wet and dry, for dogs and cats, both private label and branded, as well as, to a limited extent, in the production and sale of feed for livestock (poultry, equines, and hares/rabbits). The company markets both products entirely manufactured in-house and, in limited quantities, products acquired from other producers. In the financial year 2019, Landini achieved a turnover of approximately [31-100] million euros in Italy.  </w:t>
        <w:br/>
        <w:t xml:space="preserve">II. DESCRIPTION OF THE TRANSACTION  </w:t>
        <w:br/>
        <w:t xml:space="preserve">3. The notified transaction consists of the acquisition by Artemis of the entire share capital and, therefore, the exclusive control of Landini Giuntini. The sale agreement also includes a non-compete clause that commits the sellers not to engage, for a period of two years, in activities competing with those of the target company.  </w:t>
        <w:br/>
        <w:t>* In this version, some data are omitted, as elements of confidentiality or secrecy of the information were deemed to exist.</w:t>
      </w:r>
    </w:p>
    <w:p>
      <w:r>
        <w:t xml:space="preserve">BULLETIN NO. 50 OF DECEMBER 21, 2020 31  </w:t>
        <w:br/>
        <w:t xml:space="preserve">III. QUALIFICATION OF THE TRANSACTION  </w:t>
        <w:br/>
        <w:t xml:space="preserve">4. The notified transaction, as it involves a change in the control of a company, constitutes a concentration pursuant to Article 5, paragraph 1, letter b), of Law No. 287/90. It is subject to the obligation of prior notification provided for by Article 16, paragraph 1, of Law No. 287/90, as the total turnover achieved in the last financial year at the national level by the group of companies involved exceeded 504 million euros and the total turnover achieved individually at the national level by at least two of the companies involved exceeded 31 million euros.  </w:t>
        <w:br/>
        <w:t xml:space="preserve">5. The above-mentioned non-compete clause constitutes a restriction directly connected and necessary for the realization of the transaction, as it is strictly functional to safeguarding the value of the acquired company, having a duration of two years and a geographical scope limited to the current geographical area of operation of the acquired company1.  </w:t>
        <w:br/>
        <w:t xml:space="preserve">IV. EVALUATION OF THE TRANSACTION  </w:t>
        <w:br/>
        <w:t xml:space="preserve">IV.1 The relevant markets  </w:t>
        <w:br/>
        <w:t xml:space="preserve">6. The sector mainly affected by this transaction is that of the production and sale of pet food and snacks. In fact, both Cinven, through its subsidiary PPF, and Landini are active in these markets. Cinven is not present in the production and sale of feed for livestock.  </w:t>
        <w:br/>
        <w:t xml:space="preserve">7. Based on community guidelines, dog and cat food are to be considered distinct relevant product markets, responding to different nutritional needs, and, more specifically, have been deemed separate relevant product markets: dry dog food, wet dog food, dry cat food, wet cat food, and dietary food for pets2. Within each market, a distinction has also been made, at the wholesale level (from producer to retailer), between so-called private label pet food and branded products (branded)3, while further segmentation between "economy," "mainstream," or "premium" products was not deemed necessary due to the full substitutability of these products in order to meet the nutritional and dietary needs of dogs and cats4.  </w:t>
        <w:br/>
        <w:t xml:space="preserve">8. At the retail level, various distribution channels for pet food can be identified, among which the main ones are: i) grocery stores (such as large supermarket chains); ii) specialized retail outlets, which include both traditional pet shops and large retail surfaces. Based on community guidelines, it cannot be excluded that these channels, previously identified by the Authority as distinct relevant markets at the retail distribution level5, may also identify distinct relevant markets in the upstream wholesale market6.  </w:t>
        <w:br/>
        <w:t xml:space="preserve">1 See Commission Communication on restrictions directly connected and necessary to concentrations (2005/C 56/03) § 22.  </w:t>
        <w:br/>
        <w:t xml:space="preserve">2 See, among others: COMP/M.9019 – Mars/AniCura, decision of 29.10.2018; COMP/M.2337 Nestle/Ralston Purina, decision of 27.07.2001; IV/M.1127 – Nestle/Dalgety, decision of 2.4.1998.  </w:t>
        <w:br/>
        <w:t xml:space="preserve">3 This distinction, deemed unnecessary in case COMP/M.2544 – Masterfoods/Royal Canin, decision of 15.2.2002, was instead made subsequently in case COMP/M.2337 Nestle/Ralston Purina, cited.  </w:t>
        <w:br/>
        <w:t xml:space="preserve">4 COMP/M.2544 – Masterfoods/Royal Canin, cited.  </w:t>
        <w:br/>
        <w:t xml:space="preserve">5 C12139-Noah 2/Mondial Pet Distribution, decision No. 27148 of 24.04.2018.  </w:t>
        <w:br/>
        <w:t>6 COMP/M.9019 – Mars/AniCura, cited.</w:t>
      </w:r>
    </w:p>
    <w:p>
      <w:r>
        <w:t xml:space="preserve">32 BULLETIN NO. 50 OF DECEMBER 21, 2020  </w:t>
        <w:br/>
        <w:t xml:space="preserve">9. In any case, in the present case, a precise definition of the relevant product markets does not appear necessary as, regardless of the segmentation of the sector used, the assessment of the effects of the transaction does not change.  </w:t>
        <w:br/>
        <w:t xml:space="preserve">10. From a geographical perspective, the markets for the production and supply of industrial products for pet food have been considered, in some cases, to be of supranational dimension, coinciding with the European Economic Area7 and, in others, of national dimension. More precisely, in the case Nestlé/Ralston Purina, the European Commission identified the dimension of the wholesale markets for branded products as national, while considering the geographical dimension of the markets for products intended to be sold at retail under the distributor's brand (private label) to be broader. Even more recently, with specific reference to the sector of dietary food for animals, the geographical dimension of the market has been deemed national8.  </w:t>
        <w:br/>
        <w:t xml:space="preserve">11. In the present case, even with regard to the geographical dimension of the markets, it does not appear necessary to reach a definitive conclusion as, even considering the narrower definition (i.e., the national one), the assessment would not change.  </w:t>
        <w:br/>
        <w:t xml:space="preserve">12. Finally, from a vertical perspective, the transaction concerns, albeit marginally, the sector of online retail, where Cinven operates through its subsidiary Allegro, and that of the production and distribution of special ingredients for food, both human and animal, where Cinven operates through its subsidiary Barentz. Given the limited significance of the vertical effects of the transaction, the definition of these markets, both from a product and geographical perspective9, can be left open.  </w:t>
        <w:br/>
        <w:t xml:space="preserve">IV.2 The effects of the transaction  </w:t>
        <w:br/>
        <w:t xml:space="preserve">13. The Party has provided market shares separately for the channel of specialized retail outlets, where in no market/segment does the joint share of the Parties exceed 5%, and the remaining distribution channels, including large-scale distribution and grocery stores. For this sales channel, the market shares held by the Parties in the various production sectors are highlighted in Table No. 1 below. As can be seen, the post-merger share of the acquirer is always below 15%, with an increase, due to the transaction, that is entirely negligible compared to the share previously held solely by the target. In the same markets, other important and qualified operators such as Nestlé (29.3% in the dry cat segment and 17% dry dog), Colgate-Palmolive (22% in dry cat and 13% dry dog), and Mars (16% in dry cat and 18% dry dog) operate with market shares also exceeding 15%.  </w:t>
        <w:br/>
        <w:t xml:space="preserve">7 Case IV/M.554 Dalgety Plc. / The Quaker Oats Company, decision of 13.03.1995, Case IV/M. 1127, Nestlé / Dalgety, decision of 2.4.1998; C8971 - BOLTON ALIMENTARI/RAMI D’AZIENDA DI BRANDS, decision No. 17760 of 20.12.2007.  </w:t>
        <w:br/>
        <w:t xml:space="preserve">8 COMP/M.9019 – Mars/AniCura, cited.  </w:t>
        <w:br/>
        <w:t>9 The Commission does not seem to have reached a definitive conclusion on the definition of these markets. In particular, in the sector of special ingredients for pet food, on the one hand, it has identified distinct markets for, respectively, (i) the production and sale of ingredients for wet pet food and (ii) the production and sale of ingredients for dry pet food, while, on the other hand, in some precedents, it has found that certain components (sold not only as ingredients for pet food or feed) constitute autonomous markets based on the nature of the product (for example, the market for starch, for emulsifiers, etc.). Similarly, with reference to the retail sector through the internet channel, the Commission, while having recognized in some precedents that there are differences, from the perspective of the retailer and the consumer, between online and offline retail, has not reached a conclusion on the possibility of considering the internet channel as a separate market.</w:t>
      </w:r>
    </w:p>
    <w:p>
      <w:r>
        <w:rPr>
          <w:b/>
        </w:rPr>
        <w:t>[Pages 31–33]</w:t>
      </w:r>
    </w:p>
    <w:p>
      <w:r>
        <w:t>BULLETIN NO. 50 OF DECEMBER 21, 2020 33</w:t>
        <w:br/>
        <w:t>Tab. n. 1 - Market shares and effects of concentration in the non-specialized channel</w:t>
        <w:br/>
        <w:t>Cat Food Dog Food</w:t>
        <w:br/>
        <w:t>Dry % Wet % Snacks % Dry % Wet % Snacks %</w:t>
        <w:br/>
        <w:t>Cinven [&lt;1%] [&lt;1%] - [&lt;1%] [&lt;1%] -</w:t>
        <w:br/>
        <w:t>Target [10-15%] [&lt;1%] [10-15%] [10-15%] [&lt;1%] [1-5%]</w:t>
        <w:br/>
        <w:t>Post Operator</w:t>
        <w:br/>
        <w:t>[10-15%] [&lt;1%] [10-15%] [10-15%] [1-5%] [1-5%]</w:t>
        <w:br/>
        <w:t>merger</w:t>
        <w:br/>
        <w:t>Source: communication from the Party</w:t>
        <w:br/>
        <w:t>14. Even if one were to consider the relevant markets for the supply of branded products and those of private labels as distinct, the operation would not produce significant effects, given that:</w:t>
        <w:br/>
        <w:t>i) Cinven does not operate in either the snack sector or the specialized store channel;</w:t>
        <w:br/>
        <w:t>ii) limiting the analysis to the non-specialized channel and the supply of private label products, where the presence of the target is more significant, the horizontal overlaps between Landini and PPF, controlled by Cinven, are practically absent. In fact, the former has a significant presence mainly in the dry cat food sector ([25-30%]), where the buyer is not present, and in the dry dog food sector ([20-25%]), where Cinven is present to a completely negligible extent. Cinven is present, but still marginally, in the wet food sectors, where Landini's shares are below 1%;</w:t>
        <w:br/>
        <w:t>iii) in any case, the markets related to the supply of private label products, as seen, have been defined by the Commission as supra-national in size, corresponding to the European Economic Area, within which the target's shares would always be below 5%10.</w:t>
        <w:br/>
        <w:t>15. From a vertical perspective, the operation does not seem to present problematic elements arising from possible foreclosure effects. In fact, with reference to the markets for the supply of special ingredients for animal feed: i) Barentz's sales in Italy are extremely limited; ii) the sector is very fragmented and, therefore, in no case could Landini's competitors be denied access to the supply of such ingredients. Also, the presence of Allegro in the online sales sector in Italy is absolutely negligible and the buyer, following the operation, would have no possibility of denying Landini's competitors access to that sales channel.</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CONSIDERING, furthermore, that the non-competition agreement between the parties is ancillary to this operation within the limits described above and that the Authority reserves the right to evaluate, where the conditions exist, the aforementioned agreement that extends beyond the time and object indicated therein.</w:t>
        <w:br/>
        <w:t>10 COMP/M.9019 – Mars/AniCura, cited.</w:t>
      </w:r>
    </w:p>
    <w:p>
      <w:r>
        <w:t>34 BULLETIN NO. 50 OF DECEMBER 21, 2020</w:t>
        <w:br/>
        <w:t>RESOLUTION</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Competition and Market Authority.</w:t>
        <w:br/>
        <w:t>THE SECRETARY GENERAL THE PRESIDENT</w:t>
        <w:br/>
        <w:t>Filippo Arena Roberto Rustichelli</w:t>
      </w:r>
    </w:p>
    <w:p>
      <w:r>
        <w:t>BULLETIN NO. 50 OF DECEMBER 21, 2020 35</w:t>
        <w:br/>
        <w:t>C12336 - FAERCH/SIRAP GEMA</w:t>
        <w:br/>
        <w:t>Provision No. 28473</w:t>
        <w:br/>
        <w:t>THE COMPETITION AND MARKET AUTHORITY</w:t>
        <w:br/>
        <w:t>IN ITS MEETING of December 1, 2020;</w:t>
        <w:br/>
        <w:t>HEARD the Rapporteur, Dr. Gabriella Muscolo;</w:t>
        <w:br/>
        <w:t>HAVING REGARD to Law No. 287 of October 10, 1990;</w:t>
        <w:br/>
        <w:t>HAVING REGARD to the Presidential Decree No. 217 of April 30, 1998;</w:t>
        <w:br/>
        <w:t>HAVING REGARD to the communication from Faerch A/S, received on November 18, 2020;</w:t>
        <w:br/>
        <w:t>CONSIDERING the following:</w:t>
        <w:br/>
        <w:t>I. THE PARTIES</w:t>
        <w:br/>
        <w:t>1. Faerch A/S (hereinafter also Faerch) is a Danish company that produces and distributes plastic packaging intended for the food industry and, in particular, thermoformed plastic trays in all major plastic resins, used for ready meals, cold foods, snacks, and fresh meat. The company operates through six production sites located in Denmark, the United Kingdom, the Czech Republic, and Spain. Furthermore, the acquiring group is the world's leading operator in the recycling of plastic trays.</w:t>
        <w:br/>
        <w:t>Faerch is indirectly controlled by the global private equity fund Advent International Corporation.</w:t>
        <w:br/>
        <w:t>In 2019, the consolidated revenue generated by the acquiring group worldwide was approximately [40-50]* billion euros, of which approximately [10-20] billion euros from sales in the European Union and approximately [1-2] billion euros from sales in Italy.</w:t>
        <w:br/>
        <w:t>2. Target is a group specifically established for the purpose of carrying out the notified operation, to which the controlling company, Sirap Gema S.p.A. (hereinafter also Sirap Gema or the Sirap group), has transferred: i) the entirety of its production and distribution activities of food packaging present in the national territory, merging them into a specially established company (Target Italia); ii) the entire share capital of Sirap Gema Inline Poland Sp. Z.o.o. (Target Poland); iii) the entire share capital of Sirap Gema Packaging Iberica SLU (Target Spain).</w:t>
        <w:br/>
        <w:t>Target will, therefore, be active in the production and distribution of rigid containers made of expanded polystyrene and rigid plastic containers in PET, activities previously carried out by the Sirap group through 12 production plants and 32 distribution centers located in 15 European countries, including Italy, France, Germany, Austria, Poland, and the United Kingdom.</w:t>
        <w:br/>
        <w:t>The Sirap group operates in the production and distribution of a wide range of products intended for the fresh food industry and retail (food-grade films and containers, machinery, accessories), and is exclusively controlled by Italmobiliare S.p.A., an investment holding company listed on the Milan stock exchange, which is not subject to the control of other companies or individuals.</w:t>
        <w:br/>
        <w:t>In 2019, the revenue generated by Target worldwide was approximately [100-498] million euros, of which approximately [100-498] million euros from sales in the European Union and approximately [30-100] million euros from sales in Italy.</w:t>
        <w:br/>
        <w:t>* In this version, some data are omitted, as elements of confidentiality or secrecy of the information were deemed to exist.</w:t>
      </w:r>
    </w:p>
    <w:p>
      <w:r>
        <w:rPr>
          <w:b/>
        </w:rPr>
        <w:t>[Pages 34–36]</w:t>
      </w:r>
    </w:p>
    <w:p>
      <w:r>
        <w:t>36 BULLETIN NO. 50 OF DECEMBER 21, 2020</w:t>
        <w:br/>
        <w:t>II. DESCRIPTION OF THE OPERATION</w:t>
        <w:br/>
        <w:t>3. The notified operation consists of the acquisition, by Faerch, also through a Spanish subsidiary, of the entire share capital of Target Poland and Target Spain, as well as the new company (Target Italy) that will be established by Sirap Gema and to which the latter will transfer all its assets and activities related to food packaging in Italy. Following the operation, therefore, Faerch will exercise, directly and indirectly, exclusive control over Target Italy, Target Poland, and Target Spain.</w:t>
        <w:br/>
        <w:t>4. The notifying Party has also communicated that the aforementioned operation has been notified to the competition authorities of Poland and Austria.</w:t>
        <w:br/>
        <w:t>III. QUALIFICATION OF THE OPERATION</w:t>
        <w:br/>
        <w:t>5. The notified operation constitutes a concentration, pursuant to Article 5, paragraph 1, letter b), of Law No. 287/90, as it involves the acquisition of exclusive control of a company. It falls within the scope of application of Law No. 287/90,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exceeded 504 million euros and the total turnover achieved individually, in the last financial year at the national level, by at least two of the companies involved exceeded 31 million euros.</w:t>
        <w:br/>
        <w:t>IV. EVALUATION OF THE OPERATION</w:t>
        <w:br/>
        <w:t>6. Taking into account the activities carried out by the acquired companies, the operation in question concerns the market for the production and distribution of food packaging. Consistent with community and national guidelines, this market can be further segmented, identifying distinct product areas based on the materials and technologies used in the production of packaging, the type of clientele, and the food to which the packaging is intended1. In this specific case, therefore, the markets for the production and distribution of rigid containers in expanded polystyrene and rigid containers in PET plastic can be identified.</w:t>
        <w:br/>
        <w:t>7. From a geographical perspective, the identified markets appear to have a geographical dimension that exceeds national borders and at least corresponds to the European Economic Area (hereinafter EEA), as there are no administrative barriers at the national level and there are significant trade flows between European countries2.</w:t>
        <w:br/>
        <w:t>8. In any case, for the purposes of evaluating this operation, it is not necessary to arrive at an exact delineation of the relevant markets, as, regardless of the precise identification of the product and geographical scope, based on the data provided by the notifying Party, the operation in question does not appear to raise competitive concerns.</w:t>
        <w:br/>
        <w:t>1 See M8107-CVC/AR PACKAGING of August 25, 2016; COMP M5599-AMCOR/ALCAN of December 14, 2009; COMP M3397-Owens Illinois/BSN Glasspack of June 9, 2004; C10245-ISAP PACKAGING/ISAP BUSINESS BRANCH, decision No. 20276 of September 3, 2009; C7575-SIRAP GEMA/AMPRICA decision No. 15261 of March 15, 2006.</w:t>
        <w:br/>
        <w:t>2 See M8107-CVC/AR PACKAGING, cited; COMP M5599-AMCOR/ALCAN, cited; C10245-ISAP PACKAGING/ISAP BUSINESS BRANCH, cited; C7575-SIRAP GEMA/AMPRICA, cited.</w:t>
      </w:r>
    </w:p>
    <w:p>
      <w:r>
        <w:t>BULLETIN NO. 50 OF DECEMBER 21, 2020 37</w:t>
        <w:br/>
        <w:t>9. In fact, considering the overall market for food packaging in the EEA, according to the information provided, its size is estimated for the year 2019 at approximately [300-500] billion units in volume and approximately [40,000-60,000] million euros in value3. Following the notified operation, the overall share of Faerch and the three Targets is approximately [1-5%] in volume and approximately [1-5%] in value. This is a fragmented market where numerous operators are able to exert significant competitive pressure, including: RPC Group plc with a market share in value of approximately [5-10%], Huhtamaki with a share of [5-10%], Greiner Packaging AG and Linpac Packaging Verona S.r.l., each with shares in value of approximately [1-5%].</w:t>
        <w:br/>
        <w:t>10. If we consider the market for rigid plastic packaging in PET for food as distinct within the EEA, according to the information provided, it has a size of approximately 150-170 billion units4. In this market, the aggregated share of the Parties, following the notified operation, is approximately 6% in volume5. In the market for expanded polystyrene packaging for food, only the Target group is present in the EEA, with a share of approximately 17% in volume. Therefore, the operation does not lead to significant overlaps in the market shares of the Parties in any of the considered product and geographical areas.</w:t>
        <w:br/>
        <w:t>11. In light of the above considerations, the concentration in question does not appear to be capable of significantly affecting the competitive conditions of the market for the production and distribution of food packaging, nor of the distinct market segments for rigid plastic packaging for food and expanded polystyrene packaging for food.</w:t>
        <w:br/>
        <w:t>CONSIDERING, therefore, that the operation in question does not entail, pursuant to Article 6, paragraph 1, of Law No. 287/90, the establishment or strengthening of a dominant position in the relevant markets, such as to eliminate or substantially and durably reduce competition;</w:t>
        <w:br/>
        <w:t>RESOLVES</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This provision will be published in the Bulletin of the Competition and Market Authority.</w:t>
        <w:br/>
        <w:t>THE SECRETARY GENERAL THE PRESIDENT</w:t>
        <w:br/>
        <w:t>Filippo Arena Roberto Rustichelli</w:t>
        <w:br/>
        <w:t>3 Estimates provided by the Parties based on the McKinsey Report, the Smithers Pira Report “The Future of Global Rigid Plastic Packaging to 2020”, as well as on internal data.</w:t>
        <w:br/>
        <w:t>4 Estimates provided by the Parties based on the McKinsey Report.</w:t>
        <w:br/>
        <w:t>5 According to the information provided, at the national level, the aggregated share of the Parties in the market for rigid plastic packaging for food is approximately [5-10%] in volume.</w:t>
      </w:r>
    </w:p>
    <w:p>
      <w:r>
        <w:t>38 BULLETIN NO. 50 OF DECEMBER 21, 2020</w:t>
        <w:br/>
        <w:t>REPORTING AND CONSULTATIVE ACTIVITIES</w:t>
        <w:br/>
        <w:t>AS1711 - CONSIP - TENDER FOR THE RENTAL SUPPLY OF MULTIFUNCTION DEVICES</w:t>
        <w:br/>
        <w:t>Rome, August 6, 2020</w:t>
        <w:br/>
        <w:t>Ministry of Economy and Finance</w:t>
        <w:br/>
        <w:t>With reference to the request for an opinion, formulated by the Ministry of Economy and Finance, concerning the draft “Tender for the conclusion of the Agreement for the rental supply of mid-range and high-end multifunction devices for scanning, copying, and printing and related services for public administrations - Edition No. 1 - 6 product lots (ID SIGeF 2262),” the Competition and Market Authority, in its meeting of August 4, 2020, resolved to carry out, pursuant to Article 22 of Law No. 287 of October 10, 1990, the considerations reported below.</w:t>
        <w:br/>
        <w:t xml:space="preserve">Preliminarily, it is noted that the production chain of the information and communication technology sector and, specifically, of printers and multifunction printing and copying devices, is characterized by a significant number of internationally relevant producers, who often participate indirectly in open tenders, through the intermediation of national distributors and retailers. </w:t>
        <w:br/>
        <w:t>However, from the observation of previous tenders, it is noted that the indirect participation of an increasingly limited number of producers, as well as national retailers, has been recorded, despite the existence of market conditions favorable to the configuration of contestable lots1. In the medium to long term, the reduction in the number of direct suppliers (retailers) and indirect suppliers (producers) may lead to a deterioration of the quality standards offered in the market for the Public Administration and an increase in the prices of the products and services subject to tender.</w:t>
        <w:br/>
        <w:t>In particular, the previous editions of the tender under evaluation are characterized by an increasingly marked reduction in participants over the last editions.</w:t>
        <w:br/>
        <w:t>The Authority believes that a different definition of the tender procedures could help encourage participation, compared to what was recorded in previous editions.</w:t>
        <w:br/>
        <w:t xml:space="preserve">The reduction of the average annual specific turnover percentage relative to the base auction of the lot - provided in the tender documentation under examination as a requirement of economic-financial capacity required for participation - appears suitable to increase participation in the tender. </w:t>
        <w:br/>
        <w:t xml:space="preserve">However, in this regard, the extension of the possession of this requirement to the three years preceding the tender, instead of the two years provided in previous editions of similar competitive procedures, appears </w:t>
        <w:br/>
        <w:t>1 High number of potential competitors, apparent absence of technical and economic barriers, auction bases significantly higher than production costs.</w:t>
      </w:r>
    </w:p>
    <w:p>
      <w:r>
        <w:rPr>
          <w:b/>
        </w:rPr>
        <w:t>[Pages 37–39]</w:t>
      </w:r>
    </w:p>
    <w:p>
      <w:r>
        <w:t>BULLETIN NO. 50 OF DECEMBER 21, 2020 39</w:t>
        <w:br/>
        <w:t>a partially suitable element to nullify the benefit derived from such a modification of the participation requirements.</w:t>
      </w:r>
    </w:p>
    <w:p>
      <w:r>
        <w:t>Regarding the award criterion of the tender, similarly to what has already been noted for equivalent procedures for the supply of PC2 and the purchase of printers and multifunction devices3, it is observed that the criterion of the lowest price does not appear to be – in this case – the most suitable method to ensure a complete evaluation of articulated offers, characterized by a composite and heterogeneous set of products (multifunction devices with main and optional features, supplies of "original" and/or "refurbished" consumables) and different services (assistance and maintenance, with the possibility of extending services), related to technical performances provided with distinct timing and modalities over time.</w:t>
      </w:r>
    </w:p>
    <w:p>
      <w:r>
        <w:t>This criterion, applied to a high number of technical performances, seems suitable to reduce the number of participants and, in particular, of producers who do not have models of equipment with all the features that enhance performance, but not basic functionality4. For these reasons, it seems preferable that additional performances be identified and valued through the assignment of a technical score to be combined with the economic offer. In fact, since these are goods and services provided with different timing, modalities, and quality, the criterion of the economically most advantageous offer appears to be the most appropriate.</w:t>
      </w:r>
    </w:p>
    <w:p>
      <w:r>
        <w:t>Therefore, regarding the tender procedure in question, the Authority believes that the criterion of the economically most advantageous offer could allow for a full evaluation of the offers, which values, on one hand, the basic characteristics of the equipment and services subject to the tender and, on the other hand, the additional performances proposed, ensuring a substantial increase in participation and a better competitive comparison.</w:t>
      </w:r>
    </w:p>
    <w:p>
      <w:r>
        <w:t>Moreover, the introduction of an award constraint (which prevents the same economic operator from winning multiple lots whose total auction base value exceeds a predetermined threshold), while suitable for promoting the diversification of awardees (and, therefore, the overall offer), may constitute, on one hand, a limit to participation in the offers of individual lots and, on the other hand, facilitate their distribution. This provision, therefore, does not seem suitable to promote broader competition and may nullify the beneficial effects of price competition provided for in the tender. In this regard, it would be desirable, therefore, that Consip, in preparing the tender, instead of introducing a rigid constraint, explore alternative solutions, such as, for example, a different design of the lots to allow for the participation of a greater number of operators for each lot5.</w:t>
      </w:r>
    </w:p>
    <w:p>
      <w:r>
        <w:t xml:space="preserve">2 Cf. AS1647 – Consip - Tender for the supply of desktop PCs and workstations edition I of December 3, 2019, in Boll. 8/2020. </w:t>
        <w:br/>
        <w:t xml:space="preserve">3 Cf. S3913 – Consip/Tender for the stipulation of a supply agreement for printers and multifunction devices, consumables, and related services for the PA, not yet published in the Authority's Bulletin. </w:t>
        <w:br/>
        <w:t xml:space="preserve">4 Cf. AS1647, cited. </w:t>
        <w:br/>
        <w:t>5 Cf. AS1641 – Consip – Tender for the stipulation of agreements for the purchase supply of server technologies for Public Administrations, in Boll. n. 4/2020.</w:t>
      </w:r>
    </w:p>
    <w:p>
      <w:r>
        <w:t>40 BULLETIN NO. 50 OF DECEMBER 21, 2020</w:t>
        <w:br/>
        <w:t>The Authority hopes that the considerations outlined above may be useful in defining the tender for the supply of the products in question.</w:t>
      </w:r>
    </w:p>
    <w:p>
      <w:r>
        <w:t>In any case, the Authority reserves the right to evaluate the published tender, as well as the outcomes of the tender, should elements emerge during its conduct that could configure anti-competitive practices.</w:t>
      </w:r>
    </w:p>
    <w:p>
      <w:r>
        <w:t>This opinion will be published in the bulletin referred to in Article 26 of Law No. 287/90, following the publication of the tender.</w:t>
      </w:r>
    </w:p>
    <w:p>
      <w:r>
        <w:t xml:space="preserve">THE PRESIDENT </w:t>
        <w:br/>
        <w:t>Roberto Rustichelli</w:t>
      </w:r>
    </w:p>
    <w:p>
      <w:r>
        <w:t xml:space="preserve">BULLETIN NO. 50 OF DECEMBER 21, 2020 41 </w:t>
        <w:br/>
        <w:t xml:space="preserve">AS1712 - MUNICIPALITY OF CASTIGLIONE DELLA PESCAIA (GR) - EXTENSION </w:t>
        <w:br/>
        <w:t xml:space="preserve">OF MARITIME STATE CONCESSIONS FOR TOURIST-RECREATIONAL PURPOSES </w:t>
        <w:br/>
        <w:t xml:space="preserve">Rome, December 9, 2020 </w:t>
        <w:br/>
        <w:t xml:space="preserve">Municipality of Castiglione della Pescaia </w:t>
        <w:br/>
        <w:t>The Antitrust Authority has identified some competitive criticalities, not justified by general interest needs, arising from the administrative acts of this Municipality related to the extension of existing maritime state concessions. Therefore, the Authority, in its meeting of December 1, 2020, ordered, in the exercise of its powers under Article 21 of Law No. 287/90, the sending of this notification to this Municipality.</w:t>
      </w:r>
    </w:p>
    <w:p>
      <w:r>
        <w:t>In particular, the Municipality of Castiglione della Pescaia, through executive determination No. 97 of January 22, 20201 and the subsequent determination No. 297 of February 28, 20202, considering what is provided for in Article 1, paragraphs 682 and following, of Law No. 145/2018, which established a new expiration date for maritime state concessions for tourist-recreational use on December 31, 20333, has resolved to extend the duration of the maritime state concessions existing in the municipal territory in favor of the current concessionaires.</w:t>
      </w:r>
    </w:p>
    <w:p>
      <w:r>
        <w:t>In this regard, in general terms, the Authority reminds that, in matters concerning the assignment of the use of public goods (falling within the state or local authorities' unavailable assets), the identification of the private concessionaire must always occur through the conduct, by the Public Administration, of public evidence procedures4.</w:t>
      </w:r>
    </w:p>
    <w:p>
      <w:r>
        <w:t>It is highlighted, in this regard, that Articles 49 and 56 of the TFEU impose on Member States the abolition of unjustified restrictions on the freedom of establishment and the free provision of services, that is, all measures that prohibit, hinder, or are otherwise capable of compressing the exercise of such freedoms5.</w:t>
      </w:r>
    </w:p>
    <w:p>
      <w:r>
        <w:t xml:space="preserve">Moreover, Directive 2006/123/EC (the so-called Services Directive) provides, in Article 12, that "where the number of authorizations available for a given activity is limited due to scarcity </w:t>
        <w:br/>
        <w:t xml:space="preserve">1 Concerning "Maritime state concessions – Application of Law 30/12/2018 No. 145, Article 1, paragraph 682 and following – Publication of received applications". </w:t>
        <w:br/>
        <w:t xml:space="preserve">2 Concerning the issuance of a supplementary license in which the fifteen-year extension of the respective state concessions to the concessionaires is recognized. </w:t>
        <w:br/>
        <w:t xml:space="preserve">3 It is also worth noting that the Tuscany Region, with resolution No. 711 of May 27, 2019, approved the procedural requirements related to maritime state concessions for tourist-recreational use resulting from the application of the aforementioned Law No. 145/2018. </w:t>
        <w:br/>
        <w:t xml:space="preserve">4 Cf., inter alia, Council of State, ruling of September 25, 2009, No. 5765; Council of State, Section VI, ruling of November 18, 2019, No. 7874. The ANAC has also expressed itself in this sense with resolution of January 17, 2019, No. 25. </w:t>
        <w:br/>
        <w:t>5 Cf. Court of Justice ruling of July 14, 2016, joined cases C-458/14 and C-67/15, Promoimpresa srl et al. v. Consortium of the municipalities of the Brescia Shore of Lake Garda and Lake Idro et al.</w:t>
      </w:r>
    </w:p>
    <w:p>
      <w:r>
        <w:rPr>
          <w:b/>
        </w:rPr>
        <w:t>[Pages 40–42]</w:t>
      </w:r>
    </w:p>
    <w:p>
      <w:r>
        <w:t>42 BULLETIN NO. 50 OF DECEMBER 21, 2020</w:t>
        <w:br/>
        <w:t>of natural resources or usable technical capacities, the Member States apply a selection procedure among potential candidates, which presents guarantees of impartiality and transparency and provides, in particular, adequate publicity for the initiation of the procedure and its conduct and completion” (par. 1) and that, in such cases, “the authorization is granted for a limited duration appropriate and cannot provide for an automatic renewal procedure nor grant other advantages to the outgoing provider or to persons who have particular ties with that provider” (par. 2).</w:t>
      </w:r>
    </w:p>
    <w:p>
      <w:r>
        <w:t>As is well known, Member States are required to comply with the aforementioned EU principles; in any case, where domestic legislation does not respect these provisions, thus conflicting with the principles of free movement and freedom of establishment, its relative disapplication is imposed6.</w:t>
      </w:r>
    </w:p>
    <w:p>
      <w:r>
        <w:t>In this regard, the Authority, in previous signaling interventions, has repeatedly expressed the need to proceed with the awarding of concessions - including those concerning public maritime assets for tourism/recreational purposes7 - through the conduct of public evidence procedures. In particular, it has been observed that in markets where, due to the specific objective characteristics of the activities, there is an exclusivity, or in any case a limited number of subjects are allowed to operate, the awarding of concessions must occur through transparent and competitive tendering procedures, in order to mitigate the distorting effects of competition associated with the privileged position attributed to the concessionaire or concessionaires8.</w:t>
      </w:r>
    </w:p>
    <w:p>
      <w:r>
        <w:t>With specific reference to the procedures and measures for the extension of existing concessions9, the Authority has repeatedly emphasized10 that the granting of extensions in favor of previous concessionaires further postpones competitive comparison for the market, thus preventing the benefits that would arise from periodic competition for the awarding of concessions through public evidence procedures. Any extensions of awards should not exceed the actual needs of public administrations, in order to allow for the efficient allocation of public resources through competitive procedures as soon as possible.</w:t>
      </w:r>
    </w:p>
    <w:p>
      <w:r>
        <w:t>Consequently, the Authority believes that, for the reasons outlined above, this Municipality should have disapplied the national legislation underlying the aforementioned managerial determinations, due to its contradiction with the EU regulations and principles mentioned above.</w:t>
      </w:r>
    </w:p>
    <w:p>
      <w:r>
        <w:t>The provisions relating to the extension of maritime public concessions contained in such administrative measures indeed constitute specific violations of competitive principles to the extent that they prevent the competitive comparison that should be guaranteed in the awarding of services affecting resources - such as public assets - of a scarce nature, in a market context where competitive dynamics are already particularly weakened due to the long duration of the currently existing concessions.</w:t>
      </w:r>
    </w:p>
    <w:p>
      <w:r>
        <w:t>In conclusion, the managerial determinations in question are in conflict with Articles 49 and 56 of the TFEU - as they are likely to unjustifiably limit the freedom of establishment and the free movement of services in the internal market - as well as with the EU regulatory provisions regarding public awards, with particular reference to Article 12 of the aforementioned Services Directive.</w:t>
      </w:r>
    </w:p>
    <w:p>
      <w:r>
        <w:t>The Authority therefore hopes that this Municipality will amend the indicated provisions by eliminating the highlighted competitive distortions, as specified above.</w:t>
      </w:r>
    </w:p>
    <w:p>
      <w:r>
        <w:t>The Authority also invites this Municipality to communicate, within thirty days from the receipt of this report, the determinations made regarding the competitive issues highlighted above.</w:t>
      </w:r>
    </w:p>
    <w:p>
      <w:r>
        <w:t>This report will be published in the Bulletin referred to in Article 26 of Law No. 287/90.</w:t>
      </w:r>
    </w:p>
    <w:p>
      <w:r>
        <w:t xml:space="preserve">THE PRESIDENT </w:t>
        <w:br/>
        <w:t>Roberto Rustichelli</w:t>
      </w:r>
    </w:p>
    <w:p>
      <w:r>
        <w:t xml:space="preserve">44 BULLETIN NO. 50 OF DECEMBER 21, 2020 </w:t>
        <w:br/>
        <w:t xml:space="preserve">UNFAIR COMMERCIAL PRACTICES </w:t>
        <w:br/>
        <w:t xml:space="preserve">PS11665 - A.C.A. COMPREHENSIVE WATER COMPANY - INSURANCE FOR HIDDEN LOSSES </w:t>
        <w:br/>
        <w:t xml:space="preserve">Provision No. 28458 </w:t>
        <w:br/>
        <w:t xml:space="preserve">THE ANTITRUST AUTHORITY </w:t>
        <w:br/>
        <w:t xml:space="preserve">IN ITS MEETING of November 24, 2020; </w:t>
        <w:br/>
        <w:t xml:space="preserve">HEARD the Rapporteur, Dr. Gabriella Muscolo; </w:t>
        <w:br/>
        <w:t xml:space="preserve">VIEWED Part II, Title III and Part III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VIEWED its provision of February 18, 2020, which ordered the inspection, pursuant to Article 27, paragraphs 2 and 3, of the Consumer Code, at the headquarters of A.C.A. Azienda Comprensoriale Acquedottistica S.p.A.; </w:t>
        <w:br/>
        <w:t xml:space="preserve">VIEWED the Communication on the interpretation of Article 103 of Decree-Law No. 18 of March 17, 2020, as amended by Article 37 of Decree-Law No. 23 of April 8, 2020, approved by the Authority's College in the meetings of April 1 and April 10, 2020, and published on the Authority's website; </w:t>
        <w:br/>
        <w:t xml:space="preserve">VIEWED its provision of September 30, 2020, which, pursuant to Article 7, paragraph 3, of the Regulation, ordered the extension of the deadline for concluding the procedure, for specific investigative needs; </w:t>
        <w:br/>
        <w:t>VIEWED the acts of the procedure;</w:t>
      </w:r>
    </w:p>
    <w:p>
      <w:r>
        <w:t xml:space="preserve">I. THE PARTIES </w:t>
        <w:br/>
        <w:t xml:space="preserve">1. The company A.C.A. Azienda Comprensoriale Acquedottistica S.p.A. (hereinafter ACA or also the Company or the Professional), in its capacity as a professional, pursuant to Article 18, letter b), of the Consumer Code. The Company provides water service in the province of Pescara and in other neighboring municipalities of the provinces of Chieti and Teramo. The company achieved, as of December 31, 2019, a turnover of approximately 79 million euros1. </w:t>
        <w:br/>
        <w:t>2. A consumer, in the capacity of Reporting Party.</w:t>
      </w:r>
    </w:p>
    <w:p>
      <w:r>
        <w:t xml:space="preserve">II. THE COMMERCIAL PRACTICES </w:t>
        <w:br/>
        <w:t xml:space="preserve">3. The procedure concerns the behaviors carried out by the Professional, related to the automatic activation of an insurance policy for covering the additional cost incurred by the consumer, in the event of hidden water losses in the private section of the water system, with the related cost charged on the bill. </w:t>
        <w:br/>
        <w:t>1 Source: balance sheet published on the company's website.</w:t>
      </w:r>
    </w:p>
    <w:p>
      <w:r>
        <w:rPr>
          <w:b/>
        </w:rPr>
        <w:t>[Pages 43–45]</w:t>
      </w:r>
    </w:p>
    <w:p>
      <w:r>
        <w:t>BULLETIN NO. 50 OF DECEMBER 21, 2020 45</w:t>
        <w:br/>
        <w:t>4. In particular, from the reports sent by the Reporter and some consumers, it emerged that ACA had automatically activated an insurance policy for hidden losses, charging the related cost on the bill, without providing any prior information to users, who could only opt out by making a written request. Furthermore, it was found that ACA had failed to provide adequate information regarding the activation of the aforementioned policy, as well as the procedures and methods for utilizing the insurance coverage. Finally, the reports highlighted the lack of response to the withdrawal requests made by consumers and the failure to reverse the charges made by ACA for the payment of the policy.</w:t>
        <w:br/>
        <w:t>5. Specifically regarding the reported conduct, it was found that ACA had automatically activated, through tacit consent, the insurance coverage related to the risk arising from hidden losses, thereby preventing the user from assessing the validity of the insurance proposal before adhering to it. Moreover, the burden of withdrawing from it was placed on the user through the so-called opt-out formula.</w:t>
        <w:br/>
        <w:t>6. In this regard, there was no information on the Professional's website regarding the insurance conditions, related limitations, and any activation methods, with the consequence that, in the event of a hidden loss, the insured user who wished to benefit from the policy would not have been able to do so, both because they were unaware of the existence of the policy itself and because they were not in a position to easily obtain the complete contractual information on the service provider's website, thus remaining in the dark regarding the operation of the policy, the activation methods, and any limitations and deductibles of the insured risk.</w:t>
        <w:br/>
        <w:t>7. Furthermore, from the users' reports, it emerged that ACA did not respond to the requests for withdrawal from the policy and the consequent requests for reversal of the charges made by consumers.</w:t>
        <w:br/>
        <w:t>8. Finally, from the User Regulation adopted by the Professional, there was no indication of the adoption of a decriminalization procedure that provided for the reversal of the increased water consumption in the event of a hidden loss in the user's system.</w:t>
        <w:br/>
        <w:t>III. THE OUTCOMES OF THE PROCEEDING</w:t>
        <w:br/>
        <w:t>1) The procedure process</w:t>
        <w:br/>
        <w:t>9. In relation to the commercial practices described above, on February 18, 2020, the Parties were notified of the initiation of the investigative procedure PS11665 against the company A.C.A. S.p.A., for alleged violation of the Consumer Code.</w:t>
        <w:br/>
        <w:t>10. In this context, the following conducts were specifically hypothesized.</w:t>
        <w:br/>
        <w:t>a. The automatic activation of the insurance policy, in violation of Article 65 of the Consumer Code.</w:t>
        <w:br/>
        <w:t>b. The provision of ambiguous and misleading information regarding the activation of the policy, the omission of related information on the website, as well as the non-transparent methods by which the economic burdens of the policy were charged on the bill, in violation of Article 22 of the Consumer Code.</w:t>
        <w:br/>
        <w:t>c. The failure to respond to the requests of consumers who had requested not to activate the insurance policy and the failure to reverse the charged amounts, in violation of Article 20 of the Consumer Code.</w:t>
        <w:br/>
        <w:t>d. The adoption of a decriminalization procedure that did not provide for the reversal of the increased water consumption, in violation of Article 20 of the Consumer Code.</w:t>
      </w:r>
    </w:p>
    <w:p>
      <w:r>
        <w:t>46 BULLETIN NO. 50 OF DECEMBER 21, 2020</w:t>
        <w:br/>
        <w:t>11. On February 27, 2020, an inspection was conducted at the ACA company's headquarters, as decided by the Authority on February 18, 2020.</w:t>
        <w:br/>
        <w:t>12. On March 31, 2020, the Company submitted a defensive memorandum, and on May 25 and June 18, 2020, it responded to the request for information made at the outset.</w:t>
        <w:br/>
        <w:t>13. On April 9 and May 25, 2020, the Reporter sent two separate memoranda supplementing the initial report.</w:t>
        <w:br/>
        <w:t>14. On May 25, 2020, a request for information was sent to the company ITAS Assicurazioni, to which the latter responded with two communications on May 28 and June 12, 2020.</w:t>
        <w:br/>
        <w:t>15. On July 8, 2020, the Parties were notified of the conclusion date of the investigative phase, pursuant to Article 16, paragraph 1, of the Regulation.</w:t>
        <w:br/>
        <w:t>16. On July 28, 2020, the ACA company sent a final memorandum.</w:t>
        <w:br/>
        <w:t>17. With a communication sent to the Parties, on September 24, 2020, the investigative phase was reopened in order to proceed with an objective extension of the disputes raised at the outset.</w:t>
        <w:br/>
        <w:t>18. On October 1 and 27, 2020, the Reporter sent two informative notes indicating the persistence of the contested conduct by ACA.</w:t>
        <w:br/>
        <w:t>19. On October 1, 2020, the Parties were notified of the extension of the deadline for closing the procedure.</w:t>
        <w:br/>
        <w:t>20. On October 19, 2020, the Parties were notified of the conclusion date of the investigative phase, pursuant to Article 16, paragraph 1, of the Regulation.</w:t>
        <w:br/>
        <w:t>21. On October 28, 2020, ACA sent a communication reiterating its defensive arguments, fully referring to the previous final memorandum.</w:t>
        <w:br/>
        <w:t>2) The acquired evidence</w:t>
        <w:br/>
        <w:t>Practice A) Automatic activation of insurance coverage for hidden water losses</w:t>
        <w:br/>
        <w:t>22. ACA entered into an agreement with ITAS Company on October 2, 2018, under which it automatically activated an insurance policy for all users (80% of whom are domestic users), starting from September 30, 2018, covering hidden losses for a non-renewable two-year duration, without the obligation of prior cancellation. The automatic activation of the policy is expressly provided for in the insurance contract2.</w:t>
        <w:br/>
        <w:t>23. The decision to activate an insurance policy was made by the Company's Board of Directors, which, with resolution no. 5 of February 28, 2018, established that the procedure for the tender for the selection of the contractor to whom to entrust the insurance coverage for hidden losses of the users should be initiated.</w:t>
        <w:br/>
        <w:t>24. Following the completion of the tender procedure, ACA awarded the contract to ITAS Assicurazioni Company with determination no. 382 of June 11, 2018.</w:t>
        <w:br/>
        <w:t>25. The total number of policyholders is 374,905 users out of a total of 381,011, of which 189,496 have a consumption of less than 200 cubic meters per year and 185,409 have a higher consumption.</w:t>
        <w:br/>
        <w:t>26. The premium corresponding to the first annual policy was charged in the first useful bill related to the water consumption of each user, starting from March 2019.</w:t>
        <w:br/>
        <w:t>27. The policy costs the user 3.5 euros gross per year for consumption below 200 cubic meters per year, and 8.3 euros gross for consumption above 200 cubic meters per year.</w:t>
        <w:br/>
        <w:t>2 See Article 2 Insurance Policy Contract, doc. no. 210 inspection index.</w:t>
      </w:r>
    </w:p>
    <w:p>
      <w:r>
        <w:t>BULLETIN NO. 50 OF DECEMBER 21, 2020 47</w:t>
        <w:br/>
        <w:t>28. Consumers not interested in activating the policy could express their desire not to participate by filling out a specific form, however, it was not available on the Company's website.</w:t>
        <w:br/>
        <w:t>29. During the inspection, the Company stated that it would accept any requests for withdrawal made in any form3.</w:t>
        <w:br/>
        <w:t>30. However, this last circumstance is contradicted by a communication sent by the professional to a client, which reads as follows: “Dear User, regarding the requests for Reporting hidden water loss for the services xxxxx and xxxxx registered to xxxx, we ask you whether these are requests for relief for water loss or if they are instead documentation filled out incorrectly to indicate the withdrawal from the insurance coverage using the loss report form instead of the withdrawal form? If it is a withdrawal from the insurance policy, the correct documentation must be sent, and therefore the form found inside your bill (emphasis added), while if it is two requests for relief for loss, we inform you that, according to Article 25 of the User Regulation, copies of the repair invoices from the technician must be attached or if the work was done in-house, photographic material related to the repair or the section affected by the loss must be attached; otherwise, the practice cannot be accepted”4.</w:t>
        <w:br/>
        <w:t>Practice B) The provision of ambiguous and misleading information regarding the activation of the policy, the omission of related information on the website, as well as the non-transparent methods by which the economic burdens of the policy were charged on the bill</w:t>
        <w:br/>
        <w:t>31. In September 2018, the company informed users of the activation of the policy by sending a notice - which also included the withdrawal form - attached to the bill. This notice was also sent to the administrators of condominium users, although the cost of the policy (from 4 to 8 euros per year5) was charged by ACA, in a single payment, to the individual condominium owners.</w:t>
        <w:br/>
        <w:t>32. The inspection revealed that, due to service disruptions by the postal courier, this notice was not delivered to all recipients. ACA, in this regard, stated that it had made a second sending of this documentation in order to inform all users of the activation of the insurance policy, without, however, verifying the actual receipt of the same by all users. The failure to deliver bills in 2018 is confirmed by the document titled “Report on financial results for the commercial area for the year 2018”6 and by the number of complaints made by citizens, as well as by notes received from the mayors of some municipalities7.</w:t>
        <w:br/>
        <w:t>33. During the same period in which the information regarding the subscription of the policy for hidden losses and the withdrawal form was sent to consumers, the Company noted a deterioration in the service of printing and mailing bills, which resulted in the non-delivery of numerous invoices.</w:t>
        <w:br/>
        <w:t>34. The “User Regulation” adopted by the Company, moreover, does not mention the insurance coverage in the event of a hidden loss, nor does the existence of this policy appear to be referenced on the professional's website8. In fact, information regarding the policy was found on the page</w:t>
        <w:br/>
        <w:t>3 Inspection process report of February 27, 2020.</w:t>
        <w:br/>
        <w:t>4 See doc. no. 94 index of inspection file</w:t>
        <w:br/>
        <w:t>5 Depending on water consumption, below or above 200 cubic meters.</w:t>
        <w:br/>
        <w:t>6 See doc. no. 81 Index of the inspection file.</w:t>
        <w:br/>
        <w:t>7 See doc. no. 102 index of the inspection file.</w:t>
        <w:br/>
        <w:t>8 Again, lastly, survey of April 30, 2020.</w:t>
      </w:r>
    </w:p>
    <w:p>
      <w:r>
        <w:rPr>
          <w:b/>
        </w:rPr>
        <w:t>[Pages 46–48]</w:t>
      </w:r>
    </w:p>
    <w:p>
      <w:r>
        <w:t>48 BULLETIN NO. 50 OF DECEMBER 21, 2020</w:t>
        <w:br/>
        <w:t>of the website dedicated to litigation (as indicated in the image below) only by conducting a word search using the string "search." Neither was the form to request the deactivation of the policy available on the website under the section related to corporate forms (where, instead, the forms for contractual changes can be found).</w:t>
        <w:br/>
        <w:t>35. The cost of the policy was included by the Professional under the heading "various charges/credits" in the box containing the summary of the amounts billed.</w:t>
        <w:br/>
        <w:t>36. Only on the last page of the bill, where the details of the items included under "various charges/credits" are listed, is there an indication of the charged amount, with the wording "insurance fee"9.</w:t>
        <w:br/>
        <w:t>9 See the bill attached to the report of March 23, 2020, prot. no. 28370.</w:t>
      </w:r>
    </w:p>
    <w:p>
      <w:r>
        <w:t>BULLETIN NO. 50 OF DECEMBER 21, 2020 49</w:t>
        <w:br/>
        <w:t>Practice C) The failure to respond to requests from consumers who requested not to activate the insurance policy and the failure to reverse the charged amounts as well as the delay in handling compensation requests</w:t>
        <w:br/>
        <w:t>37. Following the sending of the information to users regarding the activation of a policy for hidden losses, ACA received approximately 8,000 requests from users not to join the policy, regarding which the company recorded a significant delay in processing.</w:t>
        <w:br/>
        <w:t>38. In fact, it appears that during the period from July 2019 to February 2020, the Company had accepted about 3,500 requests, providing for the reimbursement of the charged amounts, and had rejected about 170, citing the main reason as "not the account holder"10.</w:t>
        <w:br/>
        <w:t>39. In particular, a report indicated that, one year after the charge in the bill for the insurance premium, the Company had not yet followed up on the requests for reversal of the insurance amount11.</w:t>
        <w:br/>
        <w:t>40. The delay in handling the reversal requests is also evident from the fact that, as of February 2020, about 500 requests submitted by consumers remained unresolved12.</w:t>
        <w:br/>
        <w:t>41. The insurance policy stipulates that, in the event of a hidden loss, the insured customer must repair the damage within, and no later than, 10 days from when they noticed the loss, report the circumstance to the company within 30 days from the due date of the bill on which the water loss is charged using a specific form, keep records and documentation of the repair, and allow the company's technicians to verify the fault and the repair.</w:t>
        <w:br/>
        <w:t>42. The policy specifications do not indicate any derogatory term with respect to the general rules on prescription, provided by the Civil Code for reporting the damage to the Company by the Contracting Company; however, in this regard, Article 12 of the general insurance conditions refers to the aforementioned Article 25 of the Regulation for user management to regulate the methods of reporting, settlement, and determination of the damage. This article provides that the user can submit a request for relief for the water loss suffered to ACA within "...6 months from the date of issuance of the bill containing the consumption affected by the fault."</w:t>
        <w:br/>
        <w:t>10 See doc. no. 121 index of the inspection file "ACA COMPLAINTS\WAIVER INSURANCE LOSS\WAIVER POLICY LOSS (JUL.2019-FEB.2020).xlsx."</w:t>
        <w:br/>
        <w:t>11 See communication of March 30, 2020, prot. no. 29709 in which the reporter highlighted that, even in the March 2020 bill, the reversal of the premium charged for the hidden loss insurance policy, requested – for the first time – in June 2019 and repeatedly urged, was not included.</w:t>
        <w:br/>
        <w:t>12 See the inspection report of February 27, 2020.</w:t>
      </w:r>
    </w:p>
    <w:p>
      <w:r>
        <w:t>50 BULLETIN NO. 50 OF DECEMBER 21, 2020</w:t>
        <w:br/>
        <w:t>43. As for the compensation requests received by ACA in the first year of the policy, these amount to approximately [omitted]* of which [omitted] have been accepted and [omitted] rejected ([omitted] for lack of proof of the repair carried out, [omitted] for the non-hidden nature of the loss, [omitted] for the minor extent of the increase in consumption; [omitted] for the expiration of the term, [omitted] for the unavailability of users for the inspection by ACA technicians). In the second year, ACA received [omitted] compensation requests, of which [omitted] accepted, [omitted] still to be processed; [omitted] rejected (of these [omitted] for lack of proof of the repair carried out, [omitted] for the non-hidden nature of the loss, [omitted] for expiration of the term, [omitted] for the minor extent of the increase in consumption, [omitted] for the unavailability of users for the inspection by ACA technicians).</w:t>
        <w:br/>
        <w:t>44. From the data provided by the insurance company ITAS, it was found that, as of May 28, 2020, a total of [omitted] claims had been reported, of which [omitted] in 2019 and [omitted] in 2020; [omitted] positions had already been settled, while [omitted] were still in processing and 1 position, instead, was closed without follow-up, due to erroneous double opening on the same request.</w:t>
        <w:br/>
        <w:t>45. The Company is aware that it has an operational structure that is undersized compared to the needs of managing user requests. In particular, regarding the Complaints Office, from reading an internal note from the Company dated June 13, 2018, the difficult situation in which it finds itself is evident: "once the Complaints and Litigation Office takes charge of the requests, it faces two problems, the first is given by the high number of requests compared to the number of staff (4 of which 2 temporary) and the difficulty of having checks in the field by the inspectors in a timely manner. (omitted. Today the complaints office is called to manage 160,000 users which will soon rise to 190,000"13.</w:t>
        <w:br/>
        <w:t>Practice D) The failure to adopt adequate and timely informative measures in the event of hidden losses</w:t>
        <w:br/>
        <w:t>46. The User Regulation adopted by the Professional governs the procedure for hidden losses. In particular, Article 25 of said Regulation provides that: "in the case of hidden post-meter losses, due to breaks in parts of the system that cannot be inspected which have generated consumption exceeding 30% compared to the historical average of the user, the same will apply to all consumption, upon request for relief for loss, the first tier of the water tariff attributed to the service in question." The cited article further specifies that the methods of repairing the system must be documented with photographic evidence and that, within the term (of six months) from the date of issuance of the bill containing the consumption affected by the fault, the request for relief must be submitted.</w:t>
        <w:br/>
        <w:t>47. In this regard, it is highlighted that the Company does not provide any alert system in the event of anomalous and high consumption compared to the average consumption of the user, for example, by notifying excessive consumption in the bill. Furthermore, both in the User Regulation and in the information regarding the management of hidden post-meter losses14, the Company repeatedly states that "the maintenance of internal systems is the responsibility of each customer, the responsibility for the consequences arising from any water loss lies with the same" and that "in the event that the Customer notices anomalous consumption, they must report the circumstance by filling out the appropriate form."</w:t>
        <w:br/>
        <w:t>* In this version, some data are omitted, as elements of confidentiality or secrecy of the information were deemed to exist.</w:t>
        <w:br/>
        <w:t>13 See doc. no. 101 index of the inspection file "note resolution 655/2015/R/IDR Current situation."</w:t>
        <w:br/>
        <w:t>14 See doc. no. 175 index of the inspection file.</w:t>
      </w:r>
    </w:p>
    <w:p>
      <w:r>
        <w:rPr>
          <w:b/>
        </w:rPr>
        <w:t>[Pages 49–51]</w:t>
      </w:r>
    </w:p>
    <w:p>
      <w:r>
        <w:t>BULLETIN NO. 50 OF DECEMBER 21, 2020 51</w:t>
        <w:br/>
        <w:t>3) The defensive arguments of ACA</w:t>
        <w:br/>
        <w:t>48. The Professional presented its defensive arguments during the proceedings. First of all, ACA pointed out that the need for insurance coverage was felt by the administrative body as the issue concerning hidden losses within private property has always represented a problem for users, also due to the fact that the distribution networks serving private properties have undergone urban expansion that has not always been attentive to the issues related to the protection and enhancement of distribution networks.</w:t>
        <w:br/>
        <w:t>49. For these reasons, ACA stated that, wanting to meet the needs of users, by entering into the insurance policy it intended to guarantee and offer users a useful service for the facilitated recalculation of consumption in the event of hidden losses of drinking water occurring post-meter (certainly not attributable to the service provided by the managing entity, responsible and custodian of only the section upstream of the meters).</w:t>
        <w:br/>
        <w:t>50. The Company then specified that a specific notice titled “Management of Hidden Water Losses Post Meter” was sent to all users, attached to the first useful invoice issued for each user, starting from October 2018. The Company also provided to attach to the notice a “Form for Reporting Hidden Losses” to be used in case of actual leakage and a “Form for Waiving Insurance Coverage”.</w:t>
        <w:br/>
        <w:t>51. ACA also stated that it had informed users of the activation of the insurance policy through its corporate website.</w:t>
        <w:br/>
        <w:t>52. Finally, with the concluding memorandum received on July 28, 2020, the Company rejected all objections raised at the outset.</w:t>
        <w:br/>
        <w:t>53. In particular, the Professional contested that the activation of the policy by the same company could constitute the case referred to in Article 65 of the Consumer Code, as it would not be an ancillary service to the contractual obligation – to the benefit of the professional – but rather an advantage for the consumer.</w:t>
        <w:br/>
        <w:t>54. Also with reference to the objection concerning the lack of information regarding the activation of the policy, the Company stated that it had fulfilled the informational obligation adequately, with the consequence that no objection pursuant to Article 22 of the Consumer Code could be attributed to it.</w:t>
        <w:br/>
        <w:t>55. Regarding the failure to respond to requests for refunds and complaints submitted by consumers, the Company also noted that the time taken to process the requests is a factor solely related to the internal organization of the offices, which is not subject to scrutiny by the Authority. Moreover, the Company pointed out that the alleged delay in managing the requests would have no detrimental economic impact on the consumer. The delays in managing the requests would also have been due to the health emergency, which would have exacerbated the internal situation of the company.</w:t>
        <w:br/>
        <w:t>56. Finally, the Company noted that in the bills, since 2018, in addition to the consumption graph of the individual user, in the box titled “Communications,” the following warning is reported:</w:t>
      </w:r>
    </w:p>
    <w:p>
      <w:r>
        <w:t>52 BULLETIN NO. 50 OF DECEMBER 21, 2020</w:t>
        <w:br/>
        <w:t>57. Lastly, the Company, without any acknowledgment, even implicit, of responsibility on its part regarding the contested conduct, communicated that it had adopted some measures, such as:</w:t>
        <w:br/>
        <w:t>1) the inclusion, directly on the homepage of its website, of an area dedicated to the policy for hidden losses, where users can find all the information related to it, including the form (already sent by ACA in 2018 to users in paper form along with the notice) for the “waiver of coverage for additional costs/consumption due to hidden water losses,” as well as the forms for requesting refunds of amounts paid and the one for the “reporting of hidden water loss”;</w:t>
        <w:br/>
        <w:t>2) the maintenance in the bill of the alert containing a personalized message for each user in cases where, in reference to the historical average of consumption, an anomalous consumption occurs, thus prompting the user to check their internal system to address any hidden losses;</w:t>
        <w:br/>
        <w:t>3) the inclusion, in the pre-filled waiver form for the policy available online, of the following note, as per the reproduced model:</w:t>
        <w:br/>
        <w:t>“Note: The waiver of the policy entitles the user to receive a refund of any amount already charged. This waiver may be submitted at any time and in writing in the manner indicated above. This is not permitted if the waiving user has already benefited from compensation covering the claim. In the event of a waiver of the policy, the possibility of requesting compensation for claims occurring during the coverage period of the same will not be allowed.”</w:t>
        <w:br/>
        <w:t>IV. OPINION OF THE REGULATORY AUTHORITY for Energy Networks and Environment</w:t>
        <w:br/>
        <w:t>58. Since the commercial practice subject to this provision concerns the water sector, on August 17, 2020, an opinion was requested from the Regulatory Authority for Energy Networks and Environment (hereinafter ARERA), pursuant to and for the effects of Article 27, paragraph 1 bis, of the Consumer Code, introduced by Article 1, paragraph 6, letter a), of Legislative Decree No. 21/2014.</w:t>
        <w:br/>
        <w:t>59. With the opinion received on September 17, 2020, the aforementioned Authority preliminarily clarified that its evaluations do not enter into the merits of any non-compliance with the provisions of the Consumer Code, but contribute to reconstructing the contextual elements, signaling the existence of a regulation of the Authority directly applicable and whether it has been complied with in the specific case.</w:t>
        <w:br/>
        <w:t>Conducts sub A) and sub B)</w:t>
        <w:br/>
        <w:t>60. Regarding the conducts sub A) and sub B), concerning the issue of hidden losses, ARERA finds it useful to point out that, based on the current legislation and regulation, the integrated water service manager is responsible for the functioning of the infrastructures and networks only up to the meter, while the user is responsible for the system downstream of the meter. In this context, ARERA specifies that the regulation does not impose any legal obligation on the manager to bear, in whole or in part, the costs associated with malfunctions or failures of private systems –</w:t>
      </w:r>
    </w:p>
    <w:p>
      <w:r>
        <w:t>BULLETIN NO. 50 OF DECEMBER 21, 2020 53</w:t>
        <w:br/>
        <w:t>including any hidden losses that may occur in the system downstream of the meter – and does not provide mechanisms for recovering the costs associated with such activities.</w:t>
        <w:br/>
        <w:t>61. ARERA highlights that, in various management contexts, systems have been implemented aimed at addressing the issue in question with a view to protecting users, sometimes by activating voluntary collective insurance to which each user could subscribe, sometimes by providing specific forms of relief for billing consumption when losses are detected. These initiatives are generally aimed at ensuring greater protection for end users who may lack insurance coverage (which can still always be activated by the diligent user to cover themselves from the risk of failures of their system), without prejudice to the contractual terms of the matter and the related responsibilities.</w:t>
        <w:br/>
        <w:t>62. Therefore, ARERA observes that there is no regulation applicable to the activation of insurance coverage for hidden losses, while there is a discipline regarding communications to users.</w:t>
        <w:br/>
        <w:t>63. On this last aspect, ARERA also states that in the specific case certain profiles seem to emerge that are not fully consistent with the aforementioned regulatory provisions, particularly with reference to the inclusion, by the Manager, of a reason not within the Summary Table/Amount Summary – and therefore not immediately readable for the user – but rather on the last page of the billing document, with a wording (“insurance fee”) that is not complete and exhaustive, as it completely lacks any reference to hidden losses, which is the reason why the insurance coverage was activated.</w:t>
        <w:br/>
        <w:t>Conduct sub C)</w:t>
        <w:br/>
        <w:t>64. Regarding the contested conduct sub C), related to the failure to respond to requests for withdrawal and refunds of the amounts charged for the payment of the policy, as well as the delay in managing requests for recalculation of invoices in case of hidden losses, ARERA preliminarily highlights the various regulatory profiles15 that come into play for the conducts under examination. In particular, ARERA points out that it has regulated the methods and timing of responses to complaints, the minimum content of the response to be provided to the user in case of service disruption, and the times for correcting billing for amounts not due.</w:t>
        <w:br/>
        <w:t>65. According to ARERA, based on the documentation attached to the request for an opinion, the conducts carried out by ACA cannot be framed within the compliance with the aforementioned regulatory provisions.</w:t>
        <w:br/>
        <w:t>66. Finally, regarding the failure to process requests for correction/recalculation of billing, ARERA highlighted that a significant volume of requests emerges for which the Manager must necessarily verify the existence of the requirements, communicating this to the interested users, for the payment of automatic compensation pursuant to the cited regulatory provisions. In this regard, ARERA highlights that ACA in the “Measures for the implementation of the insurance coverage service for hidden losses” did not find it appropriate to illustrate, even with reference to the only issue of hidden losses, any type of corrective action for a more timely management of the requests still pending, despite the organizational difficulties highlighted by the Manager itself.</w:t>
        <w:br/>
        <w:t>Conduct sub D)</w:t>
        <w:br/>
        <w:t>67. Regarding the conduct sub D), ARERA reiterates that the coverage of hidden losses in the private section of the system is not currently subject to regulatory intervention by the Authority.</w:t>
        <w:br/>
        <w:t>15 See resolution December 23, 2015, 655/2015/R/water and the related Annex A (RQSII), containing “Regulation of the contractual quality of the integrated water service or of each of the individual services that compose it.”</w:t>
      </w:r>
    </w:p>
    <w:p>
      <w:r>
        <w:rPr>
          <w:b/>
        </w:rPr>
        <w:t>[Pages 52–54]</w:t>
      </w:r>
    </w:p>
    <w:p>
      <w:r>
        <w:t>54 BULLETIN NO. 50 OF DECEMBER 21, 2020</w:t>
        <w:br/>
        <w:t>Nevertheless, the Authority, with resolution of June 18, 2019, 242/2019/A, titled "Strategic Framework 2019-2021 of the Regulatory Authority for Energy, Networks and Environment," has provided for regulating the effects resulting from delays in identifying any hidden losses.</w:t>
      </w:r>
    </w:p>
    <w:p>
      <w:r>
        <w:t>68. In this regard, ARERA deems it appropriate to finally highlight that Article 25 of the User Management Regulation, attached to the documentation submitted, provides that “[...] the request for relief for post-meter loss may be submitted to ACA S.p.A. no later than 6 (six) months from the date of issuance of the bill containing the consumption affected by the fault.” The same Regulation also provides, in Article 42 (Communications and Complaints), that “[...] any opposition that the user deems necessary to make regarding billing must be presented to the Company within the payment deadline indicated in the bill itself.” The aforementioned provision seems to result in a compression of the rights of the user compared to the existing legislative and regulatory provisions (which, moreover, do not provide a deadline for submitting a complaint to the Manager).</w:t>
      </w:r>
    </w:p>
    <w:p>
      <w:r>
        <w:t>69. Following the reopening of the investigative phase, on October 30, 2020, a request for an opinion was again made to the regulatory Authority, pursuant to and for the effects of Article 27, paragraph 1 bis, of the Consumer Code, introduced by Article 1, paragraph 6, letter a), of Legislative Decree No. 21/2014.</w:t>
      </w:r>
    </w:p>
    <w:p>
      <w:r>
        <w:t>70. In the opinion received on November 18, 2020, ARERA fully confirmed the observations already expressed in the opinion issued on September 17, 2020, and briefly reported in the previous paragraphs.</w:t>
      </w:r>
    </w:p>
    <w:p>
      <w:r>
        <w:t>V. CONCLUDING ASSESSMENTS</w:t>
        <w:br/>
        <w:t>71. The acquired elements confirm the existence of the conduct contested against the Professional at the time of initiation.</w:t>
      </w:r>
    </w:p>
    <w:p>
      <w:r>
        <w:t>72. As a preliminary matter, it is appropriate to highlight that during the inspection assessment, a corporate situation characterized by a serious delay in managing user requests emerged. The Company, in fact, lacks a computerized management system, and the processing of user requests is carried out manually. This situation has, in fact, led, over the years and well before the occurrence of the ongoing health emergency, to the accumulation of a significant backlog and the consequent delays in processing the same requests and in responding to customers.</w:t>
      </w:r>
    </w:p>
    <w:p>
      <w:r>
        <w:t>73. In this context, the conduct of the Professional must be evaluated in relation to the individual contested cases.</w:t>
      </w:r>
    </w:p>
    <w:p>
      <w:r>
        <w:t>Practice A) Automatic activation of insurance coverage for hidden water losses</w:t>
        <w:br/>
        <w:t>74. The behavior of the Professional reported by users, consisting of the automatic activation, through the opt-out formula, of the policy for insurance against hidden water losses, leaving the burden on the user to withdraw from it only in writing, using a specific form, which is not available on the Company's website, is confirmed by the investigative findings and by what the Company itself stated in its defense memorandum.</w:t>
      </w:r>
    </w:p>
    <w:p>
      <w:r>
        <w:t>75. The Professional admitted that the automatic activation of the policy is the result of a precise corporate choice, as it was the subject of a resolution by the Board of Directors. Furthermore, in the same contract concluded with the insurance company, the automatic activation of the policy is expressly provided as a method of adhesion for end users.</w:t>
      </w:r>
    </w:p>
    <w:p>
      <w:r>
        <w:t>76. This conduct has been viewed unfavorably by the legislator as, with this behavior, the Professional prevents the user from evaluating the merits of the commercial proposal before adhering to it and from expressing informed consent to the activation of the offered service.</w:t>
      </w:r>
    </w:p>
    <w:p>
      <w:r>
        <w:t>BULLETIN NO. 50 OF DECEMBER 21, 2020 55</w:t>
        <w:br/>
        <w:t>77. In fact, Article 65 of the Consumer Code expressly provides that “Before the consumer is bound by the contract or the offer, the professional must request the express consent of the consumer for any additional payment beyond the agreed remuneration for the professional's main contractual obligation. If the professional does not obtain the express consent of the consumer but has inferred it using pre-established options that the consumer must refuse to avoid the additional payment, the consumer is entitled to a refund of that payment.”</w:t>
      </w:r>
    </w:p>
    <w:p>
      <w:r>
        <w:t>78. The rationale of the provision is thus to protect the consumer's freedom of self-determination, which is compromised when the expression of express consent to a proposal from the professional regarding any type of additional payment is not required for the establishment of the obligation. The legislator, therefore, has established, with this provision, the prohibition of the commonly referred to opt-out tool, in favor of the opposite opt-in system, deemed, for obvious reasons, to be more respectful of the consumer's autonomy of choice.</w:t>
      </w:r>
    </w:p>
    <w:p>
      <w:r>
        <w:t>79. In the case at hand, the Professional instead activated an insurance policy for hidden losses without having previously requested the consumer's consent. The accessory nature of the insurance policy concerning the water service provided by the Professional is evident from the very object of the insurance coverage; in fact, it is a policy closely connected and functional to the provision of the water resource service and constitutes a supplementary and ancillary service with respect to the main contract, usable with the related request for an additional payment made, precisely, through the application of a typical opt-out clause.</w:t>
      </w:r>
    </w:p>
    <w:p>
      <w:r>
        <w:t>80. Also in light of the opinion expressed by the regulatory Authority, the general principle applies according to which the professional who adopts a measure favorable to the consumer, within the consumer relationship established with the customer, must still respect the rules of fairness and transparency to allow the latter to make informed commercial choices.</w:t>
      </w:r>
    </w:p>
    <w:p>
      <w:r>
        <w:t>81. Therefore, within the framework of the regulatory and factual reconstruction outlined above, the automatic activation of such policies linked to the supply contract of the integrated water service is in contrast with the provision of Article 65 of the Consumer Code, pursuant to which the professional must request the express consent of the consumer before binding them to a contract or an offer that results in an additional payment.</w:t>
      </w:r>
    </w:p>
    <w:p>
      <w:r>
        <w:t>82. In this regard, it is worth highlighting that the Authority16 has previously criticized similar activation methods based on tacit consent as, most of the time, the consumer is, in fact, subjected to the activation of a service that remains active unless they proceed to deactivate it, also due to the lack of information from the professional regarding the deactivation methods. Therefore, the automatic activation formula is inherently unfair, under the provisions of the Consumer Code, which finds no possibility of recognition even in the face of a conduct by the professional aimed at ensuring full awareness of the activation of the service, as well as the deactivation methods. The latter circumstance has certainly not occurred in this case.</w:t>
      </w:r>
    </w:p>
    <w:p>
      <w:r>
        <w:t>Practice B) The provision of ambiguous and misleading information regarding the activation of the policy, the omission of related information on the website, as well as the non-transparent methods by which the economic charges of the policy were billed</w:t>
        <w:br/>
        <w:t>83. As emerged from the investigative findings, the Professional claimed to have provided users with adequate information regarding the activation of the policy, attaching to the bill a communication and the form to request the deactivation of the policy.</w:t>
      </w:r>
    </w:p>
    <w:p>
      <w:r>
        <w:t>16 Provision No. 26212 of October 4, 2016.</w:t>
      </w:r>
    </w:p>
    <w:p>
      <w:r>
        <w:t>56 BULLETIN NO. 50 OF DECEMBER 21, 2020</w:t>
        <w:br/>
        <w:t>84. Upon closer examination, it is noted that the inclusion in the bill of a sheet, moreover, on the last pages of the bill itself, does not appear to be a suitable method to inform consumers about the activation of this new service.</w:t>
      </w:r>
    </w:p>
    <w:p>
      <w:r>
        <w:t>85. Additionally, the Professional charged the policy premium under the generic item "various charges" and only specified, on the last page of the bill, that among those charges was also included the amount of the policy. This method of informing is also evidently not suitable to allow users to immediately realize that the Professional has charged them the policy premium.</w:t>
      </w:r>
    </w:p>
    <w:p>
      <w:r>
        <w:t>86. Moreover, the existence of this policy is not mentioned on the Company's website, and the insurance contract concluded by ACA with ITAS Mutua Assicuratrice is not easily accessible on the website17. Another element of omission and unfairness is the lack, also on the Professional's website, – under the forms section – of the specific form for non-adherence to the policy; this circumstance tends to reinforce in the consumer the mandatory nature of the policy and to discourage renunciation of it.</w:t>
      </w:r>
    </w:p>
    <w:p>
      <w:r>
        <w:t>87. The Professional, therefore, has not fulfilled the informational burden in a manner suitable to allow consumers a comprehensive understanding of it either at the time of the activation of the insurance policy or during the supply relationship.</w:t>
      </w:r>
    </w:p>
    <w:p>
      <w:r>
        <w:t>88. The aforementioned inadequate methods chosen by the Professional to inform consumers about the activation and existence of an insurance policy for hidden losses, overall, demonstrate its intention not to correctly and exhaustively disclose information regarding the existence of the insurance policy itself. Moreover, by omitting any information about the functioning of the policy, users will undoubtedly encounter difficulties in benefiting from it in the event of a hidden loss and in collecting the related compensation.</w:t>
      </w:r>
    </w:p>
    <w:p>
      <w:r>
        <w:t>89. The inadequate awareness of the insurance coverage, preliminary to the consumer's adherence, therefore entails the concrete risk that the insured user, upon the occurrence of a hidden loss, does not benefit from the guarantee because they are unaware of it or are unable to easily find the contractual information on the service provider's website18.</w:t>
      </w:r>
    </w:p>
    <w:p>
      <w:r>
        <w:t>90. These significant informational omissions do not allow the consumer to become aware of the existence of an insurance coverage, as well as the amount of the related annual premium. The Professional, in fact, does not provide adequate information about the existence of the policy and its functioning, as well as the methods of activation and withdrawal through the most commonly used channel among consumers, which is the internet and, in particular, through its own website, which the consumer presumably turns to first in case of need.</w:t>
      </w:r>
    </w:p>
    <w:p>
      <w:r>
        <w:t>91. To exacerbate the aforementioned informational deficiencies, during the period of the policy's activation, there was a mishap with the company responsible for mailing the bills, as emerged from the investigative findings, which resulted in the non-delivery of the bills themselves and the attached information.</w:t>
      </w:r>
    </w:p>
    <w:p>
      <w:r>
        <w:t>92. The Professional, while aware of the non-delivery of the bills to users, failed to provide adequate information to consumers regarding the existence of the policy in question, having limited itself to making a second sending to users who presumably had not received the invoices, without, however, verifying the actual receipt of the documentation by all users.</w:t>
      </w:r>
    </w:p>
    <w:p>
      <w:r>
        <w:t>17 The Directorate found the contract in question only by typing the name of the company ACA and the text "insurance policy for hidden loss" into the search engine.</w:t>
      </w:r>
    </w:p>
    <w:p>
      <w:r>
        <w:t>18 The policy appears on the website on the page dedicated to disputes while the form to request non-activation and possible termination of it is not reported.</w:t>
      </w:r>
    </w:p>
    <w:p>
      <w:r>
        <w:rPr>
          <w:b/>
        </w:rPr>
        <w:t>[Pages 55–57]</w:t>
      </w:r>
    </w:p>
    <w:p>
      <w:r>
        <w:t>BULLETIN NO. 50 OF DECEMBER 21, 2020 57</w:t>
        <w:br/>
        <w:t>93. The same Regulatory Authority has noted the inadequacy of the communication methods adopted by the Professional regarding the charge in the bill for the amount provided for the insurance policy in question.</w:t>
        <w:br/>
        <w:t xml:space="preserve">94. The conduct described above therefore constitutes an unfair commercial practice, pursuant to Article 22 of the Consumer Code. </w:t>
        <w:br/>
        <w:t>Practice C) The failure to respond to requests from consumers who have requested not to activate the insurance policy and the failure to reverse the charged amounts as well as the delay in managing compensation requests</w:t>
        <w:br/>
        <w:t>95. The investigative findings have demonstrated the significant delay accumulated by the Company in managing complaints and in responding to requests for the reversal of the amount charged for the insurance policy, creating an evident obstacle to the exercise of consumers' right of withdrawal. Such delays are attributable to negligence and inadequate organizational measures to manage relationships with its clientele. In light of a user base of several hundred thousand consumers, the office that manages customer relations has proven unable to respond promptly to user requests, as admitted by the professional himself.</w:t>
        <w:br/>
        <w:t>96. In particular, the manual and non-digitized management of consumer requests makes the execution of this work even slower and more difficult. The Company’s operators are not aware of the extent of the delay and the number of requests to be processed, except from the pile of paper documents present in the offices. The investigative findings, on the other hand, highlight that, even if with considerable delay, the Company seems to accept the complaints and reversals made.</w:t>
        <w:br/>
        <w:t>97. The management of requests for activation of the insurance policy for hidden losses is also characterized by a chronic delay in their processing. In particular, data provided by the two companies show a significant difference between the claims settled by the insurance company and the pending requests at ACA for the years 2019 – 2020, once again confirming how the latter manages user requests in an absolutely inadequate manner and thus hinders the recognition of a reversal in case of hidden losses.</w:t>
        <w:br/>
        <w:t>98. The exception raised by the Company regarding the non-reviewability of the internal organization of the offices cannot be accepted. In fact, since commercial practices are relevant from an objective point of view, the inadequate management of reversal requests and compensation requests is nonetheless assessable in light of the principles set forth by the Consumer Code, even if they depend on factors internal to the company.</w:t>
        <w:br/>
        <w:t>99. Moreover, the non-compliance of ACA's conduct with the regulatory parameters regarding the timing of responses to consumer requests has been noted by ARERA itself.</w:t>
        <w:br/>
        <w:t xml:space="preserve">100. In this case, the delay in processing consumer requests has nonetheless created an obstacle to the exercise of their rights, in violation of Articles 24 and 25 of the Consumer Code. </w:t>
        <w:br/>
        <w:t>Practice D) The failure to adopt adequate and timely informative measures in case of hidden losses</w:t>
        <w:br/>
        <w:t>101. With regard to this last practice, the User Regulation provides, regarding the recognition and management of hidden losses, as a compensatory measure, the application to all consumption - including that caused by the hidden loss - of the basic water tariff provided (first tier), with the reversal of any amounts paid as a surcharge for high consumption exceeding the average.</w:t>
        <w:br/>
        <w:t>102. In this case, the Manager, pursuant to the User Regulation and the information on the management of hidden losses, places the burden on the user to monitor and report abnormal consumption and provides, as the only form of relief, the application of a lower tariff compared to that applicable in the event of high consumption. Additionally, the Professional has failed to adopt clear and effective alert or warning measures for consumers, allowing them to act promptly for damage repair and to limit involuntary consumption. This circumstance entails the risk that a potential loss situation may persist and, in this way, increase involuntary water consumption. In this regard, a terse notice in a box on the bill cannot be deemed sufficient to alert the consumer to the existence of a hidden loss in the private system.</w:t>
        <w:br/>
        <w:t>103. That said, it is highlighted that, while it is true that the consumer is required to maintain their water system in perfect condition to avoid dispersion and loss of the water resource, it is equally true that the professional is the only one capable of detecting the presence of a hidden water loss, through the periodic acquisition of consumption data and the verification of any anomalies.</w:t>
        <w:br/>
        <w:t>104. In this regard, ARERA itself has noted that in the procedure dictated by ACA in case of hidden losses, the Company has adopted measures suitable to compress the rights of users.</w:t>
        <w:br/>
        <w:t>105. For this reason, the conduct in question constitutes an unfair commercial practice in violation of Article 20 of the Consumer Code, since the Professional - adopting the diligence required of a monopolist providing an essential service such as water supply - should have equipped itself with tools and an organization suitable to efficiently fulfill the service.</w:t>
        <w:br/>
        <w:t>VI. QUANTIFICATION OF THE SANCTION</w:t>
        <w:br/>
        <w:t>106.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107. In the case of a procedure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judgment of January 19, 2012, no. 209).</w:t>
        <w:br/>
        <w:t>108.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109. Regarding the severity of the violation, consideration is given in the case at hand, in particular, to the severity of the violation, the efforts made by the company to eliminate or mitigate the infringement, the personality of the agent, as well as the economic conditions of the company itself.</w:t>
        <w:br/>
        <w:t>110. Specifically, the role of the Professional is taken into account, who, being the monopolistic manager of a service providing an essential good such as water, is required to a higher standard of diligence than the ordinary one.</w:t>
        <w:br/>
        <w:t>111. With reference to the severity of the violations, consideration is given in the case at hand: i) to the nature of the infringements, all characterized by a high degree of offensiveness; ii) to the extent of the economic harm caused to consumers by the commercial practices in question, consisting of the request for payment of amounts related to an insurance service activated without the consumer's consent; iii) to the contractual weakness of users compared to the prevailing position of the professional.</w:t>
      </w:r>
    </w:p>
    <w:p>
      <w:r>
        <w:t>BULLETIN NO. 50 OF DECEMBER 21, 2020 59</w:t>
        <w:br/>
        <w:t>112. With specific reference to practice A), not only the incorrect methods inherent in the automatic activation of an ancillary service related to the provision of the water service are relevant, but especially the impact of this practice that has affected the generality of users of said service.</w:t>
        <w:br/>
        <w:t>113. Regarding practice B), the harm resulting from the Professional's conduct is relevant, consisting of the omitted information provided to customers regarding the activation of the policy, despite the awareness that this information had not reached all recipients.</w:t>
        <w:br/>
        <w:t>114. With reference to practice C), the economic harm resulting from the imposition of obstacles to the recognition of requests for reversal of arbitrarily charged amounts and the failure to manage and/or delayed response to compensation requests submitted by consumers is significant.</w:t>
        <w:br/>
        <w:t>115. Regarding practice D), the failure to apply a procedure for managing hidden losses is relevant, which has led, in many cases, to the request for payment of volumes of water not corresponding to voluntary consumption by users.</w:t>
        <w:br/>
        <w:t>116. Regarding the duration of the violations, from the elements acquired in the records, it appears that the conduct described above has been carried out by ACA since September 2018 and is still ongoing.</w:t>
        <w:br/>
        <w:t>117. Based on these elements, it is deemed appropriate to determine the base amount of the administrative pecuniary sanction applicable to A.C.A. Azienda Comprensoriale Acquedottistica S.p.A. for practice A) in the amount of €125,000 (one hundred twenty-five thousand euros).</w:t>
        <w:br/>
        <w:t>118. Based on these elements, it is deemed appropriate to determine the base amount of the administrative pecuniary sanction applicable to A.C.A. Azienda Comprensoriale Acquedottistica S.p.A. for practice B) in the amount of €80,000 (eighty thousand euros).</w:t>
        <w:br/>
        <w:t>119. Based on these elements, it is deemed appropriate to determine the base amount of the administrative pecuniary sanction applicable to A.C.A. Azienda Comprensoriale Acquedottistica S.p.A. for practice C) in the amount of €125,000 (one hundred twenty-five thousand euros).</w:t>
        <w:br/>
        <w:t>120. Based on these elements, it is deemed appropriate to determine the base amount of the administrative pecuniary sanction applicable to A.C.A. Azienda Comprensoriale Acquedottistica S.p.A. for practice D) in the amount of €60,000 (sixty thousand euros).</w:t>
        <w:br/>
        <w:t>121. Finally, considering the economic situation of the Professional, who has been in preventive agreement since 2016, it is deemed appropriate to determine the amount of the administrative pecuniary sanction applicable to A.C.A. Azienda Comprensoriale Acquedottistica S.p.A. for each individual practice according to the following amounts:</w:t>
        <w:br/>
        <w:t>- for practice A) in the amount of €100,000 (one hundred thousand euros);</w:t>
        <w:br/>
        <w:t>- for practice B) in the amount of €64,000 (sixty-four thousand euros);</w:t>
        <w:br/>
        <w:t>- for practice C) in the amount of €100,000 (one hundred thousand euros);</w:t>
        <w:br/>
        <w:t>- for practice D) in the amount of €48,000 (forty-eight thousand euros).</w:t>
        <w:br/>
        <w:t>CONSIDERED, therefore, also in light of the opinion of the competent Regulatory Authority based on the aforementioned considerations, that the commercial practices in question are in violation of Articles 65, 20, 22, 24, and 25 of the Consumer Code, as they are contrary to legal norms and professional diligence as well as suitable, through the omissions made and the imposition of obstacles to the exercise of users' contractual rights, to appreciably distort the economic behavior of the average consumer in relation to the service offered by the professional;</w:t>
      </w:r>
    </w:p>
    <w:p>
      <w:r>
        <w:rPr>
          <w:b/>
        </w:rPr>
        <w:t>[Pages 58–60]</w:t>
      </w:r>
    </w:p>
    <w:p>
      <w:r>
        <w:t>60 BULLETIN NO. 50 OF DECEMBER 21, 2020</w:t>
        <w:br/>
        <w:t>RESOLUTION</w:t>
        <w:br/>
        <w:t>a) that the conduct described in point II, letter A), of this provision, carried out by the company A.C.A. Azienda Comprensoriale Acquedottistica S.p.A. constitutes, for the reasons and within the limits set out in the motivation, a violation, pursuant to Article 65 of the Consumer Code, and prohibits its dissemination or continuation;</w:t>
        <w:br/>
        <w:t>b) that the conduct described in point II, letter B), of this provision, carried out by the company A.C.A. Azienda Comprensoriale Acquedottistica S.p.A. constitutes, for the reasons and within the limits set out in the motivation, a violation, pursuant to Article 22 of the Consumer Code, and prohibits its dissemination or continuation;</w:t>
        <w:br/>
        <w:t>c) that the conduct described in point II, letter C), of this provision, carried out by the company A.C.A. Azienda Comprensoriale Acquedottistica S.p.A. constitutes, for the reasons and within the limits set out in the motivation, a violation, pursuant to Articles 24 and 25 of the Consumer Code, and prohibits its dissemination or continuation;</w:t>
        <w:br/>
        <w:t>d) that the conduct described in point II, letter D), of this provision, carried out by the company A.C.A. Azienda Comprensoriale Acquedottistica S.p.A. constitutes, for the reasons and within the limits set out in the motivation, a violation, pursuant to Article 20 of the Consumer Code, and prohibits its dissemination or continuation;</w:t>
        <w:br/>
        <w:t>e) to impose on the company A.C.A. Azienda Comprensoriale Acquedottistica S.p.A., for the practice under A), an administrative pecuniary sanction of €100,000 (one hundred thousand euros);</w:t>
        <w:br/>
        <w:t>f) to impose on the company A.C.A. Azienda Comprensoriale Acquedottistica S.p.A., for the practice under B), an administrative pecuniary sanction of €64,000 (sixty-four thousand euros);</w:t>
        <w:br/>
        <w:t>g) to impose on the company A.C.A. Azienda Comprensoriale Acquedottistica S.p.A., for the practice under C), an administrative pecuniary sanction of €100,000 (one hundred thousand euros);</w:t>
        <w:br/>
        <w:t>h) to impose on the company A.C.A. Azienda Comprensoriale Acquedottistica S.p.A., for the practice under D), an administrative pecuniary sanction of €48,000 (forty-eight thousand euros);</w:t>
        <w:br/>
        <w:t>i) that the professional shall communicate to the Authority, within sixty days from the notification of this provision, the initiatives taken in compliance with the injunctions referred to in points a), b), c), and d).</w:t>
        <w:br/>
        <w:t>The administrative sanctions imposed must be paid within thirty days from the notification of this provision, using the tax codes indicated in the attached F24 model with identifying elements, pursuant to Legislative Decree No. 241/1997.</w:t>
        <w:br/>
        <w:t>Payment must be made electronically by debiting one's bank or postal account, through the home banking and CBI services provided by banks or Poste Italiane S.p.A., or by using the telematic services of the Revenue Agency, available on the website www.agenziaentrate.gov.it.</w:t>
      </w:r>
    </w:p>
    <w:p>
      <w:r>
        <w:t>BULLETIN NO. 50 OF DECEMBER 21, 2020 61</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Antitrust Authority.</w:t>
        <w:br/>
        <w:t>Pursuant to Article 27, paragraph 12, of the Consumer Code, in case of non-compliance with the provision, the Authority applies an administrative pecuniary sanction from €10,000 to €5,000,000.</w:t>
        <w:br/>
        <w:t>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of July 2, 2010, No. 104), within sixty days from the date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Filippo Arena Roberto Rustichelli</w:t>
      </w:r>
    </w:p>
    <w:p>
      <w:r>
        <w:t>62 BULLETIN NO. 50 OF DECEMBER 21, 2020</w:t>
        <w:br/>
        <w:t>IP334 - UNILIBRO-SAVINGS FUNCTION</w:t>
        <w:br/>
        <w:t>Provision No. 28475</w:t>
        <w:br/>
        <w:t>THE ANTITRUST AUTHORITY</w:t>
        <w:br/>
        <w:t>IN ITS MEETING of December 1, 2020;</w:t>
        <w:br/>
        <w:t>HEARD the Rapporteur, Professor Michele Ainis;</w:t>
        <w:br/>
        <w:t>VIEWED Part II, Title III, of Legislative Decree No. 206 of September 6, 2005, and subsequent amendments (hereinafter, Consumer Code);</w:t>
        <w:br/>
        <w:t>VIEWED, in particular, Article 27, paragraph 12, of the Consumer Code, according to which in case of non-compliance with urgent provisions or those prohibiting or removing effects, the Authority applies an administrative pecuniary sanction from €10,000 to €5,000,000 and, in cases of repeated non-compliance, the Authority may order the suspension of business activity for a period not exceeding thirty days;</w:t>
        <w:br/>
        <w:t>VIEWED Law No. 689 of November 24, 1981;</w:t>
        <w:br/>
        <w:t>VIEWED its resolution of October 1, 2019, No. 27937, with which the Authority, within the framework of procedure PS11392, ascertained, among other things, the unfairness of a commercial practice carried out by the company Mailtrade S.r.l. consisting of providing misleading information on the delivery times of goods not available in stock, indicated as 3/5 days while, in reality, such delivery could occur well beyond that timeframe, in violation of Article 21, paragraph 1, letter b), of the Consumer Code;</w:t>
        <w:br/>
        <w:t>VIEWED its resolution of August 4, 2020, No. 28332, with which the Authority contested to Mailtrade S.r.l. the violation of Article 27, paragraph 12, of the Consumer Code, for failing to comply with the aforementioned resolution of October 1, 2019, No. 27937;</w:t>
        <w:br/>
        <w:t>VIEWED the documents of the procedure;</w:t>
        <w:br/>
        <w:t>CONSIDERED the following:</w:t>
        <w:br/>
        <w:t>I. PREMISE</w:t>
        <w:br/>
        <w:t>1. With the provision of October 1, 2019, No. 27937, the Authority ascertained that Mailtrade S.r.l. promoted the sale of goods also not present in stock by specifying, on the page that returned the results of a search, their availability within a short timeframe through the wording "available in x days." On the detail page of the individual product, the previously provided delivery time indications were further clarified through the wording "Normally available for shipping in x working days." However, only within a box that opened by scrolling over that wording, it was clarified that the indicated times were not contractually binding and derived from information received from publishers and distributors.</w:t>
        <w:br/>
        <w:t>2. The Authority, therefore, considering that such methods of communicating delivery times were not suitable to provide the consumer with immediate and complete information on the time necessary to achieve the availability of goods, deemed that the conduct carried out by Mailtrade S.r.l. violated Article 21, paragraph 1, letter b) of the Consumer Code, being suitable to mislead the consumer regarding delivery times and to lead them to make a commercial decision that otherwise would not have been made.</w:t>
      </w:r>
    </w:p>
    <w:p>
      <w:r>
        <w:rPr>
          <w:b/>
        </w:rPr>
        <w:t>[Pages 61–63]</w:t>
      </w:r>
    </w:p>
    <w:p>
      <w:r>
        <w:t>BULLETIN NO. 50 OF DECEMBER 21, 2020 63</w:t>
        <w:br/>
        <w:t>would not have been made. In light of these considerations, the Authority therefore prohibited the further dissemination of the commercial practice.</w:t>
      </w:r>
    </w:p>
    <w:p>
      <w:r>
        <w:t>3. On January 2, 2020, Mailtrade S.r.l. submitted the compliance report regarding the closure of the investigation, which was subsequently supplemented by a communication dated May 20, 20202 in response to an information request dated March 26, 20203. From the documentation submitted, the continuation of the commercial practice subject to the aforementioned provision emerged.</w:t>
      </w:r>
    </w:p>
    <w:p>
      <w:r>
        <w:t>4. In particular, the compliance report states that the page displaying the results of a search no longer provides information regarding delivery times. The indication remains solely within the individual product sheet, where it is specified “Normally available for shipping in x working days.” Only by hovering the mouse over this wording, an action that is not necessarily performed to make a purchase, a box opens where it is indicated: “The times indicated here are purely indicative and not contractually binding. They derive from the information received from our suppliers.”</w:t>
      </w:r>
    </w:p>
    <w:p>
      <w:r>
        <w:t>5. Since the conduct adopted by the company presented the same profile of unfairness already established, the Authority, with the provision of August 4, 2020, no. 283324, decided to initiate investigation procedure IP334 for the possible imposition of the monetary penalty referred to in Article 27, paragraph 12, of the Consumer Code, contesting Mailtrade S.r.l. for failing to comply with the warning referred to in letter a) of the device of resolution of October 1, 2019, no. 27937.</w:t>
      </w:r>
    </w:p>
    <w:p>
      <w:r>
        <w:t>II. THE PARTY</w:t>
        <w:br/>
        <w:t>6. Mailtrade S.r.l. (hereinafter Mailtrade) as a professional, pursuant to Article 18, letter b), of the Consumer Code. The company achieved a turnover of 882,044 euros during the financial year ending December 31, 2018.</w:t>
      </w:r>
    </w:p>
    <w:p>
      <w:r>
        <w:t>III. THE PROCEDURAL ITER</w:t>
        <w:br/>
        <w:t>7. The resolution to initiate the non-compliance procedure was notified to the professional on August 6, 20205.</w:t>
      </w:r>
    </w:p>
    <w:p>
      <w:r>
        <w:t>8. On September 2, 2020, Mailtrade submitted a defense memorandum6, subsequently supplemented on September 4, 20207.</w:t>
      </w:r>
    </w:p>
    <w:p>
      <w:r>
        <w:t>9. On September 9, 2020, Mailtrade requested a hearing, which took place on September 29, 20208.</w:t>
      </w:r>
    </w:p>
    <w:p>
      <w:r>
        <w:t>10. On October 19, 2020, the Party was sent the communication of the conclusion of the investigation phase9.</w:t>
      </w:r>
    </w:p>
    <w:p>
      <w:r>
        <w:t>2 See doc. no. 1.</w:t>
        <w:br/>
        <w:t>3 See doc. no. 4.</w:t>
        <w:br/>
        <w:t>4 Published in Bulletin no. 34/2020 of August 24, 2020.</w:t>
        <w:br/>
        <w:t>5 Doc. 5, communication of the initiation of the non-compliance procedure regarding the resolution of October 1, 2019, no. 27937.</w:t>
        <w:br/>
        <w:t>6 See doc. no. 7.</w:t>
        <w:br/>
        <w:t>7 See doc. no. 8.</w:t>
        <w:br/>
        <w:t>8 Doc. 13, Hearing Minutes of September 29, 2020.</w:t>
        <w:br/>
        <w:t>9 Doc. no. 15.</w:t>
      </w:r>
    </w:p>
    <w:p>
      <w:r>
        <w:t>64 BULLETIN NO. 50 OF DECEMBER 21, 2020</w:t>
        <w:br/>
        <w:t>IV. THE INVESTIGATIVE EVIDENCE</w:t>
        <w:br/>
        <w:t>11. Based on the acquired investigative elements, it appears that Mailtrade, even after October 8, 2019, the date of notification of the provision of October 1, 2019, no. 27937, continued to carry out the aforementioned practice until September 14, 2020, the date on which changes were made to the Unilibro website.</w:t>
      </w:r>
    </w:p>
    <w:p>
      <w:r>
        <w:t>12. In fact, following the notification of the provision of October 1, 2019, no. 27937, Mailtrade limited itself to ensuring that the page displaying the results of a search no longer provided information regarding delivery times. However, the indication remained within the individual product sheet, where it was specified: “Normally available for shipping in x working days.” Only by hovering the mouse over this wording, a box opened where it was indicated that “The times indicated here are purely indicative and not contractually binding. They derive from the information received from our suppliers.”</w:t>
      </w:r>
    </w:p>
    <w:p>
      <w:r>
        <w:t>13. Following the initiation of the non-compliance procedure, the company made an additional modification indicating, on the page displaying search results, availability only for products in stock; otherwise, for those not immediately available, the consumer was informed that the indicated times are purely indicative and not contractually binding, as they derive from the information received from suppliers, through information that appeared in fading in a box at the end of the product description in the relevant sheet. This information was then supplemented, following the cessation of the fading effect, with the wording “normally available for shipping in x working days.”</w:t>
      </w:r>
    </w:p>
    <w:p>
      <w:r>
        <w:t>As a result of the hearing held on September 29, 2020, it emerged that from September 14, 2020, Mailtrade further modified the product sheet for books not in stock, adding to the information “Normally available for shipping in x working days” the wording “Click here for more information,” all with graphic prominence on a blue background. Clicking on this last wording opens a page where detailed information on delivery times is provided, specifically indicating: “What are the delivery times for products? To calculate how long you need to wait to receive the products you ordered, you must add the time required to procure the products T(procurement) to the time the courier will take to make the delivery T(delivery): T(delivery) = T(procurement) + T(delivery). T(procurement) is reported in the detail sheet of each product, expressed in working days (excluding Saturdays, Sundays, and holidays). The timing reported, including “available immediately,” refers to a single copy. The products for which the wording “available immediately” is indicated are present in our warehouse. For other products, the reported availability times are indicative and derive from the information that is periodically sent to us by our suppliers; any delays in procurement times are therefore not directly attributable to us. The indication “uncertain availability” signals that the product is still cataloged, but the related stocks at the suppliers are not known to us. T(delivery) depends on the type of shipping chosen in the order.”</w:t>
      </w:r>
    </w:p>
    <w:p>
      <w:r>
        <w:t>V. MAILTRADE'S ARGUMENTS</w:t>
        <w:br/>
        <w:t>14. Mailtrade, in its memoranda of September 2 and September 4, 2020, observed that the inclusion of the phrase “The times indicated here are purely indicative and not contractually binding. They derive from the information received from our suppliers” in all product sheets within the page, rather than in the box, as the initiation provision seems to implicitly suggest, would have resulted in duplications of identical content across thousands of pages, consequently worsening the positioning of the Unilibro pages among search engine results and reducing the number of orders received. Today, those who want to buy a book online, in fact, for 99% of cases search for the title of the book or the author on a search engine page and, once the results are obtained, click on the top displayed positions to reach the e-commerce site that might sell it to them. This means that if the book sheets are found in the top positions of the search results, it is very likely to receive an order. To be in the top positions, it is necessary to avoid inserting identical texts in the book sheets repeated across various pages. In fact, the informational intersection between two distinct pages must be minimized to highlight their uniqueness and contribute to improving their positioning.</w:t>
      </w:r>
    </w:p>
    <w:p>
      <w:r>
        <w:t>15. During the hearing held on September 29, 2020, Mailtrade represented that it had modified the product sheet for books not in stock from September 14, 2020, adding to the information “Normally available for shipping in x working days” the wording “Click here for more information,” all with graphic prominence on a blue background. Clicking on this last wording opens a page where detailed information on delivery times is provided (see previous par. 13).</w:t>
      </w:r>
    </w:p>
    <w:p>
      <w:r>
        <w:t>VI. EVALUATIONS</w:t>
        <w:br/>
        <w:t>16. The evidence described above appears to demonstrate the continuation of the unfair commercial practice already established with the provision of October 1, 2019, no. 27937. In this regard, it is noted that Mailtrade, until September 14, 2020, did not adopt sufficient methods and behaviors to remove the unfair practice established by the same provision.</w:t>
      </w:r>
    </w:p>
    <w:p>
      <w:r>
        <w:t>17. In fact, it should be preliminarily noted that the removal from the page displaying the results of a search of the indication “available in x days,” as well as the maintenance of the indication “Normally available for shipping in x working days,” present in the individual product sheet, do not contribute to providing precise information on delivery times. In particular, the indication “Normally available for shipping in x working days,” present in the individual product sheet, appears to be a generic expression if not further specified, as it does not allow, evidently, the consumer to be aware, where the good is not immediately available, that the delivery times are indicative and not contractually binding depending on the suppliers.</w:t>
      </w:r>
    </w:p>
    <w:p>
      <w:r>
        <w:t>18. In this regard, the information contained in the box that opens when hovering the mouse may not be read by the consumer who, not knowing that they need to hover over the information regarding the availability of the good, may proceed directly with the purchase of the product. Furthermore, the failure to open the product sheet box is not compensated by subsequent information on delivery times provided before the conclusion of the purchase. Similar considerations apply to the indication of delivery times transmitted through the fading effect.</w:t>
      </w:r>
    </w:p>
    <w:p>
      <w:r>
        <w:t>19. That said, starting from September 14, 2020, the communication to the consumer regarding delivery times was, instead, made more evident with the creation of a dedicated page, accessible via a link that is adequately highlighted in the sheet of each product, within which information is provided to understand and calculate delivery times. This solution, while not providing for the insertion of the information within all product sheets in an explicit form within the page, nevertheless constitutes an effective form of communication to the consumer, such as to determine, starting from the aforementioned date, the cessation of the practice.</w:t>
      </w:r>
    </w:p>
    <w:p>
      <w:r>
        <w:rPr>
          <w:b/>
        </w:rPr>
        <w:t>[Pages 64–66]</w:t>
      </w:r>
    </w:p>
    <w:p>
      <w:r>
        <w:t>66 BULLETIN NO. 50 OF DECEMBER 21, 2020</w:t>
        <w:br/>
        <w:t>VII. QUANTIFICATION OF THE SANCTION</w:t>
        <w:br/>
        <w:t>20. Pursuant to Article 27, paragraph 12, of the Consumer Code, the Authority orders the application of an administrative pecuniary sanction ranging from 10,000 to 5,000,000 euros, taking into account the severity and duration of the violation.</w:t>
        <w:br/>
        <w:t>21. In quantifying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br/>
        <w:t>22. In the case at hand, from the income statement of Mailtrade, updated as of December 31, 2018, a turnover of 882,044 euros is reported.</w:t>
        <w:br/>
        <w:t>23. The nature of the practice subject to this provision is also considered, consisting of providing information on delivery times in a manner that is unclear and not exhaustive.</w:t>
        <w:br/>
        <w:t>24. The practice continued to be disseminated by Mailtrade from October 8, 2019, the date of notification of the provision of October 1, 2019, No. 27937, until September 14, 2020, the date on which the last modifications were made on the Unilibro website.</w:t>
        <w:br/>
        <w:t>In light of the above, it is deemed appropriate to impose an administrative sanction on Mailtrade S.r.l. in the amount of €10,000 (ten thousand euros).</w:t>
        <w:br/>
        <w:t>All of the above having been stated and considered;</w:t>
        <w:br/>
        <w:t>RESOLVES</w:t>
        <w:br/>
        <w:t>a) that the conduct of Mailtrade S.r.l. constitutes non-compliance with the resolution of October 1, 2019, No. 27937;</w:t>
        <w:br/>
        <w:t>b) to impose an administrative pecuniary sanction of €10,000 (ten thousand euros) on Mailtrade S.r.l.</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r>
    </w:p>
    <w:p>
      <w:r>
        <w:t>BULLETIN NO. 50 OF DECEMBER 21, 2020 67</w:t>
        <w:br/>
        <w:t>Immediate notification of the payment must be given to the Authority by sending the documentation certifying the payment made.</w:t>
        <w:br/>
        <w:t>This provision will be notified to the interested parties and published in the Bulletin of the Authority for the Protection of Competition and the Market.</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Filippo Arena Roberto Rustichelli</w:t>
      </w:r>
    </w:p>
    <w:p>
      <w:r>
        <w:t>68 BULLETIN NO. 50 OF DECEMBER 21, 2020</w:t>
        <w:br/>
        <w:t>PS11429 - DEBTORS' DEFENSE/VARIOUS CONDUCTS</w:t>
        <w:br/>
        <w:t>Provision No. 28476</w:t>
        <w:br/>
        <w:t>THE AUTHORITY FOR THE PROTECTION OF COMPETITION AND THE MARKET</w:t>
        <w:br/>
        <w:t>IN ITS MEETING of December 1, 2020;</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resolution of September 8, 2020, with which, pursuant to Article 7, paragraph 3, of the Regulation, the deadline for concluding the procedure was extended, considering the need to examine the findings in the records for the purpose of evaluating the cases subject to the procedure, and the need to ensure adequate adversarial proceedings for the Parties;</w:t>
        <w:br/>
        <w:t>HAVING REGARD to the acts of the procedure;</w:t>
        <w:br/>
        <w:t>I. THE PARTIES</w:t>
        <w:br/>
        <w:t>1. Difesa Debitori S.p.A. (hereinafter also referred to as Difesa Debitori, Company or Professional), with registered office in Vicenza, in its capacity as a professional, pursuant to Article 18 letter b), of the Consumer Code. The Company operates nationwide and offers consulting and intermediation services in the field of resolving contentious debt situations. The Company's balance sheet closed on December 31, 2019, shows a production value of 10,593,867 euros1.</w:t>
        <w:br/>
        <w:t>2. Associazione Consumatore Informato, a consumer association, in its capacity as notifier2.</w:t>
        <w:br/>
        <w:t>II. THE CONDUCT SUBJECT TO THE PROCEDURE</w:t>
        <w:br/>
        <w:t>3. The procedure concerns conduct carried out by Difesa Debitori in the promotion of paid consulting and intermediation services offered to debtor consumers.</w:t>
        <w:br/>
        <w:t>4. The activity carried out by Difesa Debitori is presented on the website, highlighting that it is always possible for debtors who avail themselves of the consulting and intermediation services of the Company to extinguish or restructure their debts and conclude positive transactions with their creditors, in the absence of specific indications regarding the limits and uncertainty of the action taken, as well as indications regarding the costs required in order to place the consumer in a position to make a fully informed choice3.</w:t>
        <w:br/>
        <w:t>1 See the financial statements of Difesa Debitori S.p.A. as of December 31, 2019.</w:t>
        <w:br/>
        <w:t>2 See documents No. 1, 35, 42, and 43.</w:t>
        <w:br/>
        <w:t>3 See in particular documents No. 1, 19, and 63.</w:t>
      </w:r>
    </w:p>
    <w:p>
      <w:r>
        <w:rPr>
          <w:b/>
        </w:rPr>
        <w:t>[Pages 67–69]</w:t>
      </w:r>
    </w:p>
    <w:p>
      <w:r>
        <w:t>BULLETIN NO. 50 OF DECEMBER 21, 2020 69</w:t>
        <w:br/>
        <w:t>III. THE OUTCOMES OF THE PROCEEDING</w:t>
        <w:br/>
        <w:t>1. The procedure process</w:t>
        <w:br/>
        <w:t>5. In relation to the conduct described above, on April 3, 2020, Difesa Debitori was notified of the initiation of investigative proceeding no. PS11429 for the alleged violation of Articles 20, 21 paragraph 1, letters b) and c), and 22, paragraph 1, of the Consumer Code4.</w:t>
        <w:br/>
        <w:t>6. On April 2, 2020, official inspections were carried out on the Professional's company website, and the relevant web pages were acquired for the proceedings5. On April 16, 2020, the initiation of the proceeding was communicated to the Consumer Informed Association6, which submitted a request to participate in the proceeding on May 21, 20207, accepted on May 25, 20208 with a related communication to Difesa Debitori on the same date9.</w:t>
        <w:br/>
        <w:t>7. On April 27 and 28, 2020, responses to the request for information, formulated in the communication of the initiation of the proceeding, and the defensive memorandum10 were received. On May 6, 2020, a proposal for commitments11 was received, which was rejected on September 8, 2020, with communication to the Professional on September 10, 202012, due to the high degree of offensiveness of the conduct, if established, in relation to the number of consumers affected and the condition of particular emotional fragility and economic difficulty in which they find themselves, and for the inadequacy to remove the profiles of possible violation, as the proposed informational improvement would not have been sufficient to end the hypothesized deficiency at the outset.</w:t>
        <w:br/>
        <w:t>8. On July 17, 202013, Difesa Debitori responded to the request for information sent on July 7, 202014.</w:t>
        <w:br/>
        <w:t>9. On September 10, 2020, the Parties were informed of the extension of the deadline for concluding the proceeding, already postponed, pursuant to Article 37 of Decree Law No. 23 of April 8, 2020, to October 12, 2020, due to the existence of particular investigative needs, considering the necessity to examine the findings in the records for the purpose of evaluating the facts subject to the proceeding in question and the need to ensure adequate contradiction to the Parties15.</w:t>
        <w:br/>
        <w:t>10. On September 17, 2020, official inspections were carried out on the Professional's company website, and the relevant web pages were acquired for the proceedings16.</w:t>
        <w:br/>
        <w:t>11. On September 25, 2020, a hearing was held with the Company Difesa Debitori17, requested by the same on April 27, 202018.</w:t>
        <w:br/>
        <w:t>4 See doc. n. 20.</w:t>
        <w:br/>
        <w:t>5 See doc. n. 19.</w:t>
        <w:br/>
        <w:t>6 See doc. n. 24.</w:t>
        <w:br/>
        <w:t>7 See doc. n. 42.</w:t>
        <w:br/>
        <w:t>8 See doc. n. 43.</w:t>
        <w:br/>
        <w:t>9 See doc. n. 44.</w:t>
        <w:br/>
        <w:t>10 See docs. nn. 37 and 28.</w:t>
        <w:br/>
        <w:t>11 See doc. n. 38.</w:t>
        <w:br/>
        <w:t>12 See docs. n. 59.</w:t>
        <w:br/>
        <w:t>13 See doc. n. 56.</w:t>
        <w:br/>
        <w:t>14 See doc. n. 53.</w:t>
        <w:br/>
        <w:t>15 See docs. nn. 60 and 61.</w:t>
        <w:br/>
        <w:t>16 See doc. n. 63.</w:t>
        <w:br/>
        <w:t>17 See doc. n. 65.</w:t>
        <w:br/>
        <w:t>18 See doc. n. 36.</w:t>
      </w:r>
    </w:p>
    <w:p>
      <w:r>
        <w:t>70 BULLETIN NO. 50 OF DECEMBER 21, 2020</w:t>
        <w:br/>
        <w:t>12. On October 2, 2020, the Parties were informed of the conclusion date of the investigative phase pursuant to Article 16, paragraph 1, of the Regulation19.</w:t>
        <w:br/>
        <w:t>13. On October 20, 2020, pursuant to and for the effects of Article 27, paragraph 6, of the Consumer Code, a request for an opinion was sent to the Authority for Communications Guarantees20. The opinion of the sector Authority was received on November 19, 202021.</w:t>
        <w:br/>
        <w:t>2. The evidence acquired</w:t>
        <w:br/>
        <w:t>The Professional's website</w:t>
        <w:br/>
        <w:t>14. The content of the advertising messages on the website provides consumers with a generic reference to the activity carried out, emphasizing it with substantial reassurance regarding the resolution of any debt situation, as in the case of the claim present on the homepage: “Protection and Help for Debtors. Regain peace of mind free from debt. Do you want to live debt-free? Contact us.”</w:t>
        <w:br/>
        <w:t>15. On the landing page of the link “Why turn to us” present on the homepage, “What can Difesa Debitori Spa do for you?”, the specific activities that the Company would be able to guarantee are listed (“Resolve debts with Banks and Financial Institutions with savings from 40% to 70%; Solve issues with the Tax Authorities (check tax bills, friendly notices, assessments, payment plans, and objections); Offer legal defense and assistance in case of actions such as Injunctions, Precautionary Acts, and Seizures; Protect your Assets (real estate, land, vehicles, boats), according to current regulations; Check for Usury or Compound Interest by Banks, Financial Institutions for loans, mortgages, and current accounts; Remove negative reports from Databases and the Protest Bulletin, through authorized intermediaries according to the regulations”)22.</w:t>
        <w:br/>
        <w:t>The requests for intervention</w:t>
        <w:br/>
        <w:t>16. In relation to the conduct subject to contestation, about twenty reports23 were received from consumers and a complaint from the Consumer Informed Association24, a complaint from the Debt Emergency Association, submitted through the Financial Police on February 17, 202025, and a complaint from UNIREC – National Union of Enterprises and Credit Protection and Forum Unirec - Consumers. These complaints indicate the presence, on the Company's website, of elements potentially capable of confusing and altering the opinion of the clientele – consisting of individuals in debt distress – regarding the consulting activities carried out by Difesa Debitori and the possibilities of resolving the positions of debtors.</w:t>
        <w:br/>
        <w:t>17. According to the reporters, the nature and results of the consulting services offered by the Company to debtors, defaulters, and bad payers are emphasized without any reference to costs, that is, to those who, being in particular conditions of economic and/or financial difficulty, are unable to extinguish their debts to their creditors.</w:t>
        <w:br/>
        <w:t>18. In light of the claims present on the website, which would give particular emphasis to the possibilities of a definitive solution to the debtor's difficulty, relevant information regarding the services offered is not reported, nor is there a clear description of the activities that Difesa Debitori is able to offer in relation to specific debt situations, the fees for the services, and the additional expenses for judicial, extrajudicial activities, and for the drafting of public acts that consumers will have to bear, the preliminary conditions required to undertake the actions, and a clear reference to the fact that the outcome of each of them will depend on the willingness of the creditor counterpart.</w:t>
        <w:br/>
        <w:t>19. The report from the Consumer Informed Association notes that “The Consumer fortuitously learned of the existence of this company [Difesa Debitori] via the web, during a consultation of the Google search engine, where sponsored ads appeared repeatedly and there was privileged evidence of the site www.difesadebitori.it, attributable to the aforementioned company […] the Consumer, influenced by the highlighted ad on Google due to her actual economic difficulty, extensively viewed the aforementioned website […]”, which contained this further advertising message inviting the consumer to start consulting: “[…] The consumer, strongly influenced by the advertising messages contained therein and genuinely persuaded that through the intermediation of the Company she would achieve the result of a drastic reduction of her debt exposure, sent an email request for information, using the form configured on the website.” A few days later, the consumer was contacted by the company's call center, which, “based on the issues briefly outlined, proposed a range of fixed and abstractly feasible solutions and, subsequently, avoiding any questions regarding the overall costs of the potential practice, convinced the lady to activate the so-called ‘debt defense protocol,’ making a payment to the company of the amount of 360.00 euros, and this even before the debt practice was carried out, creating in the consumer the persuasion that the fee was comparable to the cost of the stamp […] only through viewing the contractual document in question was the Consumer able to understand both the amount agreed for the service subject to the contract, the nature, the object of the contract, and any obligations undertaken by the Company, all circumstances that had not been clearly and transparently represented by the Company up to that moment.”26</w:t>
        <w:br/>
        <w:t>20. Another consumer, “[…] finding himself in a difficult situation related to indebtedness with [some financial companies] began to go into crisis not knowing how to manage the situation. In this state of psychological frustration, he searched online […] and then contacted your company, which, from the site, promised to resolve the debt situation with discounts from 40% to 70% […] However, despite your company knowing about [MM]'s state of need and prostration, unemployed and with no income, you requested the exorbitant sum of €5,376.00 of which €1,728.00 already collected, to settle an exposure of only €33,319.00, claiming solutions that never materialized. […] There was no “analysis” of the debtor's situation by DIFESA DEBITORI s.p.a. which simply proceeded to send a series of emails with proposals to be sent to the creditor parties “assuming” that they would be accepted. […] In any case, in light of the claimed savings of 40% - 70%, the proposals had a significantly lower discount and, in any case, were not based on any premise.26 See doc. n. 1.</w:t>
      </w:r>
    </w:p>
    <w:p>
      <w:r>
        <w:rPr>
          <w:b/>
        </w:rPr>
        <w:t>[Pages 70–72]</w:t>
      </w:r>
    </w:p>
    <w:p>
      <w:r>
        <w:t>72 BULLETIN NO. 50 OF DECEMBER 21, 2020</w:t>
        <w:br/>
        <w:t>legal. […] The incessant forwarding of emails to justify the excessive and unjustified payment request further highlights the deceptions perpetrated to the detriment of [MM], who, exhausted by the situation created, and unable to even meet the payment of the bills sent to your company, turned to the undersigned professional. Essentially, DIFESA DEBITORI s.p.a., instead of helping the debtor to rectify their debt position, has created an additional reason for debt that has been added to the existing ones.”27.</w:t>
      </w:r>
    </w:p>
    <w:p>
      <w:r>
        <w:t>21. Another misleading element found concerns the fact that “[…] the professionals fail to clearly communicate key information that the consumer needs to make an informed decision, such as the possibility that failure to pay the debt and the actions of the professional may also deteriorate the position of the debtor-consumer, exposing them to additional liabilities towards entities, and also to the payment of additional amounts (such as penalties for non-payment and late interest)”28.</w:t>
      </w:r>
    </w:p>
    <w:p>
      <w:r>
        <w:t>22. In this regard, the reporters have clearly highlighted the consequences in which some of them have incurred (e.g., registration in the register of protested bills, penalties, etc.), having followed the indications of Difesa Debitori regarding the advisability of not being influenced by the pressures exerted by debt collection companies, by paying the overdue installments, as evidenced by the text of the email sent by Difesa Debitori to a consumer on January 24, 201929:</w:t>
      </w:r>
    </w:p>
    <w:p>
      <w:r>
        <w:t>The evidence acquired during the investigation</w:t>
      </w:r>
    </w:p>
    <w:p>
      <w:r>
        <w:t>23. In the defense memorandum of April 27, 2020, the Professional detailed the activities carried out30 and their limitations, acknowledging that “it is evident that there is no possibility whatsoever 27 Cf. doc. n. 6. 28 Cf. doc. n. 14. 29 Cf. doc. n. 3. 30 Cf. doc. n. 36 Defense memorandum, p. 4: “The activity carried out by the aforementioned company consists, in summary, of providing assistance and consultancy to private consumers, as well as to companies or business entities in general, who expressly request it, burdened by debt situations that they consider difficult to resolve, and in particular: in verifying the overall debt positions of clients; in verifying the legitimacy of the interest rate applied by financial and banking institutions that have granted them financing and loans, or the legitimacy and cause of the amounts claimed by public administrations, where the credit title against, in default, is represented by tax bills; in identifying the actual asset capacity of the client and, if entrusted with the task in this regard, in verifying the possibility of reaching an installment repayment plan with the entity or creditor subject, or of defining the latter as a settlement and write-off, through professionals specifically appointed.”</w:t>
      </w:r>
    </w:p>
    <w:p>
      <w:r>
        <w:t>BULLETIN NO. 50 OF DECEMBER 21, 2020 73</w:t>
        <w:br/>
        <w:t>to predict the favorable outcome or not of the consultancy activity provided […] nor to guarantee the time frame within which to conclude the intervention and the eventual solution of the problem”31.</w:t>
      </w:r>
    </w:p>
    <w:p>
      <w:r>
        <w:t>24. The Company highlights this circumstance on its website, stating that “at the bottom of each webpage, the following clause is clearly present: All services are offered by Difesa Debitori spa, or by partner companies, which reserve the prior assessment of the feasibility of the practice, evaluating the asset and income analysis of the client in relation to the status of the procedure and, in any case, excluding any guarantee of achieving the result, as it is an obligation of means and not of result. It is expressly agreed that any debt restructuring agreement, judicial or extrajudicial settlement, definition of relationships as settlement and write-off, eventually reached by the Company with third-party creditors, directly or through delegated professionals, will be duly submitted to the attention and scrutiny of the Client, who is left with full discretion to adhere or not”32.</w:t>
      </w:r>
    </w:p>
    <w:p>
      <w:r>
        <w:t>Screenshots of the homepage are provided, as it appeared in April 2020. The arrow indicates the position of the alert text previously reported:</w:t>
      </w:r>
    </w:p>
    <w:p>
      <w:r>
        <w:t>legitimacy and cause of the amounts claimed by public administrations, where the credit title against, in default, is represented by tax bills; in identifying the actual asset capacity of the client and, if entrusted with the task in this regard, in verifying the possibility of reaching an installment repayment plan with the entity or creditor subject, or of defining the latter as a settlement and write-off, through professionals specifically appointed.”</w:t>
      </w:r>
    </w:p>
    <w:p>
      <w:r>
        <w:t>31 Ibidem, pp. 4-5: “Obviously, given that the preparation of an adequate repayment plan, consistent with the asset and income capacity of the client/debtor, rather than a transactional definition as settlement and write-off of the respective default position, must then meet the approval, in addition to that of the debtor, especially of the creditor entity, it is evident that there is no possibility whatsoever of predicting the favorable outcome or not of the consultancy activity provided, as it falls, as is known, within obligations of means and not of results, as specifically indicated in the webpage subject of today’s in-depth analysis, nor to guarantee the time frame within which to conclude the intervention and the eventual solution of the problem.”</w:t>
      </w:r>
    </w:p>
    <w:p>
      <w:r>
        <w:t>32 Ibidem, pp. 7-10.</w:t>
      </w:r>
    </w:p>
    <w:p>
      <w:r>
        <w:t>74 BULLETIN NO. 50 OF DECEMBER 21, 2020</w:t>
        <w:br/>
        <w:t>25. The Company's activity is divided into various phases, each characterized by a specific level of communication:</w:t>
        <w:br/>
        <w:t>a) Feasibility assessment of the practice - The consumer, burdened by excessive debts, makes an informational request to Difesa Debitori, without thereby assuming any contractual or asset obligation, according to the indications and contacts reported on the website. Based on the request received and in compliance with the provisions of GDPR 679/2016, the Company, through adequately trained call center operators, contacts the client to explain the content of the professional activity offered, request information about the type of problem they believe they are burdened with, and carry out, based on the data provided over the phone, a first free assessment of the feasibility of the requested intervention33.</w:t>
      </w:r>
    </w:p>
    <w:p>
      <w:r>
        <w:t>b) Phase 1 Engagement Letter - In the event that it is possible to carry out a consultancy intervention, the consumer is informed of the possibility of deepening the investigation aimed at verifying the potential illegitimacy of the creditor claims (applied interest rates, possibility of a transactional definition of the ongoing defaults, through a debt restructuring plan consistent with the client's income capacity, rather than a definition with the creditor entity as settlement and write-off, possibility of obtaining the cancellation of their name from prejudicial databases, in case of their registration therein, where possible). The interested consumer is informed of the need to reimburse the costs that the Company is required to incur, and for which it seeks reimbursement, for the preventive verification of the data, which obviously occurs through access to the relevant databases (tax drawer, competent Registers). If the consumer requests this activity, they receive a package containing the informational forms and the mandates to be signed, essential for any type of intervention or access to the Offices and the competent Registers. This service has a cost of 360 euros (295.08 euros + VAT)34.</w:t>
      </w:r>
    </w:p>
    <w:p>
      <w:r>
        <w:t>33 Ibidem, pp. 5-6. 34 Ibidem, pp. 6-7.</w:t>
      </w:r>
    </w:p>
    <w:p>
      <w:r>
        <w:rPr>
          <w:b/>
        </w:rPr>
        <w:t>[Pages 73–75]</w:t>
      </w:r>
    </w:p>
    <w:p>
      <w:r>
        <w:t>BULLETIN NO. 50 OF DECEMBER 21, 2020 75</w:t>
        <w:br/>
        <w:t>c) Phase 2 Consulting Contract - Once the payment for the requested service has been made and the assessments and feasibility evaluations have been carried out, the Company contacts the client, informing them of the evaluations made by its experts and verbally "representing" a specific action plan, which must always be authorized by the client, specifying that, in any case, the outcome of the proposed settlement or restructuring initiatives depends on the creditor's willingness.</w:t>
      </w:r>
    </w:p>
    <w:p>
      <w:r>
        <w:t>26. The costs that the Company demands as compensation for its activity, in addition to those provided for the preliminary analysis of the debtor's situation, are determined based on a percentage applied to the debt mass that will be managed. This percentage can range from 0.41% to 12.29%, to be paid in monthly installments in the form of promissory notes or checks. In the event of favorable acceptance of the proposal, the consumer is sent the contractual documentation necessary for finalizing the agreement to be evaluated at their home, returning everything to the Company, while retaining the consumer's right to withdraw without penalties within 14 days from the signing of the contract. Subsequently, the Company, through its internal and external consultants, proceeds with the agreed-upon activity.</w:t>
      </w:r>
    </w:p>
    <w:p>
      <w:r>
        <w:t>Tab. 1: Table of rates applied by the Company Difesa Debitori.</w:t>
      </w:r>
    </w:p>
    <w:p>
      <w:r>
        <w:t>27. According to the Professional's statement, in 2019, [2,000-7,000]* engagement letters (phase 1) were signed, for a total amount received of [500,000-3,000,000] euros. A portion of these clients ([2,000-5,000]) decided to engage the Company for the provision of assistance and consulting services (phase 2), paying a total amount of [2,000,000-5,000,000] euros. The Company specified that the removal of the debtor's name from databases is a service offered free of charge by Difesa Debitori upon the client's payment of the agreed amounts in settlement with the creditor, as it constitutes the final outcome of the service offered in the contract.</w:t>
      </w:r>
    </w:p>
    <w:p>
      <w:r>
        <w:t>28. In 2020, up to April, [500-3,000] engagement letters (phase 1) were signed, for a total amount received of [200,000-700,000] euros. A portion of these clients ([500-3,000]) decided to engage the Company for the provision of assistance and consulting services (phase 2), paying a total amount of [200,000-500,000] euros.</w:t>
      </w:r>
    </w:p>
    <w:p>
      <w:r>
        <w:t>29. The Company specifies that it has never provided assistance and consulting services to clients in judicial matters since these clients choose to engage their trusted representatives. It also guaranteed a positive outcome for [3,000-6,000] positions in 2019 and for [800-2,000] in the period from January 1 to March 1, 2020. These data refer both to private debt exposures and to public/tax ones, related to contracts signed even before the two indicated periods, as the activity often occurs over a period longer than one year. Furthermore, this consulting activity is not only maintained with consumer clients but also with commercial companies, entrepreneurs, and economic entities of different kinds.</w:t>
      </w:r>
    </w:p>
    <w:p>
      <w:r>
        <w:t>30. However, Difesa Debitori declared and documented that it has settled [3,000-7,000] positions in settlement with a percentage varying between 40% and 70% in the 12 months preceding April 2020, against [3,000-7,000] total contractual positions managed during that period.</w:t>
      </w:r>
    </w:p>
    <w:p>
      <w:r>
        <w:t>31. The Company, however, has made some changes to the advertising message, as evidenced by the screenshot of the homepage taken on October 2, 2020, which is reported below. The content of the webpage has been modified, removing the clause regarding the possibility of obtaining a debt settlement at the previously indicated percentage (40-70%), and in any case inserting a bold reference to the preliminary evaluation of the case. In addition, the descriptions related to other services provided (issues with the Tax Authority, verification of usury or anatocism rates, asset protection, removal/updating of databases of "bad payers," legal defense for injunctions and/or enforcement orders and/or seizures and/or revocations and issues related to mortgages to obtain reduction or suspension of installments) have also been modified, downplaying the emphasis on resolving issues through the actions taken.</w:t>
      </w:r>
    </w:p>
    <w:p>
      <w:r>
        <w:t>* In this version, some data are omitted, as elements of confidentiality or secrecy of the information were deemed to exist.</w:t>
      </w:r>
    </w:p>
    <w:p>
      <w:r>
        <w:t>BULLETIN NO. 50 OF DECEMBER 21, 2020 77</w:t>
        <w:br/>
        <w:t>3. The Professional's Defensive Arguments</w:t>
        <w:br/>
        <w:t>32. In the concluding memorandum, the Professional states that "Regarding the information provided to consumers, it must be reiterated that the contractual relationship with the consumer does not automatically arise solely based on the promotional information provided on the contested website, but is the result of subsequent pre-contractual information activities, which are consistent with consumer law, articulated through a series of contacts between the consumer and the professional, all together constituting the core of the practice.</w:t>
      </w:r>
    </w:p>
    <w:p>
      <w:r>
        <w:rPr>
          <w:b/>
        </w:rPr>
        <w:t>[Pages 76–78]</w:t>
      </w:r>
    </w:p>
    <w:p>
      <w:r>
        <w:t>78 BULLETIN NO. 50 OF DECEMBER 21, 2020</w:t>
        <w:br/>
        <w:t xml:space="preserve">commercial practice in place, which appear to have received no attention whatsoever from the Authority, at least according to the findings of the investigative activity recorded in the latest closing letter of the same”43. </w:t>
        <w:br/>
        <w:t xml:space="preserve">33. The Professional continues, stating that “from the perspective of the harmful concreteness of the promotional message, it is proven by documents that no consumer can be said to have been misled into paying sums or entering into a contractual obligation in the absence of a result consistent with what was promised, given that it is documented that all the contractual positions during the observation period led to the result promoted on the website; from another perspective, the documentation in the records demonstrates that even potentially the promotional message cannot be said to be incorrectly oriented towards the conclusion of contracts with consumers in the absence of valid feasibility assumptions for the consultancy activity undertaken, since there is no evidence of consumers being erroneously induced to enter into contracts, which highlights the correct and timely preliminary verification activity regarding the feasibility of the renegotiation and/or reduction or settlement of the debt”44. </w:t>
        <w:br/>
        <w:t xml:space="preserve">34. On this point, the Professional also notes that “the verification regarding the correctness of the commercial practice under investigation cannot remain bound to the mere examination of the content of the website, but rather to the behavior of the company as a whole, that is, how the pre-contractual relationship with the consumer develops, the fundamental core of which is constituted by the series of informative contacts and negotiations that unfold with the requester of the proposed services, which only in the presence of the feasibility assumptions evaluated by the offering company converge into the contractual obligation”45. </w:t>
        <w:br/>
        <w:t xml:space="preserve">35. Difesa Debitori also believes that it has provided, through a notice placed at the bottom of each page of the website, adequate information to users regarding the necessary prior feasibility assessment of the practice, based on the asset and income analysis of the client in relation to the status of the procedure, and excluding, in any case, any guarantee of achieving the result since it is an obligation of means and not of result. </w:t>
        <w:br/>
        <w:t xml:space="preserve">36. In this regard, the Professional argues that “this evident notice, which has so far been overlooked by the investigative activity, should alone respond to the criticisms highlighted by the Authority, insofar as it states that the incompleteness of the promotional information would derive from the consumer's lack of knowledge that the positive outcome of such operations would substantially depend on the creditors' availability and on complex procedures with entirely uncertain outcomes, which conversely is exactly the content of the aforementioned information: how else should the content of such information be better explained, is not clear”46. </w:t>
        <w:br/>
        <w:t xml:space="preserve">37. Among other things, “the company Difesa Debitori spa, despite the rejection of the commitment declaration, voluntarily proceeded to modify the relevant internet page,” notifying the Authority in the concluding memorandum in which the screenshot of the homepage dated October 2, 202047 was shown. </w:t>
        <w:br/>
        <w:t xml:space="preserve">38. Difesa Debitori contests the Authority's statements regarding “the scarcity of indications provided about the methods and services offered, along with the economic conditions applied. This remark appears unfounded, given that the complexity of the consultancy activity provided in the specific intervention sector effectively prevents a standardized approach for case typification, which obviously requires detailed intervention methods and strategies on an individual basis, which, like all professional and consultancy activities, cannot be exhaustively summarized except in the manner indicated on the site - unless different proposals that the Authority deems appropriate to identify - and which conversely are the subject of information provided to the requesting client in the pre-contractual phase, which can only be individualized and 'tailored', in accordance with the consumer protection regulations governing the matter”48. </w:t>
        <w:br/>
        <w:t xml:space="preserve">39. The Professional also asserts that “from another perspective, the alleged lack of information on the website regarding the applicable rates” by the Authority “appears misleading, given that, as has been explained several times, this is not an online sale, which is perfected through the simple acceptance by the consumer that occurs through links redirecting to the contractual stipulation, but merely a representation of the professional activities carried out, for which the client is invited, if they wish, to request and obtain the best information regarding their individual position, preliminary and therefore non-binding with respect to the assumption of the contractual obligation, which conversely occurs through the home signing of the contractual document, which is also not subject to criticism by the Authority”49. </w:t>
        <w:br/>
        <w:t xml:space="preserve">40. Also, “the reference to an alleged lack of information regarding the applicable rates appears entirely irrelevant, given that no regulation requires the publication of the applicable rates, except in the case of online sales, or of commercial transactions that occur directly on the website”50. </w:t>
        <w:br/>
        <w:t xml:space="preserve">41. Finally, the Professional reiterates that it has already implemented, in a spirit of maximum collaboration and to eliminate the doubts raised by the Authority, informational improvements on the site that should ensure full protection for consumers regarding the contested conduct51 and, in the concluding memorandum of October 16, 2020, reiterates the commitment proposal to modify the homepage of the site “as in the records and as has already occurred, pursuant to and for the effects of the provisions of Article 27, paragraph 7 of the Consumer Code”52. </w:t>
        <w:br/>
        <w:t xml:space="preserve">IV. OPINION OF THE AUTHORITY FOR GUARANTEES IN COMMUNICATIONS </w:t>
        <w:br/>
        <w:t xml:space="preserve">42. On October 20, 202053, a request for an opinion was sent to the Authority for Guarantees in Communications pursuant to Article 27, paragraph 6, of the Consumer Code, since the conduct subject to this provision was carried out via the internet. </w:t>
        <w:br/>
        <w:t xml:space="preserve">43. On November 19, 2020, the opinion54 of the Authority for Guarantees in Communications was received, stating that: “The internet is a global communication network, capable of quickly offering the user a vast sequence of potential information likely to influence their behavior; […] the daily use of the internet among the Italian population is constantly growing as is the number of people shopping online,” estimating that “over 20 million citizens […] in 2019 purchased via the web.” This represents “9% more than the previous year (Istat, Report 'Citizens, Businesses and ICT', year 2019) and therefore, the internet has assumed an increasingly significant value for citizens in the activity of purchasing goods and services.” “The means of communication used is suitable for developing a significant impact on consumers who, based on the information contained on the professional's sites, could be induced to make a commercial decision that they would not otherwise have made, thus concretely developing the full promotional potential of online communication.” </w:t>
        <w:br/>
        <w:t xml:space="preserve">44. Therefore, considering that the conduct occurred via the internet, the Authority for Guarantees in Communications believes that “in this case, the internet is a tool suitable for significantly influencing the realization of the commercial practice for which this Authority is requested an opinion”55. </w:t>
        <w:br/>
        <w:t xml:space="preserve">V. CONCLUDING EVALUATIONS </w:t>
        <w:br/>
        <w:t xml:space="preserve">1) Premise </w:t>
        <w:br/>
        <w:t xml:space="preserve">45. It is appropriate to preface that the reiteration of the commitment proposal regarding the modification of the homepage of the site, presented by the professional in the memorandum of October 16, 2020, is not deemed acceptable, as it is late and lacks new elements compared to the previous proposal, which has already been rejected by the Authority56. </w:t>
        <w:br/>
        <w:t xml:space="preserve">2) Evaluations on the merits of the contested conduct </w:t>
        <w:br/>
        <w:t xml:space="preserve">46. The procedure concerns the conduct carried out by Difesa Debitori related to the promotion, via the internet, of the paid consultancy and intermediation services it offers to a particular type of consumers, the insolvent debtors, to positively resolve their debt situations with creditors and the related consequences. </w:t>
        <w:br/>
        <w:t xml:space="preserve">47. The investigative activity has allowed for the ascertainment that, within this promotional activity via the web, information is omitted and/or partial or blatantly untrue information is provided that induces or is likely to induce the consumer-debtor, who is also in a particular condition of economic difficulty and emotional fragility, to make a commercial decision that they would not otherwise have made. </w:t>
        <w:br/>
        <w:t xml:space="preserve">48. First of all, it is appropriate to consider that the Professional is required to act taking into account the impact that their commercial practice could have on the consumers to whom it is directed. Specifically, the subjects targeted by the practice belong to the special category of vulnerable consumers precisely due to their economic suffering and psychological fragility. </w:t>
        <w:br/>
        <w:t xml:space="preserve">49. This circumstance consequently makes the obligations of informational transparency and professional correctness required of a company operating towards such subjects more stringent. They are, in fact, particularly exposed to the influence of marketing activity that leverages emotional dimensions and the presentation of a quick, easy, and convenient solution to their debt situation. </w:t>
        <w:br/>
        <w:t>50. In this sense, the EU legislator has expressed itself - in recital 19 of Directive 2005/29/EC of the European Parliament and of the Council concerning unfair commercial practices between businesses and consumers in the internal market of May 11, 2005 - indicating that “where certain characteristics, such as age, physical or mental infirmity, or naivety, render a group of consumers particularly vulnerable to a commercial practice or to the product to which it refers, and the economic behavior only of such consumers is susceptible to being influenced by that practice, the trader shall take account of those characteristics when assessing the practice.”</w:t>
      </w:r>
    </w:p>
    <w:p>
      <w:r>
        <w:rPr>
          <w:b/>
        </w:rPr>
        <w:t>[Pages 79–81]</w:t>
      </w:r>
    </w:p>
    <w:p>
      <w:r>
        <w:t>BULLETIN NO. 50 OF DECEMBER 21, 2020 81</w:t>
        <w:br/>
        <w:t>distorted by such practice, in a way that the professional can reasonably foresee, it is necessary to ensure that they are adequately protected by evaluating the practice from the perspective of the average member of said group.” This principle has been transposed at the national level in paragraph 3 of Article 20 of the Consumer Code.</w:t>
      </w:r>
    </w:p>
    <w:p>
      <w:r>
        <w:t>51. It follows that there is a greater responsibility for the professional who operates towards a “vulnerable” consumer57, if the commercial practice, as in the case at hand, alters their economic behavior “in a way that the professional could reasonably foresee.”</w:t>
      </w:r>
    </w:p>
    <w:p>
      <w:r>
        <w:t>52. Furthermore, any advertising message aimed at promoting a product and/or service, regardless of its specific characteristics, the communication methods adopted, and its outcome, immediate or subsequent to the promotion, constitutes a means of contact with the consumer suitable to be evaluated with the tools of the Consumer Code, as it can influence the commercial decision that they will make. This applies even if the consumer's final decision occurs at a later time and the message constitutes a first contact (“hook effect”).</w:t>
      </w:r>
    </w:p>
    <w:p>
      <w:r>
        <w:t>53. In the case at hand, the promotional messages present on the Professional's website highlight only the alleged capabilities and expertise of the Company regarding the resolution of debt disputes and the related consequences, but do not provide the information that the Professional should reasonably have foreseen as essential for the consumer-debtor (for example, an indication of the economic rates applied and the obligation to pay the entire agreed amount even in the event of withdrawal) and do not present other information clearly and precisely (adequately highlighted warnings about the possible outcome of the offered consultancy activity and the consequences of certain decisions such as, for example, registration in the database of bad payers in the event of interruption of payment of installments to the creditor) to allow the consumer-debtor to understand, already at the contact stage, the contents, obligations, and limits of the promoted commercial offer.</w:t>
      </w:r>
    </w:p>
    <w:p>
      <w:r>
        <w:t>54. Additional information beyond what is available “at first glance,” even if subsequently provided by the Professional through other means (e.g., a call center), cannot remedy the prejudice caused by the misleading and/or omission of the commercial communication under analysis, as it is capable on its own of achieving the promotional effect58 and significantly influencing the commercial decision of the vulnerable subject.</w:t>
      </w:r>
    </w:p>
    <w:p>
      <w:r>
        <w:t>55. The misleading nature of the message under analysis concerns those pieces of information that are presented to the consumer-debtor in an intentionally emphatic manner, in order to induce them to decide to avail themselves of the professional assistance of the Company Difesa Debitori.</w:t>
      </w:r>
    </w:p>
    <w:p>
      <w:r>
        <w:t>56. This particularly includes all those expressions presented assertively that are not true, such as “Protection and Help for Debtors. Regain peace of mind free from debt. Do you want to live without debt? Contact us,” present on the homepage. On the landing page of the link “Why turn to us” present on the homepage (“What can Difesa Debitori Spa do for you?”) there is a list of the activities offered, also presented in reassuring terms: “Resolve debts with Banks and Financial Institutions with savings of 40% to 70%,” “resolve issues with the Tax Authorities,” “protect your assets […] according to current regulations,” “check for usury and usury,” “remove negative reports from databases and from the protest bulletin”59. The same Professional has admitted that they cannot provide any guarantee of success, stating that “it is clear that there is no possibility of predicting the favorable outcome or otherwise of the consultancy activity provided […] nor can it guarantee the time frame within which to conclude the intervention and the eventual solution of the problem”60, so much so that they have modified the related statements.</w:t>
      </w:r>
    </w:p>
    <w:p>
      <w:r>
        <w:t>57. The data provided by the Company also confirms and shows how neither the outcome of negotiations to obtain the settlement of the debt, nor the indicated percentage range (40-70%) of reduction of the same can always be guaranteed to the consumer-debtor as, instead, the promotion would lead one to believe, as they depend on the will of the creditor as well as on the economic possibilities of the debtor. Even though the Company has stated that it has achieved a positive outcome in all cases, the data presented shows that it has not always been possible to guarantee the settlement of the debt between 40 and 70% of each client's debt load, as the promotion reported on the site would lead one to believe61.</w:t>
      </w:r>
    </w:p>
    <w:p>
      <w:r>
        <w:t>58. Regarding the Professional's observation that the emphasis of the promotional messages would be mitigated by the presence of a notice (alert) placed at the bottom of each webpage of the site, which should inform the consumer-debtor about the limitations and uncertainties related to the consultancy activity of the Company, it is evident that the placement of such an alert at the bottom of the web pages, with extremely small characters and in gray color, does not ensure that the identification and reading of such alert are immediate and easy for the consumer.</w:t>
      </w:r>
    </w:p>
    <w:p>
      <w:r>
        <w:t>59. The Professional cannot consider their obligations of professional diligence fulfilled by resorting to an alert placed in a discreet position, which the consumer should view to downplay the more pronounced statements made in a more evident and visible position on the same webpage. In this regard, it is also necessary to consider the category of vulnerable subjects to whom this conduct is directed, namely the consumer debtors.</w:t>
      </w:r>
    </w:p>
    <w:p>
      <w:r>
        <w:t>60. According to consistent jurisprudence, advertising that - as in the case at hand - emphasizes the convenience and effectiveness of a service, only to then specify, with little visible wording, the existence of limitations that can significantly downsize the advertised advantages62, is to be considered misleading.</w:t>
      </w:r>
    </w:p>
    <w:p>
      <w:r>
        <w:t>61. Furthermore, there has been an omission of relevant information, such as a detailed description of the activities that can be provided regarding specific debt situations, indications regarding the price requested by the Company for the services offered, and references to additional expenses to be incurred (administrative and otherwise).</w:t>
      </w:r>
    </w:p>
    <w:p>
      <w:r>
        <w:t>62. Such information appears fundamental for the consumer-debtor in order to allow them to adequately assess the commitment that the Company undertakes regarding their specific situation, the possible, actual guarantees that it can offer to the debtor, the appropriateness between the offered service and the requested cost, and the additional economic burdens necessary, so that their decision is informed regarding the actual economic advantage of the consultancy offered.</w:t>
      </w:r>
    </w:p>
    <w:p>
      <w:r>
        <w:t>63. The Professional argues that there is no obligation on the part of the Company to provide such information - in particular, regarding the indication of the rates requested for the services offered - since, as it is not an online sale, such information is provided during the subsequent phase of interaction of the consumer-debtor with the Company, considering that the assumption of the contractual obligation occurs only after the promotional phase through the signing at home of the contractual document.</w:t>
      </w:r>
    </w:p>
    <w:p>
      <w:r>
        <w:t>64. It should be noted that according to the judgment of the European Court of Justice (Second Chamber) regarding case C-122/10, it is not “[…] necessary for the commercial communication to also involve a concrete means of purchasing the product or to occur in proximity to or on the occasion of such a means”63, the relevance of such information, in the case at hand, is evident as the consumer-debtor should be able to assess the opportunity and convenience of incurring additional economic burdens, which could also prove to be particularly burdensome (360 euros related to the preliminary assessment of their situation, to which the costs of the consultancy activity should be added, which could reach up to 12.29% of their debt load, in addition to the aforementioned additional expenses).</w:t>
      </w:r>
    </w:p>
    <w:p>
      <w:r>
        <w:t>65. A debtor client, in fact, could find themselves in a position to obtain a significant reduction of their debt thanks to the intervention of Difesa Debitori, but such reduction could, in any case, be offset to a greater or lesser extent by the economic commitment contracted with the same Difesa Debitori. It should also be noted that the contract provides for the impossibility for the debtor to terminate the agreement with the Company, unless they pay, in any case, the entire agreed amount in a single payment. Such informative elements are necessary to place the consumer-debtor in a position to consciously decide whether to engage in dialogue with the Professional and begin to incur costs, facing the risk of an unguaranteed outcome.</w:t>
      </w:r>
    </w:p>
    <w:p>
      <w:r>
        <w:t>66. Regarding the difficulty claimed by the Professional to indicate the rates on the website, as the type of activity carried out would not allow “a standardized approach for typifying cases that obviously require detailed intervention methods and strategies on an individual basis […] like all professional and consultancy activities”64, it should be clarified that, as indicated in the aforementioned judgment of the European Court of Justice, “[…] the requirement regarding the indication of the price of the product can be considered satisfied if the commercial communication contains a price ‘starting from’, or starting price, that is, the minimum price at which it is possible to purchase the product or the type of products marketed, when it is also available in other variants or with different content, at prices not indicated”65.</w:t>
      </w:r>
    </w:p>
    <w:p>
      <w:r>
        <w:rPr>
          <w:b/>
        </w:rPr>
        <w:t>[Pages 82–84]</w:t>
      </w:r>
    </w:p>
    <w:p>
      <w:r>
        <w:t>84 BULLETIN NO. 50 OF DECEMBER 21, 2020</w:t>
        <w:br/>
        <w:t>Conversely, in the case at hand, the Professional does not provide any indication on the website regarding the costs of the service offered, neither with reference to the price (295.08 euros + VAT) related to the preliminary assessment service of the requesting consumer's debt situation (phase 1, of which the consumer is informed only following the letter of engagement to the Company), nor to the range of percentages applicable to the debt for the various proposed services (phase 2) and the additional potential expenses for judicial, extrajudicial activities, and for the drafting of public acts that consumers might have to bear.</w:t>
        <w:br/>
        <w:t>67. In conclusion, the unfair conduct carried out by Difesa Debitori concerning the promotion of the offered activities, as presented on the website www.difesadebitori.it/, taking into account also the particular target of consumers to whom it is directed, consists of the dissemination of information that is not true regarding the positive composition of debt disputes and in omissions of all those economic and technical information that are essential for consumer-debtors to make an informed decision.</w:t>
        <w:br/>
        <w:t>68. The Company Difesa Debitori, therefore, did not pay the necessary attention to the quality, completeness, and correctness of the information presented on its website regarding the services it actually offers and guarantees.</w:t>
        <w:br/>
        <w:t>69. This conduct therefore constitutes a violation of Articles 21 paragraph 1, letters b) and c) and 22, paragraph 1, of the Consumer Code, as it is capable of misleading the aforementioned consumers and leading them to make a commercial decision that they would not have otherwise made.</w:t>
        <w:br/>
        <w:t>VI. QUANTIFICATION OF THE SANCTION</w:t>
        <w:br/>
        <w:t>70. Pursuant to Article 27, paragraph 9, with the provision that prohibits practices carried out in violation of Articles 20 et seq. of the Consumer Code, the Authority imposes an administrative pecuniary sanction from 5,000 to 5,000,000 euros, taking into account the severity and duration of the violation.</w:t>
        <w:br/>
        <w:t>71.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72. Regarding the severity of the violation, consideration is given, in the case at hand, to the misleading nature that characterized the promotional phase of the activities of Difesa Debitori, based on the omission of information related to the services and the related costs requested for them and also on the communication of untrue information regarding the positive outcome of the actions it undertook.</w:t>
        <w:br/>
        <w:t>73. Furthermore, the economic size of the Professional is taken into account, considering the revenues of Difesa Debitori as of December 31, 2019, amounting to 10,593,867 euros66.</w:t>
        <w:br/>
        <w:t>74. The particular vulnerability of the consumers affected by the practice in question is also considered, as they are particularly vulnerable due to their economic distress and psychological fragility.</w:t>
        <w:br/>
        <w:t>75. Finally, the economic harm suffered by the consumers affected by the practice is estimated at approximately [500,000-1,300,000] euros.</w:t>
        <w:br/>
        <w:t>76. Regarding the duration of the violation, from the elements acquired in the records, it appears that the conduct has been carried out at least since November 201867 and is still ongoing68.</w:t>
        <w:br/>
        <w:t>77. Based on the aforementioned elements, it is deemed appropriate to determine the amount of the administrative pecuniary sanction applicable to Difesa Debitori at the level of 1,000,000 € (one million euros)69.</w:t>
        <w:br/>
        <w:t>CONSIDERING, therefore, in accordance with the opinion of the Authority for Guarantees in Communications and based on and within the limits of the considerations outlined, that the conduct described in paragraph II constitutes a violation of Articles 21 paragraph 1, letters b) and c) and 22, paragraph 1, of the Consumer Code for the misleading nature of the information provided and the omissions related to the promotion of paid consultancy and intermediation services offered to consumer-debtors;</w:t>
        <w:br/>
        <w:t>RESOLVES</w:t>
        <w:br/>
        <w:t>a) that the conduct described in paragraph II of this provision, carried out by the company Difesa Debitori Spa, constitutes, for the reasons and within the limits set forth in the motivation, a violation of Articles 21, paragraph 1, letters b) and c), and 22, paragraph 1, of the Consumer Code, and prohibits its dissemination or continuation;</w:t>
        <w:br/>
        <w:t>b) to impose on the company Difesa Debitori Spa an administrative pecuniary sanction of 1,000,000 € (one million euros);</w:t>
        <w:br/>
        <w:t>c) that the professional communicates to the Authority, within sixty days from the notification of this provision, the initiatives taken in compliance with the injunction referred to in point a).</w:t>
        <w:br/>
        <w:t>The administrative sanction imposed must be paid within thirty days from the notification of this provision, using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76. After the aforementioned deadline, for the period of delay of less than six months, late payment interest must be paid at the legal rate starting from the day after the payment deadline until the date of payment. In case of further delay in fulfillment,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in the same period.</w:t>
        <w:br/>
        <w:t>Notification of the payment must be immediately communicated to the Authority by sending a copy of the model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Filippo Arena Roberto Rustichelli</w:t>
      </w:r>
    </w:p>
    <w:p>
      <w:r>
        <w:rPr>
          <w:b/>
        </w:rPr>
        <w:t>[Pages 85–87]</w:t>
      </w:r>
    </w:p>
    <w:p>
      <w:r>
        <w:t>BULLETIN NO. 50 OF DECEMBER 21, 2020 87</w:t>
        <w:br/>
        <w:t>PS11637 - HW1-COMMISSION ON PAYMENT BY CREDIT CARD</w:t>
        <w:br/>
        <w:t>Provision No. 28477</w:t>
        <w:br/>
        <w:t>THE AUTHORITY FOR THE GUARANTEE OF COMPETITION AND THE MARKET</w:t>
        <w:br/>
        <w:t>IN ITS MEETING of December 1, 2020;</w:t>
        <w:br/>
        <w:t>HEARD the Rapporteur, Dr. Gabriella Muscolo;</w:t>
        <w:br/>
        <w:t>HAVING REGARD TO Part III,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documents of the proceeding;</w:t>
        <w:br/>
        <w:t>I. THE PARTIES</w:t>
        <w:br/>
        <w:t>1. Webcom S.r.l., VAT/Tax Code 03612370043, in its capacity as a professional, pursuant to the Consumer Code. The company, through the website https://www.hw1.it, operates in the online sale of electronic products1 and, based on the latest available financial statements, in 2019 achieved a turnover of 6,456,928 euros and a profit of 11,455 euros2.</w:t>
        <w:br/>
        <w:t>2. Altroconsumo, in its capacity as an independent consumer association reporting.</w:t>
        <w:br/>
        <w:t>II. THE CONDUCT SUBJECT TO THE PROCEEDING</w:t>
        <w:br/>
        <w:t>3. The proceeding concerns the behavior carried out by Webcom S.r.l. (hereinafter also, Webcom or the Professional), consisting of applying additional charges to consumers beyond the price of the products sold on its website www.hw1.it, for the use of the PayPal payment instrument.</w:t>
        <w:br/>
        <w:t>4. In particular, the Professional applies, in the case of payment via PayPal, a fee of 2% on the amount of the goods purchased on the aforementioned website.</w:t>
        <w:br/>
        <w:t>III. THE OUTCOMES OF THE PROCEEDING</w:t>
        <w:br/>
        <w:t>1) The course of the proceeding</w:t>
        <w:br/>
        <w:t>5. Based on a report made by the consumer association Altroconsumo3, as well as official surveys conducted for the application of the Consumer Code on the website www.hw1.it, it emerged that the Professional applies, in the case of payment via PayPal, a fee of 2% on the amount of the goods purchased on the website www.hw1.it, attributable to the same Professional, thereby charging consumers additional costs in relation to the use of a specific payment instrument.</w:t>
        <w:br/>
        <w:t>6. In light of the information gathered, on December 24, 2019, an invitation was issued to Webcom S.r.l., pursuant to Article 4, paragraph 5 of the Regulation, to remove the profiles of possible unfairness of the commercial conduct carried out by the Professional, eliminating the charge to consumers of a 2% supplement on the total amount of purchases made on the website www.hw1.it in the case of payment via PayPal, in presumed violation of Article 62 of the Consumer Code, according to which "professionals may not impose on consumers, in relation to the use of certain payment instruments, charges for the use of such instruments."</w:t>
        <w:br/>
        <w:t>7. In relation to the aforementioned conduct, as no response was received from the Professional to the aforementioned invitation, on July 16, 2020, the Parties were notified of the initiation of the investigative proceeding PS11637, pursuant to Article 27, paragraph 3 of the Consumer Code, against Webcom S.r.l. for presumed violation of Article 62 of the Consumer Code4.</w:t>
        <w:br/>
        <w:t>8. In this context, the possible illegality of the conduct carried out by Webcom was particularly noted, in violation of Article 62 of the Consumer Code, since the Professional applies, in the case of payment via PayPal, the so-called payment card surcharge consisting of an additional fee of 2% on the amount of the goods purchased on its website www.hw1.it.</w:t>
        <w:br/>
        <w:t>9. On September 4, 2020, Webcom communicated a response note to the requests for information made concurrently with the notification of the initiation of the proceeding5.</w:t>
        <w:br/>
        <w:t>10. On October 2, 2020, 7 screenshots of web pages in PNG format were acquired into the records of the proceeding, taken from the website https://www.hw1.it on September 15 and 23, 2020, and on October 2, 20206.</w:t>
        <w:br/>
        <w:t>11. On the same date of October 2, 2020, the Parties were notified of the deadline for concluding the investigative phase, pursuant to Article 16, paragraph 1, of the Regulation, set for October 23, 20207.</w:t>
        <w:br/>
        <w:t>12. On October 26, 2020, Webcom communicated its intention not to submit final statements, finding no new elements compared to those already presented in its statement of September 4, 20208.</w:t>
        <w:br/>
        <w:t>13. On October 26, 2020, since the conduct in question was carried out through the Professional's website, the Authority for Communications Guarantees was requested to express its opinion, pursuant to Article 27, paragraph 6, of the Consumer Code, regarding the aforementioned conduct9. The requested opinion was received on November 25, 202010.</w:t>
        <w:br/>
        <w:t>2) The evidence acquired</w:t>
        <w:br/>
        <w:t>14. From the documentation acquired in the records of the PS11637 proceeding, particularly from the report received from Altroconsumo11, as well as from the official surveys conducted12, it emerged that Webcom applies, in the case of payment via PayPal, a fee equal to 2% of the total amount of purchases made on its website www.hw1.it.</w:t>
        <w:br/>
        <w:t>4 See doc. n. 7 in the index of the file.</w:t>
        <w:br/>
        <w:t>5 See doc. n. 10 in the index of the file.</w:t>
        <w:br/>
        <w:t>6 See doc. n. 13 in the index of the file.</w:t>
        <w:br/>
        <w:t>7 See docs. nn. 11 and 12 in the index of the file.</w:t>
        <w:br/>
        <w:t>8 See doc. n. 14 in the index of the file.</w:t>
        <w:br/>
        <w:t>9 See doc. n. 15 in the index of the file.</w:t>
        <w:br/>
        <w:t>10 See doc. n. 16 in the index of the file.</w:t>
        <w:br/>
        <w:t>11 See doc. n. 1 in the index of the file.</w:t>
        <w:br/>
        <w:t>12 See docs. nn. 5 and 13 in the index of the file.</w:t>
      </w:r>
    </w:p>
    <w:p>
      <w:r>
        <w:t>BULLETIN NO. 50 OF DECEMBER 21, 2020 89</w:t>
        <w:br/>
        <w:t>15. Below is a simulation of a purchase of products made on the aforementioned website in July 2020, from which it emerges that, after proceeding to insert the goods into the virtual cart and selecting the "proceed to checkout" option, the system directs to the payment procedure; at this stage, a screen appears through which the consumer can choose the preferred payment method and, selecting PayPal, the initially indicated price is increased by a fee corresponding to 2% of the price of the goods (see subsequent Images nos. 1 and 2, taken on July 6, 2020 from the website https://www.hw1.it)13.</w:t>
        <w:br/>
        <w:t>Image no. 1</w:t>
        <w:br/>
        <w:t>Image no. 2</w:t>
        <w:br/>
        <w:t>13 See doc. n. 6 in the index of the file.</w:t>
      </w:r>
    </w:p>
    <w:p>
      <w:r>
        <w:rPr>
          <w:b/>
        </w:rPr>
        <w:t>[Pages 88–90]</w:t>
      </w:r>
    </w:p>
    <w:p>
      <w:r>
        <w:t>90 BULLETIN NO. 50 OF DECEMBER 21, 2020</w:t>
        <w:br/>
        <w:t>16. The Professional, in response to the request for information made at the start of the investigation14, confirmed that it applies a credit card surcharge for every purchase made by consumers on its website since the year 201715 and quantified it at 2% of the total price of the goods to be purchased.</w:t>
        <w:br/>
        <w:t>17. The evidence on file has also confirmed that a sum of money for each purchase made via PayPal is requested as an "administrative fee," corresponding precisely to 2% of the total amount between the price of the product to be purchased and the shipping costs (see subsequent image no. 3)16.</w:t>
        <w:br/>
        <w:t>Image no. 3 – recorded on September 23, 2020</w:t>
        <w:br/>
        <w:t>3) The defensive arguments of the Party</w:t>
        <w:br/>
        <w:t>18. Regarding the merits of the conduct subject to this proceeding, Webcom stated during the investigation that Article 62 of the Consumer Code would provide that professionals cannot impose on consumers, in relation to the use of certain payment instruments, costs for the use of such instruments or "fees that exceed those incurred by the professional."</w:t>
        <w:br/>
        <w:t>19. In this case, PayPal would charge the Professional a fee that would be calculated month by month on the taxable sales activity of the previous month, based on a percentage that is always significantly higher than 2%. In this regard, the Professional submitted the</w:t>
        <w:br/>
        <w:t>14 See doc. no. 10 in the index of the file.</w:t>
        <w:br/>
        <w:t>15 In the response to the request for information, Webcom highlighted that the application of the credit card surcharge was already provided among the settings of the website at the time of its management transfer to the Professional, which occurred in 2017. See doc. no. 10 in the index of the file.</w:t>
        <w:br/>
        <w:t>16 See docs. no. 5 and 13 in the index of the file.</w:t>
      </w:r>
    </w:p>
    <w:p>
      <w:r>
        <w:t>BULLETIN NO. 50 OF DECEMBER 21, 2020 91</w:t>
        <w:br/>
        <w:t>financial summary of PayPal accounts from 2017 to May 31, 2020, from which the amounts of the fees charged to the Professional for transactions carried out via the PayPal payment instrument are evident.</w:t>
        <w:br/>
        <w:t>20. Therefore, Webcom believes that by applying a fee of 2% of the price of the purchased goods to the consumer, and thus a lower fee compared to that applied to Webcom by PayPal, it would not violate Article 62 of the Consumer Code17.</w:t>
        <w:br/>
        <w:t>21. In the same memorandum, the Professional also noted that a wide range of payment methods is offered to the consumer on its website, allowing the consumer to choose the most convenient method, also in terms of ancillary costs.</w:t>
        <w:br/>
        <w:t>22. Furthermore, Webcom stated that the fee applied in the case of payment via PayPal is clearly and accurately indicated to the consumer at the time of choosing the payment method18.</w:t>
        <w:br/>
        <w:t>IV. OPINION OF THE AUTHORITY FOR COMMUNICATIONS GUARANTEES</w:t>
        <w:br/>
        <w:t>23. Since the commercial conduct subject to this provision was disseminated through telecommunications means (internet), on October 26, 2020, an opinion was requested from the Authority for Communications Guarantees, pursuant to Article 27, paragraph 6, of the Consumer Code.</w:t>
        <w:br/>
        <w:t>24. In a communication received on November 25, 202019, the aforementioned Authority expressed the requested opinion (Resolution no. 603/20/CONS), limiting its assessments to the suitability of the specific means of communication used to disseminate the commercial practice to influence and amplify any misleading and/or unfairness of the same practice.</w:t>
        <w:br/>
        <w:t>25. In particular, the aforementioned Authority, considering that "the use of the Internet by Webcom, particularly through a website (http://hw1.it), was aimed at the online sale of electronic products and that the conduct, in particular, concerns the fees charged to customers for the use of 'PayPal,' one of the most widespread and accredited online payment methods among users," and noting that, "as evidenced by the data related to the Company's revenues for the period 2017-2020 present in the proceedings, the commercial activity of the professional is economically relevant and that already in December 2019 the Company had received an invitation from the Antitrust Authority to remove the possible profiles of unfairness found," deemed "therefore, that, based on the documentation on file, in this case, the Internet is a suitable tool to significantly influence the realization of the commercial practice for which this Authority is requested to provide an opinion."</w:t>
        <w:br/>
        <w:t>V. CONCLUDING EVALUATIONS</w:t>
        <w:br/>
        <w:t>26. This provision concerns the conduct of Webcom, as described in the previous point II, consisting of applying a surcharge on the amount of purchases made on the website www.hw1.it in the case of payment via PayPal (a circumstance, moreover, made known to consumers only at the time of choosing the payment method), thereby charging consumers additional costs in relation to the use of a specific payment instrument.</w:t>
        <w:br/>
        <w:t>27. The conduct under examination is in contrast with Article 62 of the Consumer Code, which provides that professionals cannot impose on consumers, in relation to the use of certain payment instruments, additional costs for the use of such instruments. In detail, paragraph 1 of Article 62 of the Consumer Code – titled Fees for the use of payment methods – included in Section III (Other rights of the consumer), Chapter I (Consumer rights in contracts), Title III (Contractual methods), of Part III (The consumer relationship), states that "Pursuant to Article 3, paragraph 4, of Legislative Decree No. 11 of January 27, 2010, professionals cannot impose on consumers, in relation to the use of certain payment instruments, costs for the use of such instruments, or in cases expressly established, fees that exceed those incurred by the professional."</w:t>
        <w:br/>
        <w:t>28. It is appropriate to highlight that, starting from June 13, 2014 – the date on which Legislative Decree 21/14 transposed Directive 2011/83/EU (so-called Consumer Rights) – and until the entry into force of Legislative Decree 218/1720, the referenced norm allowed the professional to apply a surcharge, however not exceeding the costs incurred by the professional, but only "in cases expressly established." However, in the Italian legal system, no regulation has ever been introduced that allowed the professional to apply fees to the consumer for the use of certain payment systems, so it must be considered that the prohibition of the so-called credit card surcharge in the Italian legal system was to be understood, starting from 2014, as generalized and not susceptible to any exception.</w:t>
        <w:br/>
        <w:t>29. With the provision in question, the legislator intended to generally prohibit the imposition by professionals and towards consumers of costs for the use of a specific payment instrument, a general definition that also includes the specific payment instrument constituted by PayPal.</w:t>
        <w:br/>
        <w:t>30. Furthermore, recently, Article 2, paragraph 3, letter d), of Legislative Decree 218/17 – which transposed Directive (EU) 2015/2366 on payment services in the internal market21 – reformulated Article 3, paragraph 4, of Legislative Decree No. 11/2010, already referenced in Article 62 of the Consumer Code, establishing an absolute prohibition of payment card surcharge: "The beneficiary cannot apply to the payer costs related to the use of payment instruments," effectively eliminating the second paragraph of the previous provision that left open the possibility for the competent Authority (Bank of Italy) to "establish by its own regulation exceptions taking into account the need to promote the use of the most efficient and reliable payment instruments"22.</w:t>
        <w:br/>
        <w:t>31. In light of the regulatory framework briefly outlined above, the conduct carried out by Webcom, consisting of applying a price supplement to consumers in the case of payment via PayPal for purchases made on its website, the implementation of which has been confirmed by the Professional itself, constitutes a violation of Article 2, paragraph 3, letter d), of Legislative Decree 218/17 – which reformulated Article 3, paragraph 4, of Legislative Decree No. 11/2010, referenced by Article 62 of the Consumer Code – which establishes the absolute prohibition of the so-called payment card surcharge, providing that "The beneficiary cannot apply to the payer costs related to the use of payment instruments."</w:t>
        <w:br/>
        <w:t>20 Legislative Decree of December 15, 2017, No. 218, concerning "Transposition of Directive (EU) 2015/2366 on payment services in the internal market, which amends Directives 2002/65/EC, 2009/110/EC and 2013/36/EU and Regulation (EU) No. 1093/2010, and repeals Directive 2007/64/EC, as well as adjustment of internal provisions to Regulation (EU) No. 751/2015 on interchange fees for card-based payment transactions."</w:t>
        <w:br/>
        <w:t>21 So-called PSD2, which repealed Directive 2007/64/EC – so-called PSD.</w:t>
        <w:br/>
        <w:t>22 The previous formulation of Article 3, paragraph 4, of Legislative Decree 11/2010 was as follows: "The beneficiary cannot apply costs to the payer for the use of a specific payment instrument. The Bank of Italy may establish by its own regulation exceptions taking into account the need to promote the use of the most efficient and reliable payment instruments." However, no regulation and no exceptions have ever been provided by the Bank of Italy.</w:t>
      </w:r>
    </w:p>
    <w:p>
      <w:r>
        <w:rPr>
          <w:b/>
        </w:rPr>
        <w:t>[Pages 91–93]</w:t>
      </w:r>
    </w:p>
    <w:p>
      <w:r>
        <w:t>BULLETIN NO. 50 OF DECEMBER 21, 2020 93</w:t>
        <w:br/>
        <w:t>32. Based on the above, the claims made by the Professional regarding the fact that the application of a surcharge for the use of the PayPal payment system for the purchase of products sold on the website www.hw1.it would not constitute a violation of Article 62 of the Consumer Code are without merit, since PayPal charges the Professional a fee higher than that applied by the latter to consumers (2%).</w:t>
        <w:br/>
        <w:t>33. On this point, as previously stated and argued, Article 62 of the Consumer Code, as amended by recent legislative interventions, specifically by Legislative Decree 218/17, indeed imposes an express, absolute, and generalized prohibition on the application of commissions and/or additional charges to consumers in relation to the use of a specific payment instrument.</w:t>
        <w:br/>
        <w:t>34. In conclusion, for the reasons stated, the application by Webcom of additional charges related to the use of a specific payment instrument, in this case PayPal, regardless of whether such additional charges are clearly indicated to the consumer prior to the submission of the order, constitutes, as of the date of Webcom's assumption of management of the website www.hw1.it (2017), a violation of Article 62 of the Consumer Code.</w:t>
        <w:br/>
        <w:t>VI. QUANTIFICATION OF THE SANCTION</w:t>
        <w:br/>
        <w:t>35. Pursuant to Article 27, paragraph 9, of the Consumer Code, with the provision that prohibits the unlawful conduct, the Authority imposes an administrative pecuniary sanction ranging from 5,000 to 5,000,000 euros, taking into account the severity and duration of the violation.</w:t>
        <w:br/>
        <w:t>36.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37. Concerning the severity of the violation, in the case at hand, consideration is given to the size of the Professional - who, based on the latest available financial statements, recorded revenues of 6,456,928 euros in 2019 with a profit of 11,455 euros - the economic harm caused to consumers, related to the unjustified economic burden suffered due to the specific payment method chosen, amounting to 2% of the total value of goods purchased online, the specificities of the e-commerce sector, which places the purchasing consumer in a position of inevitable informational asymmetry compared to the professional, as well as the capacity of the medium of dissemination of the unlawful conduct (the internet), capable of reaching a large number of consumers.</w:t>
        <w:br/>
        <w:t>38. Regarding the duration of the violation, the evidence obtained indicates that the unlawful conduct has been carried out by the Professional since April 201723 and that it is still ongoing, given the absence of communications regarding this matter from the Professional and/or certain evidence regarding its cessation24.</w:t>
        <w:br/>
        <w:t>23 See, in this regard, the report from the association Altroconsumo, dated April 3, 2017, sub doc. no. 1 of the index of the file.</w:t>
        <w:br/>
        <w:t>24 Based on the latest official survey conducted on October 2, 2020, the Professional was still applying to consumers, in the case of payment via PayPal, a price surcharge equal to 2% of the total value of the goods purchased (see doc. no. 13 of the index of the file). Furthermore, in the last communication sent by the Professional on October 26, 2020, it was specified only that no final memorandum had been sent due to the absence of new and additional arguments compared to those already presented in the memorandum of September 4, 2020 (see doc. no. 10 of the index of the file).</w:t>
      </w:r>
    </w:p>
    <w:p>
      <w:r>
        <w:t>94 BULLETIN NO. 50 OF DECEMBER 21, 2020</w:t>
        <w:br/>
        <w:t>39. Based on these elements, it is deemed appropriate to determine the amount of the administrative pecuniary sanction applicable to Webcom at 60,000 € (sixty thousand euros).</w:t>
        <w:br/>
        <w:t>THEREFORE, CONSIDERING the opinion of the Authority for Guarantees in Communications, and based on the above considerations, that the conduct in question constitutes the case described by Article 62 of the Consumer Code, insofar as the professional has imposed charges on consumers for the use of certain payment instruments;</w:t>
        <w:br/>
        <w:t>RESOLVES</w:t>
        <w:br/>
        <w:t>a) that the conduct described in point II of this provision, carried out by the company Webcom S.r.l., constitutes, for the reasons and within the limits stated in the motivation, a violation of Article 62 of the Consumer Code, and prohibits its dissemination or continuation;</w:t>
        <w:br/>
        <w:t>b) to impose on the company Webcom S.r.l. an administrative pecuniary sanction of 60,000 € (sixty thousand euros);</w:t>
        <w:br/>
        <w:t>c) that the professional shall communicate to the Authority, within sixty days from the notification of this provision, the initiatives taken in compliance with the injunction referred to in point a).</w:t>
        <w:br/>
        <w:t>The imposed administrative sanction must be paid within thirty days from the notification of this provision, using the tax codes indicated in the attached model F24 with identifying elements, pursuant to Legislative Decree No. 241/1997.</w:t>
        <w:br/>
        <w:t>Payment must be made electronically with a debit to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in the same period.</w:t>
        <w:br/>
        <w:t>Immediate communication of the payment must be given to the Authority by sending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euros.</w:t>
        <w:br/>
        <w:t>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Filippo Arena Roberto Rustichelli</w:t>
      </w:r>
    </w:p>
    <w:p>
      <w:r>
        <w:rPr>
          <w:b/>
        </w:rPr>
        <w:t>[Pages 94–96]</w:t>
      </w:r>
    </w:p>
    <w:p>
      <w:r>
        <w:t>96 BULLETIN NO. 50 OF DECEMBER 21, 2020</w:t>
        <w:br/>
        <w:t>PS11650 - PNEUMATICONE - FAILURE TO DELIVER</w:t>
        <w:br/>
        <w:t>Provision No. 28478</w:t>
        <w:br/>
        <w:t>THE ANTITRUST AUTHORITY</w:t>
        <w:br/>
        <w:t>IN ITS MEETING of December 1, 2020;</w:t>
        <w:br/>
        <w:t>HEARD the Rapporteur, Dr. Gabriella Muscolo;</w:t>
        <w:br/>
        <w:t>HAVING REGARD to Part II, Title III and Part III,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provision of March 17, 2020, No. 28201, which resolved the adoption of the precautionary measure, pursuant to Article 27, paragraph 3, of the Consumer Code;</w:t>
        <w:br/>
        <w:t>HAVING REGARD to the ex lege suspension of deadlines in administrative proceedings, pursuant to Article 103 of Decree-Law No. 18 of March 17, 2020 and Article 37 of Decree-Law No. 23 of April 8, 2020;</w:t>
        <w:br/>
        <w:t>HAVING REGARD to the acts of the proceeding;</w:t>
        <w:br/>
        <w:t>I. THE PARTIES</w:t>
        <w:br/>
        <w:t>1. Pneumaticone 2016 S.L. (hereinafter Pneumaticone or the professional), as a professional, pursuant to Article 18, letter b), of the Consumer Code. The company, based in Spain and operating through the website www.pneumaticone.it, is engaged in the online sale of various types of tires. In 2018, based on the latest available financial statements, Pneumaticone generated a turnover of approximately [10-15]* million euros.</w:t>
        <w:br/>
        <w:t>2. Federconsumatori, as a consumer association reporting the issue.</w:t>
        <w:br/>
        <w:t>II. THE CONDUCTS ALLEGED</w:t>
        <w:br/>
        <w:t>3. The proceeding concerns the conducts carried out by Pneumaticone, consisting of:</w:t>
        <w:br/>
        <w:t>a) the promotion and marketing of various types of tires presenting them as immediately available and committing to deliver them within 15 working days, only to then, on one hand, fail to deliver the products purchased online and, on the other hand, create obstacles to the exercise, by consumers, of the rights of withdrawal and refund arising from the contractual relationship;</w:t>
        <w:br/>
        <w:t>b) the failure to comply with certain information obligations in distance contracts, specifically regarding the absence of the form for exercising the right of withdrawal and the failure to indicate the possibility of using an extrajudicial complaint and appeal mechanism, as well as the violation of the rules regarding the consumer's right of withdrawal, through an unjustified limitation on the registered letter A.R. as a means of communicating the intention to withdraw and the application of costs in the event of withdrawal.</w:t>
        <w:br/>
        <w:t>* In this version, some data are omitted, as elements of confidentiality or secrecy of the information were deemed to exist.</w:t>
      </w:r>
    </w:p>
    <w:p>
      <w:r>
        <w:t>BULLETIN NO. 50 OF DECEMBER 21, 2020 97</w:t>
        <w:br/>
        <w:t>III. THE OUTCOMES OF THE PROCEEDING</w:t>
        <w:br/>
        <w:t>1) The course of the proceeding</w:t>
        <w:br/>
        <w:t>Pre-investigative activity</w:t>
        <w:br/>
        <w:t>4. Since June 2019, numerous requests for intervention have been received by the Authority, transmitted by consumers1 and their representative associations2, aimed at reporting profiles of alleged unfairness in the promotion and sale of tires by the professional through its website pneumaticone.it.</w:t>
        <w:br/>
        <w:t>5. In particular, there are about seventy reports; of these, about forty were received after the adoption of the precautionary measure of March 17, 2020. Additionally, seven complaints were received during the period from August to October 2020, that is, at a time subsequent to the closure of the website by the professional, as evidenced by the minutes of acquisition in the investigative file.</w:t>
        <w:br/>
        <w:t>6. On February 12, 2020, an official survey was conducted on the aforementioned site, and the general sales conditions adopted by the Professional (so-called "Terms and Conditions of Use")3 were acquired.</w:t>
        <w:br/>
        <w:t>Investigative activity</w:t>
        <w:br/>
        <w:t>7. In relation to the aforementioned conducts, on February 14, 2020, the Parties were notified of the initiation of investigative proceeding No. PS11650 against the professional for alleged violations of Articles 20, 21, 22, 24, 25, 49, paragraph 1, letters h) and v), 52, 54, and 57 of the Consumer Code. At the same time, a proceeding was initiated for the possible provisional suspension, pursuant to Article 27, paragraph 3, of the Consumer Code, as well as Article 8 of the Regulation, with particular reference to the conducts of the professional related to the failure to deliver the products purchased online and the obstacle to the exercise of the right of withdrawal.</w:t>
        <w:br/>
        <w:t>8. In this context, it was particularly hypothesized that the conducts carried out by the professional were contrary to professional diligence and suitable to deceive consumers and limit their freedom of choice, also through non-contractual obstacles to the exercise of their right to obtain delivery of the purchased goods and obtain a refund in case of non-delivery or withdrawal, thus unduly conditioning their behavior and leading them to make a commercial decision that they otherwise would not have made. Furthermore, the conducts carried out by the professional appeared to be in contrast with Legislative Decree No. 21/2014 regarding information obligations provided in the case of distance negotiated contracts as well as regarding consumer rights of withdrawal and refund.</w:t>
        <w:br/>
        <w:t>9. Following the communication of initiation on February 14, 2020, and with reference to the precautionary proceeding, the professional transmitted, with notes dated February 18 and 26, 20204, some information regarding the changes allegedly made to its website, the income statement for 2018, and the situation of deliveries and refunds.</w:t>
        <w:br/>
        <w:t>10. With provision No. 28201 of March 17, 2020, the Authority adopted a precautionary measure, pursuant to Article 27, paragraph 3, of the Consumer Code, against the company Pneumaticone, ordering the professional to temporarily suspend any activity aimed at promoting products that were not actually available and could therefore not be delivered to consumers within the indicated delivery time.</w:t>
        <w:br/>
        <w:t>11. On March 26, 2020, following the Authority's order contained in the precautionary measure of March 17, 2020, which imposed the suspension of the promotion and sale of products not actually available and that could not be delivered within the indicated time, the professional communicated that it had provided (as of March 24, 2020) to modify the contractual terms (see infra).</w:t>
        <w:br/>
        <w:t>12. With subsequent communication on April 2, 2020, also in compliance with the aforementioned precautionary measure, the professional communicated that it had removed from its promotion and sale several products for which "there was no certainty of their availability"5 (see infra).</w:t>
        <w:br/>
        <w:t>13. On June 3, 2020, assistance was requested, pursuant to Article 5, paragraphs 3 and 4, of Legislative Decree No. 70 of April 9, 2003 - implementing "Directive 2000/31/EC on certain legal aspects of information society services in the internal market, with particular reference to electronic commerce" - from the competent Spanish authority, the Ministerio de Energía Turismo y Agenda Digital - Secretaría de Estado de Telecomunicaciones y para la Sociedad de la Información, submitted via IMI (Internal Market Information).</w:t>
        <w:br/>
        <w:t>14. With communications dated June 9 and 10, 2020, the professional provided some requested information.</w:t>
        <w:br/>
        <w:t>15. On August 6, 2020, an official survey was conducted on the professional's website, from which it emerged that the company had ceased its activity, simultaneously suspending the website6.</w:t>
        <w:br/>
        <w:t>16. On October 14, 2020, the Parties were notified of the conclusion date of the investigative phase pursuant to Article 16, paragraph 1, of the Regulation.</w:t>
        <w:br/>
        <w:t>17. Within the time granted to the Parties to submit final submissions, the professional did not transmit any communication regarding the proceeding in question.</w:t>
        <w:br/>
        <w:t>18. On October 29, 2020, a request for opinion was sent to the Authority for Guarantees in Communications, which was received on November 30, 2020.</w:t>
        <w:br/>
        <w:t>19. On November 18, 2020, the Authority notified - pursuant to Article 5, paragraph 3, letter b) of the aforementioned Legislative Decree No. 70/2003 - the Directorate-General for Internal Market of the European Commission and the Ministerio de Energía Turismo y Agenda Digital - Secretaría de Estado de Telecomunicaciones y para la Sociedad de la Información, of its intention to adopt any measures against Pneumaticone SL, pursuant to Article 27 of the Consumer Code.</w:t>
        <w:br/>
        <w:t>2) The evidence acquired</w:t>
        <w:br/>
        <w:t>20. The evidence acquired during the entire proceeding reveals that the professional, through the website www.pneumaticone.it, advertised and offered for sale tires for various types of vehicles (cars, motorcycles and quads, SUVs and off-road vehicles, vans and campers, trucks) at prices apparently advantageous compared to market prices, only to then fail to deliver the products ordered and paid for by consumers, even months after the purchase and despite receiving several reminders, without providing refunds for the amounts paid by consumers in the exercise of the right of withdrawal. Furthermore, some violations of the rules established by Articles 49 et seq. of the Consumer Code have emerged.</w:t>
        <w:br/>
        <w:t>5 See note prot. No. 30655 of April 2, 2020.</w:t>
        <w:br/>
        <w:t>6 See minutes of acquisition of acts dated October 6, 2020, concerning the "COMMUNICATION TO CUSTOMERS" of August 6, 2020.</w:t>
      </w:r>
    </w:p>
    <w:p>
      <w:r>
        <w:rPr>
          <w:b/>
        </w:rPr>
        <w:t>[Pages 97–99]</w:t>
      </w:r>
    </w:p>
    <w:p>
      <w:r>
        <w:t>BULLETIN NO. 50 OF DECEMBER 21, 2020 99</w:t>
        <w:br/>
        <w:t>a) The reports</w:t>
        <w:br/>
        <w:t>21. The numerous requests for intervention, transmitted since June 2019 by consumers7 and their representative associations8, refer to conduct attributable to the professional, consisting, on the one hand, in the failure to deliver the goods purchased (and paid for) online by consumers; on the other hand, they highlight some critical issues in the post-sale phase following the exercise of the right of withdrawal due to the non-delivery of the goods. In this phase, consumers complain, on one hand, about the difficulties in contacting the professional - who sometimes responds to withdrawing consumers with vague and dilatory answers - and, on the other hand, the failure to refund the amount paid by the consumer following the online purchase process.</w:t>
        <w:br/>
        <w:t>22. More specifically, from the overall content of the reports, it emerged that the professional promoted, on its website pneumaticone.it, the sale of tires with delivery within 15 working days, only to subsequently fail to deliver them to consumers and/or not proceed with the refund of the amounts paid by them at the time of the online transaction, even months after the purchase, the order confirmation, and the issuance of the related invoice, all despite receiving numerous reminders9.</w:t>
        <w:br/>
        <w:t>23. Furthermore, from the documentation acquired, it was found that the professional, in response to requests for information and complaints from consumers who reported the non-delivery of the products purchased online, on one hand, sent standard and evasive communications reassuring buyers about the imminent fulfillment of orders10; on the other hand, it failed to effectively follow up on the request for the return of the price paid, despite specific requests for cancellation and/or refund and/or exercise of the right of withdrawal due to the non-delivery of the ordered products, even months after receiving the order for the unavailable product and the refund request11.</w:t>
        <w:br/>
        <w:t>24. In other cases, the professional, in response to consumers' requests, sent them communications in which it attributed the delay in delivery to generic difficulties and problems arising with logistics and/or alleged delays in fulfilling orders12, while still offering guarantees regarding the actual delivery of the ordered and duly paid products or showing willingness to refund the amount paid, only to then fail to comply with what was promised13. In many instances, consumers reported the difficulty of contacting the professional by phone as well as the</w:t>
        <w:br/>
        <w:t>7 See, among others, reports prot. n. 10999 of January 9, 2020; prot. n. 14182 of January 23, 2020; prot. n. 15643 of January 29, 2020; prot. n. 16364 of January 31, 2020.</w:t>
        <w:br/>
        <w:t>8 See report from Federconsumatori of January 29, 2020, prot. n. 15463.</w:t>
        <w:br/>
        <w:t>9 See, for example, reports Prot. n. 31366 of April 7, 2020, n. 33306 of April 17, 2020, n. 33310 of April 20, 2020, n. 33557 of April 20, 2020, n. 34104 of April 22, 2020, n. 34380 of April 22, 2020, n. 35027 of April 27, 2020, n. 35531 of April 28, 2020, n. 38652 of May 13, 2020, n. 38703 of May 14, 2020, n. 39905 of May 20, 2020, n. 42689 of May 29, 2020, n. 43551 of June 4, 2020, n. 44413 of June 8, 2020, n. 52762 of July 3, 2020, n. 54817 of July 10, 2020, n. 56027 and n. 56199 of July 15, 2020, and n. 56384 of July 16, 2020.</w:t>
        <w:br/>
        <w:t>10 See, among others, report prot. n. 10891 of January 8, 2020, from which it appears that Pneumaticone informed the customer that "The order will be fulfilled within the timeframes described in point 11 of the purchase conditions," where reference is made to 15 days as the standard delivery time.</w:t>
        <w:br/>
        <w:t>11 See the report from Federconsumatori, Prot. n. 15463 of January 29, 2020, which reports the events of some buyers, and reports Prot. n. 24258 of March 3, 2020, n. 31366 of April 7, 2020, n. 33306 of April 17, 2020, n. 33310 of April 20, 2020, n. 33557 of April 20, 2020, n. 34104 of April 22, 2020, n. 34380 of April 22, 2020, n. 35027 of April 27, 2020, n. 35531 of April 28, 2020, n. 38652 of May 13, 2020, n. 38703 of May 14, 2020, n. 39905 of May 20, 2020, n. 42689 of May 29, 2020, n. 43551 of June 4, 2020, n. 44413 of June 8, 2020, n. 52762 of July 3, 2020, n. 54817 of July 10, 2020, n. 56027 and n. 56199 of July 15, 2020, and n. 56384 of July 16, 2020.</w:t>
        <w:br/>
        <w:t>12 See, among others, report prot. n. 10999 of January 9, 2020.</w:t>
        <w:br/>
        <w:t>13 See, among others, report prot. n. 21630 of February 21, 2020.</w:t>
      </w:r>
    </w:p>
    <w:p>
      <w:r>
        <w:t>100 BULLETIN NO. 50 OF DECEMBER 21, 2020</w:t>
        <w:br/>
        <w:t>failure to fulfill, by the latter, the requests for information sent by email in order to know the status of the shipment of their order14.</w:t>
        <w:br/>
        <w:t>b) The evidentiary elements acquired regarding the conduct related to the sale of tires</w:t>
        <w:br/>
        <w:t>25. The investigative activity allowed for the acquisition of evidence regarding the non-delivery of products purchased online by consumers.</w:t>
        <w:br/>
        <w:t>26. Regarding the operational methods of the company, in light of the general terms and conditions published on the company website and acquired in the proceedings15, for the conduct of its activity Pneumaticone resorted to so-called dropshipping, that is, a sales process whereby the seller activates to procure the good only after receiving the purchase order from consumers.</w:t>
        <w:br/>
        <w:t>27. With reference to the order fulfillment activities and management of deliveries, based on the information produced by the professional16, particularly through the document relating to the "situation 2019-2020 in excel," it emerged that Pneumaticone, over a period of thirteen months (from January 2019 to January 2020 inclusive) received a total of [50,000 - 100,000] successfully completed orders, that is, actually paid by consumers, against which it made a significantly lower number of shipments, corresponding to a total of [30,000 - 50,000] deliveries made, moreover carried out with timelines that almost always did not respect the advertised term of 15 working days, especially in the months of December 2019 and January 2020 (when the average delivery times were around 25-35 working days).</w:t>
        <w:br/>
        <w:t>28. In this regard, according to further information provided by the professional in April 202017, "Pneumaticone has eliminated from its promotion and sale about [5,000-10,000] products and will eliminate further products up to the number of [5,000-10,000], as per attachment" by April 3, 2020. This was because, the professional noted, the analysis carried out following the precautionary measure "revealed that for these products there was no certainty of their availability."</w:t>
        <w:br/>
        <w:t>29. Also regarding the promotion and sale of products that were not actually available to the professional, although already purchased online, the documents in the proceedings finally show a significant increase in the percentage of non-deliveries recorded in the months just prior to the initiation of the present proceedings, amounting to 50% of non-deliveries (in November 2019), 74% (recorded in December 2019), and 63% (in January 2020).</w:t>
        <w:br/>
        <w:t>30. In relation to the management of refund requests submitted by consumers following the non-delivery of the goods purchased online, the documentation submitted by the professional also allowed for the ascertainment that Pneumaticone, at least by the end of February 2020, had failed to follow up on a high number of requests for the return of the purchase price of tires, amounting to [300-500], and in cases of refunds made, it had not managed to respect the timelines proposed on its website and provided for by the Consumer Code, taking up to 30 calendar days.</w:t>
        <w:br/>
        <w:t>14 See reports Prot. n. 12228 of January 15, 2020, n. 14182 of January 23, 2020, n. 15740 of January 29, 2020, and n. 20201 of February 17, 2020.</w:t>
        <w:br/>
        <w:t>15 See, in this regard, the "Terms and Conditions of Use" published on the professional's website at the webpage https://pneumaticone.it/termini-e-condizioni-di-utilizzo/, according to which: "All payments must be made in advance, without exceptions, and the goods purchased by the Customer will be entrusted to our Suppliers / Logistics only once the actual credit has been verified" (art. 4) and "Pneumaticone places the order with the supplier or Logistics immediately upon receiving payment from the customer based on the information provided by the customer, who is obliged to correctly fill in the shipping and billing data, as well as to pay in advance the price of the tires and any delivery charges if applicable" (art. 11). See Minutes of acquisition in the proceedings of February 12, 2020.</w:t>
        <w:br/>
        <w:t>16 See communication prot. n. 22863 of February 26, 2020.</w:t>
        <w:br/>
        <w:t>17 See memorandum prot. n. 0030655 of 02/04/2020.</w:t>
      </w:r>
    </w:p>
    <w:p>
      <w:r>
        <w:t>BULLETIN NO. 50 OF DECEMBER 21, 2020 101</w:t>
        <w:br/>
        <w:t>c) The informational structure of the site</w:t>
        <w:br/>
        <w:t>31. The examination of the professional's site and the general terms and conditions reported therein allowed for verification: (i) the absence of the form for exercising the right of withdrawal; (ii) the provision of unjustified charges for communicating the intention to exercise the same right (sending registered mail with return receipt); (iii) the application, in case of incorrect order, of costs to be borne by the consumer in case of exercising the right of withdrawal18; (iv) the lack of the ODR link for the extrajudicial resolution of any contractual disputes.</w:t>
        <w:br/>
        <w:t>32. Regarding the indication of the possibility of using an extrajudicial complaint and appeal mechanism, although the professional stated, in a communication dated June 10, 202019, that the ODR link was inserted immediately after the communication of the initiation of the proceedings, however, an official survey in March 2020 highlighted the absence of such provision in the Terms and Conditions of use20. Regarding, instead, the period of dissemination of the site in the version subject to contestation, according to the professional, the start date dates back to January 2019.</w:t>
        <w:br/>
        <w:t>33. Finally, following an official survey conducted on August 6, 2020, it was ascertained that the professional published on the homepage of its site a "Communication to customers" in which consumers were informed that "PNEUMATICONE 2016 SL is forced to close the site due to the events that in the last 10 months have seen the necessary liquidity to sustain the market come to an end," attributing the cause of this "to the Banks on one side and the Spanish Revenue Agency on the other." The message continued with the assurance that, in closing the site, the professional had "mandated its lawyers to act against the Banks and for the Spanish Revenue Agency to pay all amounts due to the Company, amounts that will be passed on to all customers who have fallen behind"; and in this perspective, after assuring that "our action will allow for the recovery of all amounts still to be refunded," it provided the email of the legal representative for Italy (avv.monaco53@gmail.com) to which consumers could turn21.</w:t>
        <w:br/>
        <w:t>3) The defensive arguments of the professional</w:t>
        <w:br/>
        <w:t>34. In a communication dated February 26, 2020, the professional, among other things, stated that all the reporters in the proceedings in question would be refunded. In this regard, the professional provided copies of the bank transfers made (through a Spanish bank) to the reporters up to that date (about twenty transfers transmitted and acquired in the proceedings, compared to a much larger number of reports in the proceedings).</w:t>
        <w:br/>
        <w:t>18 In particular, based on the "Terms and Conditions of Use," the cases are as follows: "cancellation of incorrect order (tires not yet shipped to the customer) - In case of an error in the order (size, index, brand, profile, quantity, addresses, etc.), the customer must contact us promptly via email no later than 1 hour from the date of purchase, to request the immediate cancellation of their order without incurring any type of expense or penalty for the customer"; and "return of tires due to incorrect order (tires already shipped to the customer) - We reserve the right to apply a penalty of €15.00 per tire in case the customer requests the return of tires already delivered due to their own error in the ordering phase (incompatibility with the vehicle or incorrect size, index, brand, profile, quantity, shipping address, failure to read the contractual conditions, etc.). In this case, the customer is required to contact us via email within 14 days from delivery to request the return of the incorrect tires. It is reminded that the tires will only be collected if new and never mounted. The customer can wait for the refund minus the penalty or place a new order immediately."</w:t>
        <w:br/>
        <w:t>19 See prot. n. 45476.</w:t>
        <w:br/>
        <w:t>20 See Minutes of acquisition in the proceedings of February 12, 2020 cited.</w:t>
        <w:br/>
        <w:t>21 See Minutes of acquisition in the proceedings of October 6, 2020 cited.</w:t>
      </w:r>
    </w:p>
    <w:p>
      <w:r>
        <w:rPr>
          <w:b/>
        </w:rPr>
        <w:t>[Pages 100–102]</w:t>
      </w:r>
    </w:p>
    <w:p>
      <w:r>
        <w:t>102 BULLETIN NO. 50 OF DECEMBER 21, 2020</w:t>
        <w:br/>
        <w:t>35. With a subsequent memorandum dated March 26, 202022, the professional communicated that he had modified the contractual terms (as of March 24, 2020) and in particular: i) the delivery times from 15 working days to 30 calendar days (also in Article 11 of the "Terms and Conditions of Use"); at the same time, the express delivery in 5/7 working days was eliminated; ii) the refund times (now indicated as 48 hours) following the exercise of the right of withdrawal; iii) Article 2 of the "Terms and Conditions of Use" replacing the wording "the products for sale on the aforementioned site" with the new "the products are offered for sale by our suppliers on the aforementioned site"; iv) the claim present on the homepage "WELCOME TO PNEUMATICONE! SALE OF CAR AND MOTORCYCLE TIRES AT THE BEST WEB PRICE" with the new statement "WELCOME TO PNEUMATICONE! SALE OF CAR AND MOTORCYCLE TIRES AT THE BEST WEB PRICE OFFERED BY OUR SUPPLIERS".</w:t>
        <w:br/>
        <w:t>36. In a communication dated June 10, 202023, the professional finally specified that: i) the ODR link would be inserted "immediately after the communication of the initiation of the procedure"; ii) the version of the website subject to dispute would be "from January 2019", while it would have been updated in June 2019.</w:t>
        <w:br/>
        <w:t>IV. OPINION OF THE AUTHORITY FOR GUARANTEES IN COMMUNICATIONS</w:t>
        <w:br/>
        <w:t>37. Since the commercial practice subject to this provision was disseminated via the Internet, on October 29, 2020, an opinion was requested from the Authority for Guarantees in Communications, pursuant to Article 27, paragraph 6, of the Consumer Code.</w:t>
        <w:br/>
        <w:t>38. With resolution no. 623/20/CONS, received on November 30, 2020, the aforementioned Authority expressed the requested opinion, limiting its assessments to the suitability of the specific means of communication used to disseminate the commercial practice to amplify any misleading and/or unfairness of the same practice.</w:t>
        <w:br/>
        <w:t>39. In particular, the aforementioned Authority, considering that "with reference to the case at hand, the means of communication used is suitable to develop a significant impact on consumers who, based on the information contained on the professional's sites, could be induced to make a commercial decision that they otherwise would not have made, thus concretely developing the full promotional potential of online communication," deemed that, in the case at hand, the internet is a suitable tool to significantly influence the realization of the commercial practice subject to the request for opinion.</w:t>
        <w:br/>
        <w:t>V. CONCLUDING EVALUATIONS</w:t>
        <w:br/>
        <w:t>Preliminary Observations</w:t>
        <w:br/>
        <w:t>40. The investigation in question concerns the e-commerce sector, a rapidly growing area characterized by intense competition, in which the depersonalization of the purchasing relationship effectively weakens the consumer/buyer and places them in a position of inevitable informational asymmetry compared to the professional.</w:t>
        <w:br/>
        <w:t>41. Hence the need to ensure the correctness of commercial relations, primarily the fulfillment of the main obligations of the contract and, therefore, the delivery of the purchased goods corresponding to those subject to promotion and offer.</w:t>
        <w:br/>
        <w:t>22 Prot. n. 0029146.</w:t>
        <w:br/>
        <w:t>23 Prot. n. 0045476.</w:t>
      </w:r>
    </w:p>
    <w:p>
      <w:r>
        <w:t>BULLETIN NO. 50 OF DECEMBER 21, 2020 103</w:t>
        <w:br/>
        <w:t>42. In the pre-purchase decision phase, it is therefore necessary to provide a precise and comprehensive informational framework regarding the essential characteristics of the products sold and the methods of execution of the related contractual regulation, in order to allow the consumer to verify the convenience of the transaction and the conformity of the goods/services provided to the statements of the professional.</w:t>
        <w:br/>
        <w:t>43. Furthermore, it should be emphasized that, in the e-commerce sector, the informational obligations of the professional remain, albeit with different significance, even after the submission of a purchase order: in the execution phase of the consumer relationship, not only the rapid execution of a transaction is relevant, but also the dissemination of correct information about the actual status and concrete developments of a purchase order. This is also because, given the high competition in this sector, if promptly and adequately informed about the possible impossibility of fulfilling the order under the proposed conditions, the consumer can easily replace the non-compliant professional with a direct competitor.</w:t>
        <w:br/>
        <w:t>Violations of the Consumer Code referred to in point II</w:t>
        <w:br/>
        <w:t>44. The behaviors described in point II.3.a) of this provision, consisting of the promotion and marketing on the website www.pneumaticone.it, in misleading ways, of tires for various types of vehicles, at prices apparently advantageous compared to market prices and presented as immediately available for delivery within fifteen working days, as well as the hindrance to the exercise of consumers' rights of withdrawal and refund, constitute an unfair commercial practice under the Consumer Code.</w:t>
        <w:br/>
        <w:t>45. In particular, from the investigative findings, it emerged that, in the case at hand, Pneumaticone advertised the online sale of numerous and different tires promising rapid delivery times of 15 working days. However, in light of this promise, as confirmed by the evidentiary documentation, a significant number of orders remained unfulfilled without justified reason (see infra, §§ 27 et seq.) and, following the failure to deliver the product purchased online, many consumers were unable to exercise their right of withdrawal to obtain a refund of the price paid for the undelivered good.</w:t>
        <w:br/>
        <w:t>46. The numerous reports acquired in the records, which arrived at the Authority from June 2019 until October 2020, therefore also after the adoption of precautionary measures and the closure of the website itself, clearly highlighted the unfairness of the conduct carried out by Pneumaticone, consisting of the failure to deliver the products purchased online through the website, even months after the online purchase, as well as the subsequent failure to refund24 the amount paid by the consumer following the cancellation of the order or the exercise of the right of withdrawal, despite receiving several reminders25.</w:t>
        <w:br/>
        <w:t>47. The reported behaviors were also confirmed by the documentation produced by the professional himself, based on which it was possible to ascertain that the company omitted the delivery, over a period of about a year, of a very high number of orders ([10,000 - 30,000]), amounting to about 1/3 of the products overall purchased online and paid for in advance by consumers. In this regard, from the available information, there was a significant increase in the percentage of non-deliveries in the months preceding the initiation of the procedure - November 2019 (50%), December 2019 (74%), and January 2020 (63%).</w:t>
        <w:br/>
        <w:t>48. Furthermore, it is very significant that the professional, even following the initiation of the procedure, withdrew from the market a large number of products - about [5,000-10,000] in total - being products for which "there was no certainty of their availability," as highlighted by the professional himself.</w:t>
        <w:br/>
        <w:t>49. At the same time, the elements acquired in the records allowed for the ascertainment that a high number of requests for the refund of the purchase price, paid by consumers for the undelivered tires, went unanswered and that the refund procedures, if successful, took place with timelines of about thirty calendar days.</w:t>
        <w:br/>
        <w:t>50. In light of the evidentiary findings, therefore, the presentation methods adopted by the professional and disseminated through his website, regarding the immediate availability and actual delivery times of the tires offered for sale online, are false and misleading, as the expectations of consumers induced by the statements disseminated by the professional regarding availability and delivery timing of the goods were unmet, as evidenced by the evidentiary documentation.</w:t>
        <w:br/>
        <w:t>51. From the perspective of the aggressiveness of the professional's behaviors, related to the failure to deliver the goods purchased online by consumers and the failure to refund the price paid following the exercise of the right of withdrawal, the dilatory and/or obstructive attitude held by the professional towards consumers who submitted requests for information or complaints due to the failure to deliver the purchased products is also relevant, to whom he limited himself to sending standard and/or evasive communications to reassure them about the imminent fulfillment of the orders, or completely omitted to respond regarding the status of the order26.</w:t>
        <w:br/>
        <w:t>52. The described conduct - considered as a whole - is therefore characterized as an unfair commercial practice, marked at the same time by profiles of misleadingness and aggressiveness, as it is capable of inducing consumers, through a deceptive representation of the availability and delivery times of the advertised product, to make a commercial decision - the purchase and payment for a product - that they would not have otherwise made and also susceptible to limit, through undue conditioning, the freedom of choice of consumers by hindering the exercise of their contractual rights, in particular the right of withdrawal and refund, or the right to change products or even to turn to another professional.</w:t>
        <w:br/>
        <w:t>53. In this regard, the circumstance that consumers, upon concluding the order, make the immediate payment for the chosen good and, subsequently to the cancellation of the order and/or the exercise of the right of withdrawal from the contract due to the delay in delivery, are unable to obtain from the professional the refund of the price paid in advance is of particular importance.</w:t>
        <w:br/>
        <w:t>54. Finally, the marked position of weakness in which consumers find themselves is also relevant, due to the informational asymmetries that characterize the tool used for the conclusion of the purchase contract.</w:t>
        <w:br/>
        <w:t>55. For the reasons stated above, the commercial practice must therefore be considered unfair pursuant to Articles 21, 22 paragraph 1, 24, and 25, letter d), of the Consumer Code, as overall suitable to</w:t>
        <w:br/>
        <w:t>26 See reports Prot. n. 12228 of January 15, 2020, n. 14182 of January 23, 2020, n. 15740 of January 29, 2020, and n. 20201 of February 17, 2020.</w:t>
      </w:r>
    </w:p>
    <w:p>
      <w:r>
        <w:rPr>
          <w:b/>
        </w:rPr>
        <w:t>[Pages 103–105]</w:t>
      </w:r>
    </w:p>
    <w:p>
      <w:r>
        <w:t>BULLETIN NO. 50 OF DECEMBER 21, 2020 105</w:t>
        <w:br/>
        <w:t>deceive the average consumer regarding the product offered by the professional and to unduly condition their freedom of choice by hindering the exercise of contractual rights and ultimately leading them to make a commercial decision that they would not have otherwise made.</w:t>
      </w:r>
    </w:p>
    <w:p>
      <w:r>
        <w:t>56. In this context, it is worth mentioning what the professional observed regarding the reimbursement of the reporters in the proceeding in question; in this regard, it should be noted that the documentation sent by Pneumaticone, rather than unequivocally proving the practice of correctly reimbursing its customers who exercised the right of withdrawal, in fact only provides evidence, limited to a portion of the reporters in the proceeding, of the reimbursement of the amount paid by the reporter itself.</w:t>
      </w:r>
    </w:p>
    <w:p>
      <w:r>
        <w:t>57. In addition to the profiles of unfairness outlined above, the conduct of the professional, described in point II.3.b), related to the failure to comply with information obligations in distance contracts and the regulations protecting the exercise of the right of withdrawal and reimbursement of consumers constitutes violations of the provisions of Articles 49, paragraph 1, letters h) and v), 52, 54, and 57 of the Consumer Code.</w:t>
      </w:r>
    </w:p>
    <w:p>
      <w:r>
        <w:t>58. Specifically, the absence of the form for exercising the right of withdrawal and the failure to indicate the possibility of using an extrajudicial mechanism for resolving any disputes that may arise are in evident contrast with Article 49, paragraph 1, respectively, letters h) and v) of the Consumer Code. As highlighted in the investigative findings, despite the professional's statements that the ODR link would have been inserted immediately after the communication of the initiation of the proceeding27, in reality, the documentation acquired ex officio confirmed the absence, as of March 2020, of such provision in the Terms and Conditions of use28.</w:t>
      </w:r>
    </w:p>
    <w:p>
      <w:r>
        <w:t>59. Also regarding the violations of the information obligations of the professional in distance negotiated contracts, the Terms and Conditions of use present on the website www.pneumaticone.it record an unjustified limitation to registered mail with return receipt as the only means for the consumer to communicate the withdrawal, in contrast to what is provided for in Article 54 of the Consumer Code, according to which the consumer, to inform the professional of their decision to exercise the right of withdrawal, may among other things "submit any other explicit statement of their decision to withdraw from the contract."</w:t>
      </w:r>
    </w:p>
    <w:p>
      <w:r>
        <w:t>60. Finally, the circumstance that in some cases, namely in the event of an incorrect order, the consumer is required to pay costs in the event of withdrawal is in contrast with what is regulated in the provisions of the Consumer Code regarding the right of withdrawal (Articles 52 and 57), according to which the right of withdrawal can be exercised without having to provide any justification and without incurring additional costs other than the direct cost of returning the goods.</w:t>
      </w:r>
    </w:p>
    <w:p>
      <w:r>
        <w:t>VI. QUANTIFICATION OF THE SANCTION</w:t>
      </w:r>
    </w:p>
    <w:p>
      <w:r>
        <w:t>61.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62. In the case of a proceeding concerning a plurality of established administrative offenses, the jurisprudence has clarified that in the presence of multiple conducts with structural and functional autonomy, attributed to the responsibility of the professionals, the criterion of material cumulation of sanctions applies, instead of legal cumulation29.</w:t>
      </w:r>
    </w:p>
    <w:p>
      <w:r>
        <w:t>63.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64. With regard to the severity of the violation, consideration is given in the case at hand to the plurality of profiles of illegality found, the overall extent of the economic harm potentially resulting to consumers, and the specificities of the e-commerce sector, which places the purchasing consumer in a position of inevitable informational asymmetry compared to the professional, as well as the means used to convey commercial offers, namely the professional's corporate website, a tool capable of reaching a large number of consumers, which suggests that the conduct in question has had wide dissemination.</w:t>
      </w:r>
    </w:p>
    <w:p>
      <w:r>
        <w:t>65. As for the duration of the violation, from the elements available in the records30, it appears that the unfair commercial practice has been in place at least since January 201931 and is still ongoing, in light of the unitary nature of the infringement as well as the absence of certain evidence regarding its cessation. In fact, although the website pneumaticone.it appears, based on an ex officio survey conducted on August 6, 2020, to be inactive, the persistence of the aggressive profiles of the unfair commercial practice attributed to the professional is noted, in terms of hindering consumers' exercise of their contractual rights, specifically regarding the right to obtain delivery of products purchased online and/or to receive reimbursement of the amounts paid at the time of the order in the event of exercising the right of resolution and/or withdrawal from the contract for undelivered goods32.</w:t>
      </w:r>
    </w:p>
    <w:p>
      <w:r>
        <w:t>66. As for the conduct in violation of the professional's information obligations and consumers' rights in the case of distance negotiated contracts, these have been in place at least since January 201933 and ceased as of the date of the closure of the professional's website, based on the ex officio survey conducted on August 6, 2020.</w:t>
      </w:r>
    </w:p>
    <w:p>
      <w:r>
        <w:t>67. Based on these elements, regarding the unfair commercial practice carried out in violation of Articles 21, 22, 24, and 25 of the Consumer Code, it is deemed appropriate to determine the applicable administrative pecuniary sanction for the company Pneumaticone in the amount of €400,000 (four hundred thousand euros).</w:t>
      </w:r>
    </w:p>
    <w:p>
      <w:r>
        <w:t>68. Regarding the failure to comply with the provisions of the Consumer Code governing the professional's information obligations and consumers' rights in distance contracts, in violation of Articles 49, paragraph 1, letters h) and v), 52, 54, and 57 of the aforementioned Code, it is deemed appropriate to determine an administrative pecuniary sanction of €100,000 (one hundred thousand euros).</w:t>
      </w:r>
    </w:p>
    <w:p>
      <w:r>
        <w:t>THEREFORE, also in light of the opinion of the Authority for Guarantees in Communications, based on the considerations set forth above, it is determined that the commercial practice described in point II.3.a) of this provision is unfair, pursuant to Articles 21, 22, paragraph 1, 24, and 25, letter d), of the Consumer Code, as it is capable, through a misleading representation of the availability of products offered for sale online and the related delivery terms, of misleading the average consumer regarding the product offered for sale by the professional and also likely to significantly limit, through undue conditioning, the freedom of choice of the same, due to the hindrance to the exercise of their contractual rights, including the right to terminate the contract, to change the product, or to turn to another professional, thus leading them to make a commercial decision that they would not have otherwise made;</w:t>
      </w:r>
    </w:p>
    <w:p>
      <w:r>
        <w:t>CONSIDERING, based on the considerations set forth above, that the failure and/or inadequate publication on the professional's website of the form for exercising the right of withdrawal and the possibility of using an extrajudicial complaint and appeal mechanism constitutes a violation of Article 49, paragraph 1, letters h) and v), of the Consumer Code and that, finally, the limitations regarding the methods of communication by the consumer of the intention to withdraw from the contract and the provision of costs in the event of withdrawal are in contrast with Articles 52, 54, and 57 of the Consumer Code;</w:t>
      </w:r>
    </w:p>
    <w:p>
      <w:r>
        <w:t>RESOLVES</w:t>
      </w:r>
    </w:p>
    <w:p>
      <w:r>
        <w:t>a) that the commercial practice described in point II.3.a) of this provision, carried out by Pneumaticone 2016 S.L., constitutes, for the reasons and within the limits outlined in the motivation, an unfair commercial practice pursuant to Articles 21, 22, paragraph 1, 24, and 25, letter d), of the Consumer Code, and prohibits its dissemination or continuation;</w:t>
      </w:r>
    </w:p>
    <w:p>
      <w:r>
        <w:t>b) that the conduct referred to in point II.3.b) of this provision constitutes, for the reasons and within the limits outlined in the motivation, a violation of Articles 49, paragraph 1, letters h) and v), 52, 54, and 57 of the Consumer Code;</w:t>
      </w:r>
    </w:p>
    <w:p>
      <w:r>
        <w:t>c) that, with reference to the unfair commercial practice referred to in letter a), an administrative pecuniary sanction of €400,000 (four hundred thousand euros) be imposed on the company Pneumaticone 2016 S.L.;</w:t>
      </w:r>
    </w:p>
    <w:p>
      <w:r>
        <w:t>d) that with reference to the unlawful conduct referred to in letter b), an administrative pecuniary sanction of €100,000 (one hundred thousand euros) be imposed on the company Pneumaticone 2016 S.L.;</w:t>
      </w:r>
    </w:p>
    <w:p>
      <w:r>
        <w:t>e) that the professional communicate to the Authority, within sixty days from the notification of this provision, the initiatives taken in compliance with the injunction referred to in point a).</w:t>
      </w:r>
    </w:p>
    <w:p>
      <w:r>
        <w:t>The administrative sanctions imposed must be paid within thirty days from the notification of this provision, by bank transfer (in euros) to the Treasury, using the IBAN code IT04A0100003245348018359214 (BIC code: BITAITRRENT), which corresponds to the accounting number 18/3592/14.</w:t>
      </w:r>
    </w:p>
    <w:p>
      <w:r>
        <w:t>After the aforementioned deadline, for the period of delay of less than six months, default interest must be paid at the legal rate starting from the day following the expiration of the payment deadline and until the date of payment. In case of further delay in compliance, pursuant to Article 27, paragraph 6, of Law No. 689/81, the amount due for the</w:t>
      </w:r>
    </w:p>
    <w:p>
      <w:r>
        <w:rPr>
          <w:b/>
        </w:rPr>
        <w:t>[Pages 106–108]</w:t>
      </w:r>
    </w:p>
    <w:p>
      <w:r>
        <w:t>108 BULLETIN NO. 50 OF DECEMBER 21, 2020</w:t>
        <w:br/>
        <w:t>the imposed penalty is increased by one-tenth for each semester starting from the day following the deadline for payment and until the date on which the role is transmitted to the concessionaire for collection; in this case, the increase absorbs the late payment interest accrued during the same period. Immediate notification of the payment must be given to the Authority by sending the documentation certifying the payment made. This provision will be notified to the interested parties and published in the Bulletin of the Competition and Market Authority. Pursuant to Article 27, paragraph 12, of the Consumer Code, in the event of non-compliance with the provision, the Authority applies an administrative monetary penalty from 10,000 to 5,000,000 euros. In cases of repeated non-compliance, the Authority may order the suspension of business activities for a period not exceeding thirty days. 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br/>
        <w:t>THE SECRETARY GENERAL THE PRESIDENT</w:t>
        <w:br/>
        <w:t>Filippo Arena Roberto Rustichelli</w:t>
      </w:r>
    </w:p>
    <w:p>
      <w:r>
        <w:t>BULLETIN NO. 50 OF DECEMBER 21, 2020 109</w:t>
        <w:br/>
        <w:t>PS11726 - GOFUNDME-OPTIONAL COMMISSIONS</w:t>
        <w:br/>
        <w:t>Provision No. 28479</w:t>
        <w:br/>
        <w:t>THE COMPETITION AND MARKET AUTHORITY</w:t>
        <w:br/>
        <w:t>IN ITS MEETING of December 1, 2020;</w:t>
        <w:br/>
        <w:t>HEARD the Rapporteur, President Dr. Roberto Rustichelli;</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resolution of March 22, 2020, which ordered the adoption of provisional precautionary measures, pursuant to Article 27, paragraph 3, of the Consumer Code against GoFundMe Ireland Ltd;</w:t>
        <w:br/>
        <w:t>VIEWED its resolution of March 27, 2020, which evaluated the measures adopted by GoFundMe Ireland Ltd;</w:t>
        <w:br/>
        <w:t>VIEWED the documents of the proceeding;</w:t>
        <w:br/>
        <w:t>I. THE PARTIES</w:t>
        <w:br/>
        <w:t>1. GoFundMe Ireland Ltd (hereinafter also GoFundMe, the Company or the Platform) as a Professional, pursuant to Article 18, letter b), of the Consumer Code, having its registered office in Dublin and operating mainly as an intermediary platform managing fundraising campaigns.</w:t>
        <w:br/>
        <w:t>2. The Company's balance sheet, as of December 31, 2018, shows a total revenue of approximately [10 – 20]* million euros, of which approximately [100,000–200,000] euros in Italy1.</w:t>
        <w:br/>
        <w:t>3. CODACONS Coordination of associations and committees for the protection of the environment and the rights of users and consumers, an Italian consumer association, as an intervenor.</w:t>
        <w:br/>
        <w:t>4. CODICI ONLUS Association, an Italian consumer association, as an intervenor.</w:t>
        <w:br/>
        <w:t>II. COMMERCIAL PRACTICES</w:t>
        <w:br/>
        <w:t>5. The proceeding concerns two distinct and autonomous commercial practices carried out by GoFundMe Ireland Ltd, starting at least from May 2, 20182, consisting of:</w:t>
        <w:br/>
        <w:t>a) promoting as free and without costs, already on the first screen of its website with an immediately visible claim, the fundraising through donations made by consumers intending to contribute to specific campaigns managed by the Platform, information that is not true as there are costs on every transaction with credit and debit cards, as well as commissions in favor of the Company;</w:t>
        <w:br/>
        <w:t>b) having pre-set the commission percentage (hereinafter also tip), in favor of the GoFundMe site, at the time of entering the donation amount by the consumer (at a value equal to 10% of that amount and in some cases 15%) which the consumer can only cancel or change the amount with various steps and only if they realize it before executing the payment.</w:t>
        <w:br/>
        <w:t>III. THE OUTCOMES OF THE PROCEEDING</w:t>
        <w:br/>
        <w:t>1) The course of the proceeding</w:t>
        <w:br/>
        <w:t>6. On March 22, 2020, the investigative proceeding PS11726 was initiated against GoFundMe. The initiation of the proceeding was communicated to the Company on the same date3.</w:t>
        <w:br/>
        <w:t>7. On the same date, the Company was notified, pursuant to Article 27, paragraph 3, of the Consumer Code, of the provision for the adoption of provisional precautionary measures4. By its resolution of March 27, 20205, the Authority determined that the measures adopted by GoFundMe, communicated on March 25, 2020, met the requirements requested by the Authority with the aforementioned precautionary provision.</w:t>
        <w:br/>
        <w:t>8. On March 27, 2020, a request for participation was received from the CODACONS Association6, accepted and communicated on May 22, 2020, to the Company7.</w:t>
        <w:br/>
        <w:t>9. On March 24, 2020, a request for participation was received from the CODICI ONLUS Association8, subsequently supplemented on March 31, 2020. This request was accepted on May 22, 2020, and communicated on the same date to the Company9.</w:t>
        <w:br/>
        <w:t>10. On May 5, 2020, and subsequently on May 13, 2020, responses were received from the Platform to the request for information made in the communication initiating the proceeding10. Other requests for information, in addition to those already communicated with the initiation provision, were made to GoFundMe on July 13 and 14, 2020, September 22 and 28, 2020, and October 14, 202011. The Company provided responses and submitted memoranda on May 28, 2020, August 5, 2020, September 25, 2020, October 6, 12, 20, and 27, 202012.</w:t>
        <w:br/>
        <w:t>11. GoFundMe was summoned for a hearing regarding the subject of the proceeding. The hearing took place on May 29, 202013.</w:t>
        <w:br/>
        <w:t>3 See doc. 3.</w:t>
        <w:br/>
        <w:t>4 See doc. 4.</w:t>
        <w:br/>
        <w:t>5 See doc. 17.</w:t>
        <w:br/>
        <w:t>6 See doc. 16.</w:t>
        <w:br/>
        <w:t>7 See doc. 26.</w:t>
        <w:br/>
        <w:t>8 See doc. 10 and doc. 19.</w:t>
        <w:br/>
        <w:t>9 See doc. 29.</w:t>
        <w:br/>
        <w:t>10 See doc. 22 accessible version of doc. 20.</w:t>
        <w:br/>
        <w:t>11 See doc. 40, 41, 57, 60, 69, 72.</w:t>
        <w:br/>
        <w:t>12 See doc. 34, 44, 58, 66, 68, 70, 75, 76.</w:t>
        <w:br/>
        <w:t>13 See doc. 36 and 37.</w:t>
      </w:r>
    </w:p>
    <w:p>
      <w:r>
        <w:rPr>
          <w:b/>
        </w:rPr>
        <w:t>[Pages 109–111]</w:t>
      </w:r>
    </w:p>
    <w:p>
      <w:r>
        <w:t>BULLETIN NO. 50 OF DECEMBER 21, 2020 111</w:t>
        <w:br/>
        <w:t>12. On June 18, 2020, GoFundMe submitted commitments pursuant to Article 27, paragraph 7, of the Consumer Code14.</w:t>
        <w:br/>
        <w:t>13. These commitments were rejected by the Authority in the meeting of July 8, 2020, and the related communication was sent to GoFundMe on July 9, 202015. In particular, the commitments were deemed inadmissible, as they concerned conduct that, if established, would have been manifestly unfair and serious due to the peculiarities of the advertised service, as well as the misleading nature regarding the free nature of the offered intermediation (which is actually costly due to the provision of pre-set costs and fees) for fundraising campaigns in emergency phases or other situations of need or difficulty. Furthermore, the commitments were considered inadequate to remove the profiles of possible unfairness contested, as they provided for measures that were not suitable to eliminate the potential misleading nature and to exclude the reintroduction of the pre-set fee.</w:t>
        <w:br/>
        <w:t>14. GoFundMe had access to the documents on March 26, 2020, May 22, 2020, and September 21, 2020; CODACONS had access to the documents on May 22, 2020, and September 21, 2020; CODICI on May 22, 2020.</w:t>
        <w:br/>
        <w:t>15. On September 14, 2020, the date of conclusion of the investigative phase was communicated to the Parties, pursuant to Article 16, paragraph 1, of the Regulation16. On September 28, 2020, the Parties were informed of the reopening of the investigative phase with a new deadline for its conclusion.</w:t>
        <w:br/>
        <w:t>16. On October 20, 2020, GoFundMe submitted its final memorandum17.</w:t>
        <w:br/>
        <w:t>17. On October 21, 2020, pursuant to and for the effects of Article 27, paragraph 6, of the Consumer Code, a request for an opinion was sent to the Authority for Guarantees in Communications18, to which the latter responded on November 19, 202019.</w:t>
        <w:br/>
        <w:t>2) The evidence emerged during the proceedings</w:t>
        <w:br/>
        <w:t>18. In March 2020, a consumer reported that during the health emergency due to Coronavirus, wanting to participate in a fundraising campaign for charitable purposes, they would have used the website www.gofundme.com (also https://it.gofundme.com), stating that it did not provide information about the existence of costs for the donation and would have adopted a particular method of pre-activation of fees in favor of the Platform20.</w:t>
        <w:br/>
        <w:t>19. In relation to such conduct, official evidence was acquired regarding screenshots of the website www.gofundme.com (https://it.gofundme.com), described below.</w:t>
        <w:br/>
        <w:t>20. Furthermore, during the proceedings, additional reports of the same nature as the original one were received from other consumers. Indeed, numerous complaints (348 of which 193 related to the period January-April 2020) were provided by the Company in response to the request for information contained in the initiation of the investigation of March 22, 202021, many of which concerned: (i) on the one hand, the misleading nature of the phrases present on the site that promote the services as</w:t>
        <w:br/>
        <w:t>14 See doc 38.</w:t>
        <w:br/>
        <w:t>15 Doc. 39.</w:t>
        <w:br/>
        <w:t>16 See doc 50, 51, and 52.</w:t>
        <w:br/>
        <w:t>17 See doc. 71.</w:t>
        <w:br/>
        <w:t>18 See doc. 73.</w:t>
        <w:br/>
        <w:t>19 See doc. 78.</w:t>
        <w:br/>
        <w:t>20 See doc. 1.</w:t>
        <w:br/>
        <w:t>21 See doc. 22 response to the request for information, received on May 13, 2020 (accessible version of doc. 20) and doc. 47 response GoFundMe (accessible version of doc. 44).</w:t>
      </w:r>
    </w:p>
    <w:p>
      <w:r>
        <w:t>112 BULLETIN NO. 50 OF DECEMBER 21, 2020</w:t>
        <w:br/>
        <w:t>completely free, but in reality, costly due to the provision of fees for the use of credit/debit cards and commissions in favor of the Platform; (ii) on the other hand, the pre-activation of the fee that automatically increases the amount of the donation and is modifiable, if the consumer realizes it, only after several and not immediate steps.</w:t>
        <w:br/>
        <w:t>21. The acquired evidence reveals the existence of two distinct and autonomous commercial practices, described below, carried out by GoFundMe through its website www.gofundme.com (also https://it.gofundme.com), in relation to the services related to the management of fundraising and donations from individuals.</w:t>
        <w:br/>
        <w:t>Practice sub a)</w:t>
        <w:br/>
        <w:t>22. The first practice consists in the promotion - already on the first screen of the mentioned site, with an immediately visible claim - of the services related to fundraising through donations made by consumers wishing to contribute to specific campaigns managed by the Platform as free and without costs, information that is not true as there are, in fact, costs on every transaction with credit and debit cards, as well as commissions in favor of the same Company.</w:t>
        <w:br/>
        <w:t>23. In fact, the documentation in the records highlights the untruthfulness of the absence of costs and therefore of the free nature, promoted on the Platform's site, of the fundraising services provided by GoFundMe.</w:t>
        <w:br/>
        <w:t>24. In particular, from the analysis of the site (photo 1), the following evidence emerges regarding the information given to the consumer wishing to donate amounts through GoFundMe, in the various phases of navigation on the Platform accessing through the homepage:</w:t>
        <w:br/>
        <w:t>- entering the Platform's site, on the first screen, the main claim on the left states “Raise funds for what matters to you. There are no costs*” [emphasis added]. The note referred to by the asterisk specifies, only at the bottom, with a sentence in very small characters, that “standard fees apply to credit and debit card transactions”;</w:t>
        <w:br/>
        <w:t>- scrolling down the main screen of the site and at the bottom of it, it is possible to click on “how it works,” which opens a page where it reads: “Fast, free, and secure” [emphasis added].</w:t>
      </w:r>
    </w:p>
    <w:p>
      <w:r>
        <w:t>BULLETIN NO. 50 OF DECEMBER 21, 2020 113</w:t>
        <w:br/>
        <w:t>Photo 1. – Claim homepage of the site</w:t>
        <w:br/>
        <w:t>25. Furthermore, scrolling through the homepage of the site, one finds the “Current Campaigns,” each of which has a specific dedicated space. Clicking on the individual campaign (for example, the campaign “Coronavirus strengthen intensive care” aimed at raising funds for San Raffaele in Milan in March 2020), the consumer intending to make the donation opens a page where they read the purpose of the collection and find on the right the icon “Make a donation.” Clicking on this icon opens a screen from which the following appears (photo 2):</w:t>
        <w:br/>
        <w:t>- the text “Enter your donation” appears, with the space for the amount that the donor wants to indicate, “(empty),00 euros,” below which it reads “GoFundMe will continue to offer its services for free, funding itself through donors who leave a free amount here” [emphasis added];</w:t>
        <w:br/>
        <w:t>- further below, there is the phrase “Thank you for the optional contribution of…” [emphasis added] and next to it a dropdown box with the amount set to the value of “10%.”</w:t>
      </w:r>
    </w:p>
    <w:p>
      <w:r>
        <w:rPr>
          <w:b/>
        </w:rPr>
        <w:t>[Pages 112–114]</w:t>
      </w:r>
    </w:p>
    <w:p>
      <w:r>
        <w:t>114 BULLETIN NO. 50 OF DECEMBER 21, 2020</w:t>
        <w:br/>
        <w:t>Photo 2. – Donation entry phase screen</w:t>
        <w:br/>
        <w:t>26. Contrary to what is stated in the aforementioned claims regarding the absence of costs, the free nature of the service, and the optionality of the contribution, the documentation in the records provides evidence that the services provided by GoFundMe entail costs for the consumer making a donation. These costs affect the donated amount, as the fees for the use of credit and debit cards are deducted from it, while the so-called tips in favor of GoFundMe are effectively added to the donated amount, representing an additional expense for the consumer.</w:t>
        <w:br/>
        <w:t>27. Therefore, the Platform applies, in the first instance, fees on each transaction made with a credit or debit card, which are thus deducted from the donated sum and retained by GoFundMe. This is further confirmed by the statements made by the Company itself in response22 dated May 5, 2020 (accessible version dated May 13, 2020) to the request for information contained in the communication of initiation dated March 22, 2020, clarifying that “[W]ith regard to the fees for the use of credit and debit cards, it is specified that donations made using these payment methods incur a cost equal to 2.9% of the donation amount + €0.25 for each individual bank transaction.” The same company adds on this point that these are “transaction costs - which are functional to remunerate the management of payments entrusted to a third party…- they do not add to the donation amount, but are deducted from it”23.</w:t>
        <w:br/>
        <w:t>22 See doc. 22 of May 13, 2020 accessible version of doc. 20.</w:t>
        <w:br/>
        <w:t>23 See doc. 22 response GoFundMe accessible version of doc. 20.</w:t>
      </w:r>
    </w:p>
    <w:p>
      <w:r>
        <w:t>BULLETIN NO. 50 OF DECEMBER 21, 2020 115</w:t>
        <w:br/>
        <w:t>28. It follows that the consumer who intends to contribute to a fundraising campaign, deciding how much to donate, actually receives incomplete and untruthful information about the amount actually donated, since the existence of costs for the use of credit and debit cards, deducted from the donation, is not indicated in the main claims that, on the contrary, promote the free nature of the service and the absence of costs. Moreover, these amounts derive from a contract entered into between GoFundMe and a Payment Service Provider chosen by it and are aimed at covering the costs for the collection services for the Company managing the fundraising. The reduction in the amount that the consumer decides to donate thus serves to recover the costs of a service provided by a third party and is, therefore, to the exclusive benefit of the management activity of the Platform itself.</w:t>
        <w:br/>
        <w:t>29. Secondly, the Platform provides that – contrary to what is stated on the homepage and on the pages dedicated to campaigns, from the claims regarding the free nature of the service, as well as from phrases that refer to the fact that the activity is financed through a “free amount” and an “optional contribution” – consumers pay GoFundMe an amount of 10% and, in some cases, 15%24, in addition to the amount donated.</w:t>
        <w:br/>
        <w:t>30. From the evidence in the records and, in particular, from the documents obtained from the site and from consumer complaints25, it appears that the statements regarding the absence of costs, the free nature, and the free choice to leave a “tip”26 (the so-called commission or tip in favor of GoFundMe) do not correspond to the truth where the amount paid as a donation is increased, if not changed, by a charge to the consumer of 10% (in some cases even 15%). The same Platform has confirmed the establishment of a fixed percentage in relation to the donated sum as a commission, although noting that it can subsequently be modified by the consumer27. It is, therefore, evident that, contrary to the assertions regarding the free nature of the service, the absence of costs, and the optional nature of the contributions reported on the site, the consumer does not receive, in reality, truthful, clear, and complete information about the actual costs that are added to the donation he chooses precisely because of the charge of the so-called tips in favor of GoFundMe.</w:t>
        <w:br/>
        <w:t>31. Ultimately, contrary to the information provided regarding the free nature of the service, the evidence acquired shows the existence of the aforementioned costs, in the form of fees for the use of credit and debit cards, which reduce the donation, and commissions in favor of GoFundMe, which increase the outlay for the consumer. In this regard, the annual data provided by GoFundMe28, as reported in Table 1, is particularly relevant, highlighting:</w:t>
        <w:br/>
        <w:t>- total amounts paid on each donation for fees related to the use of cards amounting to [€70,000-€80,000] in 2018, [€100,000-€200,000] in 2019, and [€1,000,000-€2,000,000] in the period from January to June 2020;</w:t>
        <w:br/>
        <w:t>- commissions (tips) paid by consumers amounting to [€100,000-€200,000] in 2018, [€300,000-€400,000] in 2019, and [€2,000,000-€3,000,000] in the period from January to June 202029.</w:t>
        <w:br/>
        <w:t>24 See doc. 47 response GoFundMe accessible version of doc. 44.</w:t>
        <w:br/>
        <w:t>25 See doc. 2 screenshots obtained in the file on March 21, 2020.</w:t>
        <w:br/>
        <w:t>26 Definition of commission for GoFundMe used by the company itself, for example in the response referred to in doc. 22 (accessible version doc. 20) and doc. 36 minutes of the hearing of May 29, 2020.</w:t>
        <w:br/>
        <w:t>27 See doc. 22 response GoFundMe accessible version of doc. 20.</w:t>
        <w:br/>
        <w:t>28 See doc. 47 response GoFundMe accessible version of doc. 44.</w:t>
        <w:br/>
        <w:t>29 See doc. 47 response GoFundMe accessible version of doc. 44.</w:t>
      </w:r>
    </w:p>
    <w:p>
      <w:r>
        <w:t>116 BULLETIN NO. 50 OF DECEMBER 21, 2020</w:t>
        <w:br/>
        <w:t>It follows that monthly, from the same data provided by the Company30, it appears that GoFundMe has applied, in relation to the donations made by consumers, total fees for the use of credit and debit cards ranging from a minimum of €7,000-€8,000 to a maximum of more than €1,000,000 (time frame from January 2019 to April 2020), with a maximum of approximately [€1,000,000–€2,000,000] in the month of March 2020 alone. Furthermore, from the data provided by the Company, GoFundMe appears to have collected commissions (tips) for monthly amounts (in the period from January 2019 – April 2020) ranging from a minimum of €10,000-€20,000 to a maximum of more than €2,000,000 (amount collected in March 2020, the month of maximum collection amounting to [€2,000,000-€3,000,000]).</w:t>
        <w:br/>
        <w:t>Table 1: summary data on commissions/tips, donations, and fees paid by consumers</w:t>
        <w:br/>
        <w:t>Amount</w:t>
        <w:br/>
        <w:t>Total amount</w:t>
        <w:br/>
        <w:t>Total amount</w:t>
        <w:br/>
        <w:t>Period Average tip in total fees for use</w:t>
        <w:br/>
        <w:t>total tips in</w:t>
        <w:br/>
        <w:t>time euro donations in cards</w:t>
        <w:br/>
        <w:t>euro</w:t>
        <w:br/>
        <w:t>euro credit/debit</w:t>
        <w:br/>
        <w:t>in euro</w:t>
        <w:br/>
        <w:t>[€2,000,000-</w:t>
        <w:br/>
        <w:t>Year 2018 [0-10] [€100,000-€200,000] [€70,000-€80,000]</w:t>
        <w:br/>
        <w:t>€3,000,000]</w:t>
        <w:br/>
        <w:t>[€5,000,000- [€100,000-</w:t>
        <w:br/>
        <w:t>Year 2019 [0-10] [€300,000-€400,000]</w:t>
        <w:br/>
        <w:t>€6,000,000] €200,000]</w:t>
        <w:br/>
        <w:t>[€200,000-</w:t>
        <w:br/>
        <w:t>January 2020 [0-10] [€10,000-€20,000] [€6,000-€7,000]</w:t>
        <w:br/>
        <w:t>€300,000]</w:t>
        <w:br/>
        <w:t>[€300,000-</w:t>
        <w:br/>
        <w:t>February 2020 [0-10] [€20,000-€30,000] [€10,000-€20,000]</w:t>
        <w:br/>
        <w:t>€400,000]</w:t>
        <w:br/>
        <w:t>March 2020 of</w:t>
        <w:br/>
        <w:t>which</w:t>
        <w:br/>
        <w:t>[€1,000,000- [€20,000,000- [€800,000-</w:t>
        <w:br/>
        <w:t>from 1 to 21 [0-10]</w:t>
        <w:br/>
        <w:t>€2,000,000] €30,000,000] €900,000]</w:t>
        <w:br/>
        <w:t>[€3,000,000-</w:t>
        <w:br/>
        <w:t>from 22 to 25 [0-10] [€100,000-€200,000] [€80,000-€90,000]</w:t>
        <w:br/>
        <w:t>€4,000,000]</w:t>
        <w:br/>
        <w:t>[€3,000,000- [€100,000-</w:t>
        <w:br/>
        <w:t>from 26 to 31 [0-10] [€40,000-€50,000]</w:t>
        <w:br/>
        <w:t>€4,000,000] €200.00]</w:t>
        <w:br/>
        <w:t>[€6,000,000- [€100,000-</w:t>
        <w:br/>
        <w:t>April 2020 [0-10] [€70,000-€80,000]</w:t>
        <w:br/>
        <w:t>€7,000,000] €200.00]</w:t>
        <w:br/>
        <w:t>[€2,000,000-</w:t>
        <w:br/>
        <w:t>May 2020 [0-10] [€20,000-€30,000] [€60,000-€70,000]</w:t>
        <w:br/>
        <w:t>€3,000,000]</w:t>
        <w:br/>
        <w:t>[€1,000,000-</w:t>
        <w:br/>
        <w:t>June 2020 [0-10] [€10,000-€20,000] [€30,000-€40,000]</w:t>
        <w:br/>
        <w:t>€2,000,000]</w:t>
        <w:br/>
        <w:t>Source: doc. 47 accessible version of doc. 44</w:t>
        <w:br/>
        <w:t>32. Even in the reports from individual consumers and consumer associations31, the lack of clarity of the site in presenting the absence of costs in the face of, instead, charges for the consumer is lamented. Numerous complaints are recorded (348 of which 193 relate to the period from January to April 2020, that is, during the peak interest phase in participating in fundraising for the health emergency phase for</w:t>
      </w:r>
    </w:p>
    <w:p>
      <w:r>
        <w:rPr>
          <w:b/>
        </w:rPr>
        <w:t>[Pages 115–117]</w:t>
      </w:r>
    </w:p>
    <w:p>
      <w:r>
        <w:t>BULLETIN NO. 50 OF DECEMBER 21, 2020 117</w:t>
        <w:br/>
        <w:t>pandemic), provided by the Company in response to the request for information contained in the communication of initiation dated March 22, 202032, many of which concern the misleading nature of the phrases on the site promoting the services as completely free when, instead, they actually involve fees for the use of cards and commissions in favor of the Platform.</w:t>
      </w:r>
    </w:p>
    <w:p>
      <w:r>
        <w:t>Practice sub b)</w:t>
        <w:br/>
        <w:t>33. The second practice consists of having pre-set the contribution percentage (tip or commission) in favor of the GoFundMe site at the time of entering the donation amount by the consumer (at a value equal to 10% of that amount and in some cases 15%), which can only be canceled or changed in amount through various steps and only if the consumer realizes it before executing the payment.</w:t>
      </w:r>
    </w:p>
    <w:p>
      <w:r>
        <w:t>34. In fact, from the evidence acquired from the Company's site and the documentation on file, it appears that when the consumer accesses the GoFundMe homepage, then enters the "Make a Donation" page (selecting the campaign they wish to contribute to) and enters the donation amount, the latter is automatically increased by the Platform due to the pre-setting of the commission amount - equal to 10% (in some cases even higher at 15% as specified by the Company33) - as a tip in favor of GoFundMe. Indeed, the consumer who intends to participate in the fundraising for a specific campaign and, through the GoFundMe site, accesses the dedicated page, sees the "Make a Donation" icon from which a screen opens that shows:</w:t>
        <w:br/>
        <w:t>- the space for the amount that the donor wants to indicate “(empty),00 euros” under the text “Enter your donation”;</w:t>
        <w:br/>
        <w:t>- below that space, and in a separate box, a dropdown box with the amount already fixed and indicated at the value of “10%” as a commission in favor of GoFundMe.</w:t>
      </w:r>
    </w:p>
    <w:p>
      <w:r>
        <w:t>35. The Company itself has confirmed that “As of May 2, 2018, GoFundMe decided to switch from a model in which campaign organizers were charged a mandatory percentage of 5% to a model of optional tipping…. It is also noted that starting from May 2019, GoFundMe – alongside the pre-selected tip at 10% - has in some cases globally implemented a different pre-selected tip percentage of 15%”34.</w:t>
      </w:r>
    </w:p>
    <w:p>
      <w:r>
        <w:t>36. Therefore, it appears that GoFundMe pre-sets the amount of the commission that the consumer pays as a contribution to the Platform, in addition to the donation chosen by the same for the fundraising. Only through an opt-out method can this percentage be changed or canceled. The consumer who, before executing the payment, notices the pre-set commission to the Platform (of 10% or 15% in some cases) and decides to cancel it (or change its amount) must go through a series of non-immediate steps to deselect the percentage already set by GoFundMe.</w:t>
      </w:r>
    </w:p>
    <w:p>
      <w:r>
        <w:t>37. Specifically, it appears that to deselect the amount of the commission (tip) they must perform the following steps:</w:t>
        <w:br/>
        <w:t>- click to the right of the box where the percentage is entered to open the dropdown;</w:t>
        <w:br/>
        <w:t>- scroll through the dropdown menu, where various percentages are found including the pre-selected one at 10% or 15% and, at the bottom, also the word “Other”,</w:t>
      </w:r>
    </w:p>
    <w:p>
      <w:r>
        <w:t>118 BULLETIN NO. 50 OF DECEMBER 21, 2020</w:t>
        <w:br/>
        <w:t>- click on “Other” and set the amount to zero so as not to pay any amount to GoFundMe or, alternatively, set another value to change it.</w:t>
        <w:br/>
        <w:t>It follows that only through an opt-out method and following a multi-step procedure that is not immediate, which makes it difficult especially when the consumer finds themselves making a choice quickly and prompted by the need to participate in a donation in emergency situations such as during a pandemic, can the pre-set percentage by GoFundMe be changed or canceled.</w:t>
      </w:r>
    </w:p>
    <w:p>
      <w:r>
        <w:t>38. It is noted that only for certain fundraising campaigns (for example, that for Columbus in March 2020) the process, substantially similar, has a peculiarity: once clicked on the icon of the specific fundraising, on the presentation page of the initiative, the following phrase also appears: “At the time of donation, we invite you to check the box below the amount you intend to donate. The contribution percentage to the GoFundMe site is not mandatory but helps the platform to guarantee the service. By clicking on Other, you can enter a value from 0 upwards” [emphasis added]. However, even in these cases, the consumer who clicks the button to donate again finds the percentage of 10% pre-selected.</w:t>
      </w:r>
    </w:p>
    <w:p>
      <w:r>
        <w:t>39. The evidence on file confirms the pre-selection method described above and the various, non-immediate steps necessary to change/cancel the amount; in fact, it is the Company itself that states that the so-called tipping “…represents the remuneration tool of the Company's business model. Regarding the pre-selection of the tipping percentage, it is specified that this method solely intends to “suggest” to the person who intends to make the donation through the platform the amount of the tip, remaining understood that the donor can change it and decide not to give any tip, as also explicitly stated through sufficient graphic evidence next to the dropdown menu. Moreover, this pre-selection was not introduced during the emergency phase caused by Covid-19 but is the remuneration system that the Company has adopted for several years”35 [emphasis added]. Even more explicitly, the Platform has noted: “... to clarify the business model of GoFundMe and the importance of the remuneration system based on tipping …, the Company, which has been operating for ten years in various parts of the world, has changed in the last two and a half years the system from a model based on a flat commission of 5%, deducted from the donation amount, to a model centered on tipping, that is, on a commission (tip) that is suggested to the donor (in the sense of being pre-selected at a certain percentage amount, modifiable by the donor upwards or downwards for defined levels)”36 [emphasis added]. Finally, in the memorandum of October 20, 2020, the same Platform confirmed the existence of the pre-selection at percentages set by the Company, modifiable by the consumer through the dropdown menu37.</w:t>
      </w:r>
    </w:p>
    <w:p>
      <w:r>
        <w:t>40. Thus, the pre-selection of the commission (tip) is confirmed as a remuneration method by the Company itself, as well as the existence of the various steps necessary if the consumer wishes to cancel or change the amount.</w:t>
      </w:r>
    </w:p>
    <w:p>
      <w:r>
        <w:t>41. It should be added that, from the information acquired in the investigation file38, it appears that the average tip amount was 6.5% of the donation after the transition from a fixed commission of 5% to the pre-selection system, dropping to 1% after the modification requested by the Authority's precautionary measure (decided on March 22, 2020).</w:t>
      </w:r>
    </w:p>
    <w:p>
      <w:r>
        <w:t>BULLETIN NO. 50 OF DECEMBER 21, 2020 119</w:t>
        <w:br/>
        <w:t>42. On this point, it is noted that, starting from March 26, 2020, following the aforementioned precautionary measure of the Authority, GoFundMe modified the pre-activation of the commission (tip) to be collected for Italian campaigns accessible from the site www.gofund.me.com, setting the amount indicated in the space dedicated to the choice of the commission to a value equal to “zero”, remaining understood that this value can be modified by the consumer/donor if they deem it appropriate. However, this modification did not concern campaigns promoted abroad and accessible to Italian consumers directly from the site, or through the search function on the site or from links shared on social networks. Only starting from September 23, 2020, the amount of the tip commission was changed by default by GoFundMe to zero for Italian consumers, regardless of the access methods and for all the different campaigns managed through the Platform39.</w:t>
      </w:r>
    </w:p>
    <w:p>
      <w:r>
        <w:t>43. The quantitative data provided by the Company40 report an average tip amount of [less than 10 euros] in 2018, [less than 10 euros] in 2019, [less than 10 euros] in March 2020. During the peak Covid-19 pandemic and maximum fundraising by the Platform, that is, in March 2020, the incidence of tips collected by GoFundMe on the total donations made by consumers was about [5-10%], reducing, with the precautionary intervention, to about [less than 1%] from May 2020. The total values of the commissions collected by the Platform, exceeding [2,000,000-3,000,000] euros in the month of March 2020 alone, confirm the effects of the Company's remuneration model and how its modification, following the precautionary measures with the commission set to zero, allowed the consumer, no longer required to deselect the pre-flegged percentage, to decide differently the amount of the commission to be paid.</w:t>
      </w:r>
    </w:p>
    <w:p>
      <w:r>
        <w:t>44. The reduction of the average commission (from about 6.5% to less than 1% as reported above and stated by the Company) essentially proves that the consumer, in the absence of pre-activation, making a free choice, largely opted not to include the tip or to include a lower amount than that previously set at 10 or 15%. The Company itself confirmed that “... the pre-selection to “0%” in compliance with the precautionary measure has inevitably reduced the level of the tip paid to the platform and consequently the remuneration for the services provided by GoFundMe”41.</w:t>
      </w:r>
    </w:p>
    <w:p>
      <w:r>
        <w:t>45. Based on the data provided by the Company itself, another quantitative evidence emerges42, related to the period of maximum fundraising for the health emergency (February 1, 2020 – March 25, 2020, date of the modification following the precautionary measure) for which about 50% of consumers making donations of amounts between less than 10 and 50 euros (which represent over 60-70% of donations) do not change the pre-selected tip and, therefore, are subject to the pre-setting of the commission collected by the platform. For donation amounts of up to 20 euros, about 75-85% of consumers did not change the pre-selected percentage by GoFundMe at 10% (still in the period February 1 - March 25, 2020).</w:t>
      </w:r>
    </w:p>
    <w:p>
      <w:r>
        <w:t>46. Even more clearly, it emerges how the pre-selection influenced consumers by observing their behavior after the cancellation of the commission. In fact, after the insertion of the commission equal to zero due to the precautionary measures, that is, from March 26, 2020, over 80-90% of all donors did not make any changes, even though they could, leaving the</w:t>
      </w:r>
    </w:p>
    <w:p>
      <w:r>
        <w:rPr>
          <w:b/>
        </w:rPr>
        <w:t>[Pages 118–120]</w:t>
      </w:r>
    </w:p>
    <w:p>
      <w:r>
        <w:t>120 BULLETIN NO. 50 OF DECEMBER 21, 2020</w:t>
        <w:br/>
        <w:t>commission for the platform at zero. Therefore, the data reported shows that the majority of consumers, given the urgency with which they normally participate in fundraising, are disincentivized from undertaking the various steps to de-select and modify/reset the tip.</w:t>
      </w:r>
    </w:p>
    <w:p>
      <w:r>
        <w:t>47. Finally, there are several reports on file concerning the higher expenditure compared to the donation due to the commission that the consumer did not intend to bear, or that complain of having noticed the higher amount paid as a commission to GoFundMe only after the payment was made and not having understood what the system was to proceed to deflag the already set amount, given the lack of clarity and immediacy of the process that requires action from the consumer in an opt-out manner, aimed, precisely, at avoiding suffering the increase in the donated amount. The above has also occurred in situations where the payment is made under conditions of particular sensitivity of the donor, who chooses to participate in fundraising for health or socio-economic emergencies and in contexts of particular urgency.</w:t>
      </w:r>
    </w:p>
    <w:p>
      <w:r>
        <w:t>3) The defensive arguments of GoFundMe</w:t>
        <w:br/>
        <w:t>48. GoFundMe preliminarily notes that it is an intermediation platform that operates in a typical multi-faceted market offering, on one hand, services to campaign organizers, on another hand, to the beneficiaries of donations, and on yet another hand, to donors who wish to support certain charitable campaigns. In this multi-faceted context, two out of three are “absolutely free,” namely the services to beneficiaries and organizers, while with regard to the services provided to donors, payments to the platform are optional as, although there is pre-activation, the indicated percentage is modifiable.</w:t>
      </w:r>
    </w:p>
    <w:p>
      <w:r>
        <w:t>49. The aforementioned characteristic profiles of the Platform assume, in the opinion of the Party, particular relevance especially when it comes to assessing the truthfulness and transparency of the claims on the website regarding the free nature of the service (conduct sub a)) or the nature of the tip “requested by GoFundMe, on an optional basis” (conduct sub b)).</w:t>
      </w:r>
    </w:p>
    <w:p>
      <w:r>
        <w:t>50. Regarding the two distinct practices, GoFundMe observes, concerning conduct sub a), that the existence of costs on bank transactions is “undisputedly” visible as the note, referenced with an asterisk and specifying the existence of standard fees for transactions with debit/credit cards, would not be reproduced in too small characters. The average consumer would therefore be in a position to read the note on the website and learn of the existence of payment commissions, the amount of which is indicated, according to the Company, in a clear and understandable manner, considering also that from the homepage it is possible to reach other pages of the site where the amount of transaction fees is reiterated (i.e., donations made using said payment methods incur a cost equal to 2.9% of the donation amount + €0.25 for each individual bank transaction). This informative mode would be in compliance with the jurisprudence of the Council of State.</w:t>
      </w:r>
    </w:p>
    <w:p>
      <w:r>
        <w:t>51. Moreover, the Company specifies that “from the perspective of misleading omissions ex art. 22 CdC, it must be remembered that such omissions must concern relevant information that the average consumer needs to make an informed decision.” In the case at hand, GoFundMe believes that the consumer wishing to make a donation through the Platform is “generally accustomed to making online purchases and, as such, certainly capable of navigating the site to obtain the necessary information.”</w:t>
      </w:r>
    </w:p>
    <w:p>
      <w:r>
        <w:t>52. The Company adds, still on the omission profile, that “the consumer's experience on GoFundMe thus allows for their active participation; they are placed in a position to notice the box indicating the optionality of the tip and, through a simple and functional drop-down menu, to proceed in a few seconds to potentially modify the amount.” Furthermore, the reference to the amounts related to the use of credit/debit cards and commissions would be irrelevant if weighed against the average value of the donations made and, in any case, for the purpose of demonstrating the informational omission, what matters to demonstrate, in the Platform's view, is whether or not the donors were aware of such costs.</w:t>
      </w:r>
    </w:p>
    <w:p>
      <w:r>
        <w:t>53. Regarding the commissions/tip, GoFundMe observes that, in this case, consumers are informed of their existence at an advanced stage of the donation process, but in any case prior to the submission of the donation order. Furthermore, the consumer, before proceeding with the donation, if they had not deselected the tip, would be able to notice the increase in the donation amount they manually entered and could therefore go back to the previous steps to deselect the commission. In this perspective, GoFundMe reiterates the “optional” nature of the commission. Moreover, the informative methods of the commission, thus pre-selected but modifiable, would be in compliance with the principles of Directive 2011/83/EU and the related national transposition provisions (art. 49 of the Consumer Code).</w:t>
      </w:r>
    </w:p>
    <w:p>
      <w:r>
        <w:t>54. The Authority would not have clarified how such a commercial practice could induce the consumer to make a commercial decision they otherwise would not have made since, according to the Party, the donor's decision is dictated by the presence of a specific campaign of interest on the Platform and not by the presence of a commission that is optional and explicit.</w:t>
      </w:r>
    </w:p>
    <w:p>
      <w:r>
        <w:t>55. Regarding the aggressive conduct sub b), the Platform preliminarily notes that, should the Authority consider it appropriate to warn the Company against repeating the conduct and thus adopting its business model – based on the so-called “tipping,” that is, the mechanism of pre-selection of a percentage amount of the tip, which can be modified by the consumer – there could be a restriction on the free provision of services in Italy by a company established in another Member State (Ireland). The determination of unfairness would constitute a “forced” interpretation by the Authority of the provisions regarding aggressive commercial practices in the sense of asserting an absolute prohibition on applying the opt-out model in the absence of a precise prescription in this regard at the European level.</w:t>
      </w:r>
    </w:p>
    <w:p>
      <w:r>
        <w:t>56. GoFundMe continues by noting that the pre-selection of the commission by the Platform cannot be considered in any way as an aggressive practice as there is no undue conditioning of the donor, but rather, at most, a mere informational deficiency. The “nature of the average internet user, who is traditionally considered, by virtue of the communication tool they ordinarily use, capable of orienting themselves and perceiving the object and content of the product offered in its telematic representation” must indeed be considered.</w:t>
      </w:r>
    </w:p>
    <w:p>
      <w:r>
        <w:t>57. In the case of the Platform, aggressive conduct cannot be attributed according to arts. 24 and 25 of the Consumer Code based on the regulatory text of Directive Unfair Commercial Practices 2005/29, art. 8 which establishes that to define an aggressive practice it is essential to examine the concrete case taking into account all the characteristics and circumstances of the case. The conduct carried out by the Platform would not fall among those misleading as “the consumer would be made aware of both the existence of the tip and its optionality.” This occurs, specifies the Company, in various phases: in the first phase, when the consumer is called to enter the amount of the donation, there would be a clear reference to the “optional” contribution with a clear disclaimer adjacent to the amount box; subsequently, after entering the donation amount, the consumer inevitably notices “the increase in the transaction amount compared to what was manually entered,” indeed “… the consumer is placed in a position to verify the total amount that will be charged to them, understanding that this amount may also include the percentage of the tip if it has not been modified; this subsequent visualization thus allows the consumer to realize and modify the percentage of the tip at a later moment, and possibly reset it.”</w:t>
      </w:r>
    </w:p>
    <w:p>
      <w:r>
        <w:t>58. Therefore, according to the Company, since there is sufficient graphic evidence and in close proximity to the drop-down menu of the pre-selection, the “optional nature of the tip stands in stark contrast to the aggressive nature of the practice. Such aggressiveness could indeed only be hypothesized in the event that there were no indication of the optional nature of the tip, and it was not possible for the consumer/donor to intervene to modify the pre-selection of the tip, circumstances that do not occur in the case of the GoFundMe site.”</w:t>
      </w:r>
    </w:p>
    <w:p>
      <w:r>
        <w:t>59. Furthermore, GoFundMe continues, according to European jurisprudence, undue conditioning involves active conduct by the professional, through a certain pressure, determining the forced conditioning of the consumer's will. It is therefore not sufficient to mislead the consumer. Based on this approach, the Company notes that “tipping does not constitute any coercion: it is a business model established over time, well before the current pandemic, devoid of any significant pressure from the professional to ‘force’ the consumer's decision-making choices.”</w:t>
      </w:r>
    </w:p>
    <w:p>
      <w:r>
        <w:t>IV. OPINION OF THE AUTHORITY FOR GUARANTEES IN COMMUNICATIONS</w:t>
        <w:br/>
        <w:t>60. On October 21, 2020, a request for an opinion was submitted to the Authority for Guarantees in Communications, pursuant to art. 27, paragraph 6, of the Consumer Code, as the conduct subject to this provision was carried out through the website www.gofundme.com, accessible from Italy also through the web address http://it.gofundme.com.</w:t>
      </w:r>
    </w:p>
    <w:p>
      <w:r>
        <w:t>61. On November 19, 2020, the opinion of the Authority for Guarantees in Communications was received, in which it is highlighted that “…the practice in question, as far as the Authority for Guarantees in Communications is concerned and based on the documentary evidence, refers, in particular, to the methods of fundraising carried out by GoFundMe via the Internet, in particular the conduct subject to the procedure took place through a web platform (http://gofundme.com) used to raise funds for the health emergency related to Covid-19.” On this profile, the Authority has “considered that the Internet is a global communication network, capable of quickly offering the user a wide sequence of potential information likely to influence their behavior; [and] also noted that during the COVID-19 emergency period, the use of the Internet increased significantly, in fact, as reported in the 2020 Annual Report, during this period the Authority implemented a monitoring of data traffic, both on fixed and mobile networks, measured through intensity and volume. From the weekly detection of percentage variations of these indices, compared to the values recorded in the pre-emergency period, the monitoring allowed for a significant increase in data traffic during the lockdown period, a trend that has progressively decreased with the start of phase 2.” In light of these elements, the Authority has therefore “considered that, with reference to the case at hand, the means of communication used is suitable for developing a significant impact on</w:t>
      </w:r>
    </w:p>
    <w:p>
      <w:r>
        <w:rPr>
          <w:b/>
        </w:rPr>
        <w:t>[Pages 121–123]</w:t>
      </w:r>
    </w:p>
    <w:p>
      <w:r>
        <w:t>BULLETIN NO. 50 OF DECEMBER 21, 2020 123</w:t>
        <w:br/>
        <w:t>consumers who, based on the information contained on the GoFundMe platform website, could be led to make a commercial decision that they otherwise would not have made, thus concretely developing the full promotional potential of online communication [and] therefore considered that, based on the documentation in the records, in this case, the Internet is a tool suitable for significantly influencing the realization of the commercial practice for which the opinion is requested from this Authority.</w:t>
      </w:r>
    </w:p>
    <w:p>
      <w:r>
        <w:t>V. CONCLUDING EVALUATIONS</w:t>
        <w:br/>
        <w:t>a) Merit Evaluations</w:t>
        <w:br/>
        <w:t>62. The subject of this proceeding is the conduct carried out by GoFundMe in managing fundraising campaigns for charitable purposes created by third parties and promoted through the Platform to solicit consumer participation in making donations to beneficiaries.</w:t>
        <w:br/>
        <w:t>63. Specifically, from the evidence acquired, it appears that two distinct and autonomous commercial practices have been implemented in violation of Articles 21, 22, 24, and 25 of the Consumer Code.</w:t>
        <w:br/>
        <w:t>Practice sub a): misleading policy in the promotion of services</w:t>
        <w:br/>
        <w:t>64. Practice sub a) concerns the promotion of fundraising services on the GoFundMe platform website, advertised, already on the first screen of the Platform's homepage and then on the pages of individual campaigns, with immediately visible claims using terms such as "free" and "no costs."</w:t>
        <w:br/>
        <w:t>65. In reality, the claim of free service is not true for two factual circumstances related to the presence of costs borne by the consumer.</w:t>
        <w:br/>
        <w:t>66. Firstly, costs are foreseen related to transactions with credit and debit cards, as the Company itself has confirmed by stating that donations made using these payment methods incur a cost of 2.9% of the donation amount, plus an amount of 0.25 euros for each individual bank transaction.</w:t>
        <w:br/>
        <w:t>67. Secondly, the Platform provides preset commissions on each transaction as a tip in favor of the Company, which results in an increase in the outlay compared to the donation chosen by the consumer, generating confusing effects caused precisely by the use of expressions related to the free amount and its optional nature.</w:t>
        <w:br/>
        <w:t>68. Regarding these aspects, as can be seen from the analysis of the site, the consumer not only does not have clear and immediate information about the aforementioned costs and commissions, but above all is led to believe that the service is free and without costs. In fact, as described previously, on the main screen of the Platform's website, the claim "Raise funds for what matters to you. There are no costs*" appears, and only the note referenced by the asterisk specifies, at the bottom of the page and in very small characters, that "standard fees apply to credit and debit card transactions."</w:t>
        <w:br/>
        <w:t>69. Moreover, the reference to free service also appears when scrolling through the main screen of the site and at the bottom of it where it is possible to click on "how it works," which opens a page that reads "Fast, free, and secure."</w:t>
        <w:br/>
        <w:t>70. In addition to such misleading information regarding the absence of costs related to the payment methods used and the commission in favor of the Platform, other pages of the site also contain references to free service and, above all, to the optional nature of the commission, which, however, has a fixed amount, albeit modifiable.</w:t>
      </w:r>
    </w:p>
    <w:p>
      <w:r>
        <w:t>BULLETIN NO. 50 OF DECEMBER 21, 2020 124</w:t>
        <w:br/>
        <w:t>71. In fact, accessing the "Current Campaigns," the consumer who wishes to make a donation opens a page where they read the purpose of the specific fundraising and finds on the right the icon "Make a donation." Clicking on "Make a donation" opens a page where the text "Enter your donation" appears, with the space for the amount that the donor wishes to indicate, below which it reads: "GoFundMe will continue to offer its services for free, funding itself through donors who leave a free amount here." Additionally, below appears the phrase "Thank you for the optional contribution of..." and next to it a dropdown box with the preset amount of "10%" and, in some campaigns, as stated by the Company, of 15%.</w:t>
        <w:br/>
        <w:t>72. Therefore, contrary to what the Company has noted, the reference in the note to costs for donations by card and the statements about the optional nature of the commissions do not seem capable of providing clear, complete, and immediate information that makes it understood that these are not services rendered free of charge to the consumer. For example, the not immediately accessible position and the reduced nature of the note on costs do not inform the consumer, captivated by the main claim of free service and absence of costs, about the actual economic conditions related to the donation.</w:t>
        <w:br/>
        <w:t>73. Furthermore, the content of the messages, contrary to what the Party has stated, instead of clarifying the offer conditions to the consumer, is likely to create further confusing effects, particularly where expressions are used regarding the optional nature of the commissions which, instead, have a fixed amount, albeit modifiable.</w:t>
        <w:br/>
        <w:t>74. On this point, the Professional emphasizes the particular awareness of the consumer navigating the internet and thus accessing the Platform. In this regard, administrative jurisprudence has repeatedly defined the "average consumer" as "a subject normally informed and reasonably prudent, taking into account the characteristics of the market in which such a type makes its choices (...)"48. In this case, it is evident that consumers are not necessarily particularly expert subjects, especially when considering the reference market concerning participation in charitable collections. They are rather individuals sensitized by a specific emergency and who want to contribute with a donation, thus not necessarily accustomed and used to navigating the internet. Moreover, the informational burden is particularly relevant when the consumer chooses to make, as in this case, a donation. In fact, it is entirely evident that in such cases the consumer makes economic choices without consideration, driven by the particular intent to contribute to charitable purposes that are often linked to emergency situations that, therefore, require greater promptness in the disbursement of money. All this can thus translate into less consideration by the consumer who intends to make the donation, feeling they have little time, thus being pushed, especially in the case of smaller donations (which, as stated by the Professional, represent about 80% of cases), not to pay particular attention to other graphic elements that may, however, unconsciously but significantly alter the consumer's economic choice, such as, as in this case, the pre-setting of a tip or the provision of commissions for the use of credit or debit cards (the latter noted, it is worth reiterating, only at the bottom of the site, in small characters and based on a reference indicated with an asterisk)49.</w:t>
      </w:r>
    </w:p>
    <w:p>
      <w:r>
        <w:t>BULLETIN NO. 50 OF DECEMBER 21, 2020 125</w:t>
        <w:br/>
        <w:t>Finally, contrary to what the Company has stated, the consumer, precisely because they are interested in participating in the fundraising of a specific campaign, is likely to pay more attention to the search and visualization of the content of the campaign published on the Platform rather than the economic conditions that the Platform pre-sets for joining it.</w:t>
        <w:br/>
        <w:t>75. The nature of the practice, contrary to what the Party claims, which highlights the existence of notes and references clarifying the existence of costs for the use of cards and for tips, appears misleading in light of what has been repeatedly specified by jurisprudence, according to which: "The character of the commercial practice must be evaluated ex ante and therefore regardless of the concrete factual data, variable for the most diverse reasons, subjective and objective, linked to the concretely harmful outcome produced by the conduct of the professional (cfr. Consiglio di Stato, sez. VI, March 16, 2018, n. 1670). In fact, the rationale of the regulation concerning unfair practices is to safeguard the freedom of self-determination of the recipient of a promotional message from any erroneous interference that may, even theoretically, affect their choices and the economic consequences thereof from the very first advertising contact. The jurisprudence of the Section, precisely with reference to the promotional activity of an online operator, has recently reiterated that: "the obligation of utmost clarity, which is violated precisely by misleading or false practices that in any way, even in the overall presentation, deceive or may mislead the average contractor, must be duly fulfilled by the professional from the very first contact, through which the essential elements for an immediate perception of the advertised economic offer must be made available to the consumer" (Cons. Stato, Sez. VI, July 15, 2019)"50.</w:t>
        <w:br/>
        <w:t>76. The importance of clarity in the message directed at the consumer from the very first contact has also been reiterated by the Consiglio di Stato, which, in this regard, specified: "... the obligation of utmost clarity, which is violated precisely by misleading or false practices that, in any way, even in the overall presentation, deceive or may mislead the average contractor, must be duly fulfilled by the professional from the very first advertising contact, through which the essential elements for an immediate perception of the advertised economic offer must be made available to the consumer (cfr., among many, Cons. Stato, Sez. VI, July 15, 2019, n. 4976; May 23, 2019, n. 3347; December 10, 2014, n. 6050; July 22, 2014, n. 3896). In light of the aforementioned legal principle, the Authority correctly identified the elements of an unfair commercial practice in the conduct of the professional in failing to indicate, from the very first contact, the total price of the products, including, therefore, also the shipping costs, as such omission could condition the user's choice"51.</w:t>
      </w:r>
    </w:p>
    <w:p>
      <w:r>
        <w:rPr>
          <w:b/>
        </w:rPr>
        <w:t>[Pages 124–126]</w:t>
      </w:r>
    </w:p>
    <w:p>
      <w:r>
        <w:t>126 BULLETIN NO. 50 OF DECEMBER 21, 2020</w:t>
        <w:br/>
        <w:t>77. From the evidence on record mentioned above, it appears that there is a lack of such informational clarity from the very first contact and, indeed, there are misleading pieces of information related to the claims regarding the free nature, absence of costs, and optionality of the fees in favor of the Platform itself.</w:t>
        <w:br/>
        <w:t>78. To prove the non-free nature of the service and the existence of costs for the use of cards and for the tip fees, it is noted that, from the data provided by the Platform, the fees for the use of credit/debit cards exceeded 70,000-80,000 euros in 2018, 100,000 – 200,000 euros in 2019, and 1 million euros in the period from January to June 2020, that is, during the peak fundraising phase for the campaigns created during the health emergency. As for the fees in favor of the Platform (tip), it is also reported from the data of the Party that they exceeded 100,000 euros in 2018, between 300,000 and 400,000 euros in 2019, and over 2 million euros in the period from January to June 2020 (that is, during the peak fundraising phase for campaigns related to the Covid19 pandemic).</w:t>
        <w:br/>
        <w:t>79. Based on the considerations outlined, it is therefore concluded that GoFundMe has adopted a misleading commercial practice, in violation of Articles 21 and 22 of the Consumer Code, for having provided information that is not true and for having omitted relevant information regarding the free nature and absence of costs of the service provided.</w:t>
        <w:br/>
        <w:t>Practice sub b): aggressive policy in the pre-activation of tip fees</w:t>
        <w:br/>
        <w:t>80. Practice sub b) concerns the pre-setting of the tip fee, which the Platform sets at a predefined percentage (for values of 10% or 15% depending on the campaigns) and which can only be zeroed or modified by the consumer if they notice it and only after a series of actions that are not immediately comprehensible.</w:t>
        <w:br/>
        <w:t>81. In detail, from the evidence acquired and as confirmed by the Platform itself, the fee, which is added to the consumer's donation increasing its amount, is already set by GoFundMe at a certain percentage of the donation. The consumer who decides to participate in a fundraising campaign, selected from the main screen of the site, sees a screen open with the phrase "Enter your Donation" and below appears the empty space "…,00" euros. In this space, they can freely decide the amount to donate to the beneficiary. However, to this amount, the tip fee is automatically added, which the consumer can only modify or zero out through an opt-out method, via various and not immediately understandable steps.</w:t>
        <w:br/>
        <w:t>82. As reported, in fact, only after the consumer enters the amount they wish to donate in the dedicated screen - opening the drop-down menu, then clicking on "Other" and entering the zero amount - is this fee canceled; this occurs provided that the consumer has understood, before the charge, the existence of the pre-set fee. The pre-setting of the fee therefore requires, in opt-out mode, more steps for its modification, which are not always immediately comprehensible to the consumer, especially when participation in the fundraising occurs during moments of particular urgency, such as during the solicitation of donations for the pandemic or other health emergencies. Not only is the amount pre-set, but its zeroing implies searching in the drop-down menu to select the generic term "Other," which, unlike the pre-set percentage of 10-15% (set by the Platform), does not appear immediately, with subsequent introduction of the value "zero." Furthermore, contrary to what the Company claims, the contested conduct does not concern the information provided about the existence of the tip and, therefore, the possible violation of Article 49 of the Consumer Code, but rather the undue conditioning that the pre-activation of the fees in favor of the Platform itself imposes on the consumer.</w:t>
        <w:br/>
        <w:t>BULLETIN NO. 50 OF DECEMBER 21, 2020 127</w:t>
        <w:br/>
        <w:t>83. It should be noted that the purpose for which consumers turn to GoFundMe, namely to make charitable contributions in emergency situations (for example, of a health nature during the recent pandemic phase, or for economic crises and specific social needs) to which the fundraising campaigns managed by the Platform are dedicated, may lead to reduced attention to the mechanisms of the site’s operation and/or a greater propensity to dispose of their financial resources, thus they may suffer undue conditioning from the mechanisms of fee pre-setting.</w:t>
        <w:br/>
        <w:t>84. Moreover, the tip provided through this procedure, contrary to what the Platform claims, cannot be classified as merely optional or as a contribution that the consumer freely decides to give, since, evidently, the percentage is pre-set by the Company and not entered and, therefore, chosen by the consumer following specific consideration; moreover, even its zeroing requires non-immediate actions by the consumer.</w:t>
        <w:br/>
        <w:t>85. The context in which the Platform has adopted a method of pre-setting fees in its favor, modifiable in opt-out, is therefore such as to determine an undue conditioning of the consumer who may not notice its existence at all and, if they do notice it, they are not in a position to easily and immediately eliminate the amount, which instead automatically adds to the amount entered for the donation.</w:t>
        <w:br/>
        <w:t>86. On this point, it should be noted that, contrary to what the Party claims regarding the lack of evidence of conditioning, in terms of threat or violence, administrative jurisprudence has repeatedly emphasized that the inadequacy of a preventive information constitutes a central element for qualifying a pre-activation for payment by the professional at the time of adherence to an offer as aggressive practice. In fact, according to the Council of State, "...the conduct carried out, as evidenced by the acts of the process, consisted of the marketing by the appellant company of telephone cards on which internet browsing and voicemail services were pre-set and pre-activated, the costs of which were charged to the user if such services were not deactivated at the express request of the latter and this without the user having received information regarding the existence of such services and their costs. This case does not constitute, as claimed in its defense by the company, a mere informational omission. It is, in fact, a concrete conduct that integrates the elements of typical conduct of aggressive commercial practice consisting of the provision of unsolicited services. In particular, it appears that: i) the services in question were pre-set and pre-activated on the SIM cards without the consumer being adequately informed in a clear and adequate manner; ii) the professional requested payment for the unsolicited service... The determining element, it is reiterated, is constituted by the fact that the subject of the informational omission is represented by the fact that the weak party was not informed about the pre-setting of the services. These omissions were capable of inducing the average consumer to make a decision that they would not have otherwise made”52. In this regard, the same Court of Justice noted that “it is not evident that an average buyer of SIM cards can be aware that, when purchasing a card, it automatically contains pre-set and pre-activated services that generate additional costs... nor that they have sufficient technical competence to carry out alone the necessary operations to deactivate such services or such automatic connections on their device”53.</w:t>
        <w:br/>
        <w:t>52 See Council of State – PS7001 “Wind-SIM activation at sales points” ruling no. 07296/2019.</w:t>
        <w:br/>
        <w:t>53 See Court of Justice of the European Union joined cases C-54/17 and C-55/17 of September 13, 2018.</w:t>
      </w:r>
    </w:p>
    <w:p>
      <w:r>
        <w:t>128 BULLETIN NO. 50 OF DECEMBER 21, 2020</w:t>
        <w:br/>
        <w:t>87. It should be added that, contrary to what the Party claims, this is not a matter of evaluating the business model based on the tip, but rather of evaluating whether its concrete application method - which implies a pre-activation of the percentage to be paid imposing more steps to modify or zero it - involves a conditioning of the consumer such as to induce them to make a choice they would not have otherwise made.</w:t>
        <w:br/>
        <w:t>88. The documentary evidence confirms, in the case at hand, the aggressiveness of the practice since, firstly, hundreds of complaints concerning the pre-activation of the fee and the difficulty in proceeding to modify the pre-set tip, whose existence is only belatedly and possibly recognized by the consumer, have been acquired from the Platform itself.</w:t>
        <w:br/>
        <w:t>89. Furthermore, to prove the conditioning that the pre-activation determines towards consumers who make a donation with this system, the quantitative data provided by the Platform itself are noteworthy. In particular, the fact that about 50% of consumers who make a donation of an amount between less than 10 euros and 50 euros (corresponding to over 60-70% of donations during the health emergency from February 1, 2020, to March 25, 2020, the date of elimination of the pre-activation of the fee for Italian campaigns directly reachable from the GoFundMe website) did not modify the percentage set by the Company shows how the opt-out mechanism disincentivizes the modification of the fee. This is made even more evident when observing the data for donations of an amount equal to or less than 20 euros: in this case, the percentage of consumers who do not change the pre-set tip rises to 75-85%. It is evident, in fact, that for low donation amounts (under 50 euros and even more so under 20 euros, which however represent the majority of donations collected) the consumer, who intends to participate in the fundraising during an emergency, is more inattentive and the mechanism thus set up does not induce them to check that the charged amount corresponds to the donation amount, but is increased by a pre-set percentage so as not to allow them to undertake, if necessary, the steps to zero or modify it.</w:t>
        <w:br/>
        <w:t>90. An evidence that completes and confirms the above is provided by the findings acquired regarding the changed scenario following the elimination of the pre-setting of the fee by the Platform as a result of the precautionary measures. In fact, from March 26, 2020 (the first day following the date of zeroing of the pre-setting of the tips on the Italian campaigns promoted by the Platform and directly reachable from the site), it was found that a very high percentage (equal to 80-90%) of consumers chose not to modify the percentage as a fee, leaving it at zero. This proves how the previous conduct, concerning the pre-setting of the fee, was imposed on consumers who were unduly conditioned to make the payment of the higher amount, as determined by GoFundMe, compared to the amount they intended to donate.</w:t>
        <w:br/>
        <w:t>91. Finally, regarding the Party's argument that the practice of pre-activation would at most fall within the notion of misleading conduct and not aggressive conduct, it is noted that administrative justice has clarified the distinction between the two types of practices by stating that “There is thus a difference between aggressive commercial practice and misleading practice. Through the latter, in fact, the unfair operator aims to obtain the conclusion of a contract of which the consumer is not well aware of the content. Through aggressive practice, the operator aims to condition the will of the consumer, making them conclude a contract of which they are not convinced of the convenience (see Council of State, section VI, 4</w:t>
      </w:r>
    </w:p>
    <w:p>
      <w:r>
        <w:rPr>
          <w:b/>
        </w:rPr>
        <w:t>[Pages 127–129]</w:t>
      </w:r>
    </w:p>
    <w:p>
      <w:r>
        <w:t>BULLETIN NO. 50 OF DECEMBER 21, 2020 129</w:t>
        <w:br/>
        <w:t>July 4, 2012, n. 3904)”54. In the case at hand, a clear distinction has been made between the aspects of the misleading practice sub a) related to claims about free services, absence of costs, and optional fees for the use of credit/debit cards and tips, compared to those typical of the aggressive practice sub b), related to the pre-setting of commissions in favor of the Platform with provisions for complex methods aimed at nullifying or changing the amount.</w:t>
      </w:r>
    </w:p>
    <w:p>
      <w:r>
        <w:t>92. Based on the considerations outlined, it is concluded that GoFundMe has adopted an aggressive commercial practice, in violation of Articles 24 and 25 of the Consumer Code, having pre-set the percentage of tips to its advantage, at 10 or 15% depending on the campaigns, allowing for the nullification or modification of the amount only (i) following the various and not immediate steps (opening the dropdown menu, selecting the “Other” option, and subsequently entering the zero amount) and (ii) retracing the previous steps to nullify or change the amount, where the consumer would only realize this before executing the payment. Such conduct results in undue conditioning, limiting the consumer's freedom of choice.</w:t>
      </w:r>
    </w:p>
    <w:p>
      <w:r>
        <w:t>VI. QUANTIFICATION OF THE SANCTION</w:t>
        <w:br/>
        <w:t>93.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94. In the case of proceedings concerning a plurality of established administrative offenses, the jurisprudence has clarified that in the presence of multiple conducts with structural and functional autonomy, attributed to the responsibility of professionals, the criterion of material cumulation of sanctions applies, instead of legal cumulation (see among others, Council of State, Section VI, judgment of January 19, 2012, n. 209).</w:t>
      </w:r>
    </w:p>
    <w:p>
      <w:r>
        <w:t>95.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96. Concerning the severity of the violation sub a), account is taken of the economic size of the Professional, which has achieved a turnover of approximately [10 – 20] million euros. The severity is also evident in the misleading nature of the practice itself, in its considerable spread (given the medium used and the number of involved donor consumers), as well as in the extent of the economic harm to the donor consumers and their vulnerability, arising from a state of particular exposure when they intend to contribute to fundraising campaigns (campaigns conducted in times of particular urgency, for health emergency purposes or particular health, social, and economic difficulties such as the recent pandemic phase).</w:t>
      </w:r>
    </w:p>
    <w:p>
      <w:r>
        <w:t>97. The harm suffered by Italian consumers as a result of the practice has been prudently estimated at a value of €1.5 million, against a total turnover of approximately [10 – 20] million euros55.</w:t>
      </w:r>
    </w:p>
    <w:p>
      <w:r>
        <w:t>54 See Council of State, judgment of July 4, 2018, n. 4110, PS6576 – Title-Computer Science Course; Council of State, judgment of December 11, 2017, n. 5795, PS8942 - Sicily by car-arbitrary charges.</w:t>
      </w:r>
    </w:p>
    <w:p>
      <w:r>
        <w:t>55 Amount corresponding to the fees paid by consumers for the use of credit and debit cards. To arrive at this estimate, data on fees for the use of credit and debit cards from 2018 to June 2020, amounting to over [1,000,000 – 2,000,000] euros, were considered, which may be an underestimation of the damage resulting from the conduct sub a), underestimated not considering the impact of the misleading information on the commissions in favor of the Platform.</w:t>
      </w:r>
    </w:p>
    <w:p>
      <w:r>
        <w:t>130 BULLETIN NO. 50 OF DECEMBER 21, 2020</w:t>
        <w:br/>
        <w:t>98. Regarding the duration of the violation, from the elements acquired in the records, it appears that it has been carried out by GoFundMe since at least May 2, 2018, and that it is currently ongoing, as the current version of the site states, on the homepage, the phrase “Getting started is easy. 0% fees for the service*” with a reference of the asterisk, in very small characters, to the phrase “*Standard fees apply on credit and debit card transactions” and the reference, on the “how it works” page, to the phrase “free fundraising” and “free fundraising: why we offer a free service”.</w:t>
      </w:r>
    </w:p>
    <w:p>
      <w:r>
        <w:t>99. Based on these elements, it is deemed appropriate to determine the amount of the sanction applicable to GoFundMe Ireland Ltd. in the amount of €600,000 (six hundred thousand euros).</w:t>
      </w:r>
    </w:p>
    <w:p>
      <w:r>
        <w:t>100. Regarding the practice sub b), the severity is evident, considering first the economic size of the Professional, which has achieved a turnover of approximately [10 – 20] million euros, furthermore, the aggressive nature of the practice should be noted, capable of conditioning the choice of donor consumers through the adoption of the opt-out method adopted by the Company, consisting of pre-setting the commission in favor of the same. Additionally, this practice is not only capable of conditioning consumers in situations of particular urgency, but also the very medium used (the internet) is able to reach a very high number of donors.</w:t>
      </w:r>
    </w:p>
    <w:p>
      <w:r>
        <w:t>101. The harm suffered by Italian consumers as a result of the practice has been prudently estimated at a value of over €800,000, against a total turnover of approximately [10 – 20] million euros56.</w:t>
      </w:r>
    </w:p>
    <w:p>
      <w:r>
        <w:t>102. Regarding the duration of the violation, from the elements acquired in the records, it appears that it has been carried out since at least May 2, 2018, and that it ceased on September 23, 2020, that is, after the adoption of precautionary measures and after further changes made by the Company, consisting of displaying by default the tip at a value of zero, regardless of the access methods to the different campaigns, whether Italian or foreign, reachable by consumers on the Platform57.</w:t>
      </w:r>
    </w:p>
    <w:p>
      <w:r>
        <w:t>103. Based on these elements, it is deemed appropriate to determine the amount of the sanction applicable to GoFundMe Ireland Ltd. in the amount of €900,000 (nine hundred thousand euros).</w:t>
      </w:r>
    </w:p>
    <w:p>
      <w:r>
        <w:t>CONSIDERING, therefore, in accordance with the opinion of Agcom, based on the considerations outlined above, that the commercial practice in question sub a) carried out by GoFundMe Ireland Ltd consisting of providing misleading information about the free nature and absence of costs regarding the services provided to participate in fundraising, is deemed unfair pursuant to Articles 21 and 22 of the Consumer Code, as it is capable of appreciably distorting the economic behavior of the average consumer in relation to the services offered by the professional;</w:t>
      </w:r>
    </w:p>
    <w:p>
      <w:r>
        <w:t>CONSIDERING, therefore, in accordance with the opinion of Agcom, based on the considerations outlined above, that the commercial practice in question sub b) carried out by GoFundMe Ireland Ltd, is deemed unfair pursuant to Articles 24 and 25 of the Consumer Code, as it is capable of appreciably distorting the economic behavior of the average consumer, unduly conditioning the freedom of choice of the same in relation to the choice of the commission in favor of the professional, through the pre-setting method;</w:t>
      </w:r>
    </w:p>
    <w:p>
      <w:r>
        <w:t>DECIDES</w:t>
        <w:br/>
        <w:t>a) that the commercial practice described in point II, sub a), of this provision, carried out by GoFundMe Ireland Ltd., constitutes, for the reasons and within the limits outlined in the motivation, an unfair commercial practice pursuant to Articles 21 and 22 of the Consumer Code, and prohibits its dissemination or continuation;</w:t>
        <w:br/>
        <w:t>b) that the commercial practice described in point II, sub b), of this provision, carried out by GoFundMe Ireland Ltd., constitutes, for the reasons and within the limits outlined in the motivation, an unfair commercial practice pursuant to Articles 24 and 25 of the Consumer Code, and prohibits its dissemination or continuation;</w:t>
        <w:br/>
        <w:t>c) to impose on GoFundMe Ireland Ltd. an administrative pecuniary sanction of €600,000 (six hundred thousand euros) for the practice sub a);</w:t>
        <w:br/>
        <w:t>d) to impose on GoFundMe Ireland Ltd. an administrative pecuniary sanction of €900,000 (nine hundred thousand euros) for the practice sub b);</w:t>
        <w:br/>
        <w:t>e) that the Professional communicates to the Authority, within sixty days from the notification of this provision, the initiatives taken in compliance with the warning referred to in point a) regarding the practice sub a).</w:t>
      </w:r>
    </w:p>
    <w:p>
      <w:r>
        <w:t>This provision will be notified to the interested parties and published in the Bulletin of the Authority for Competition and the Market.</w:t>
      </w:r>
    </w:p>
    <w:p>
      <w:r>
        <w:t>The administrative sanctions imposed must be paid within thirty days from the notification of this provision, by bank transfer (in euros) in favor of the State Budget, using the IBAN code IT04A0100003245348018359214 (BIC code: BITAITRRENT), which corresponds to the accounting number 18/3592/14.</w:t>
      </w:r>
    </w:p>
    <w:p>
      <w:r>
        <w:t>After the aforementioned term, for the period of delay of less than six months, late interest must be paid at the legal rate starting from the day following the expiration of the payment term and until the date of payment. In case of further delay in compliance, pursuant to Article 27, paragraph 6, of Law No. 689/81, the amount due for the imposed sanction is increased by one-tenth for each semester starting from the day following the expiration of the payment term and until the role is transmitted to the concessionaire for collection; in this case, the increase absorbs the late interest accrued in the same period.</w:t>
      </w:r>
    </w:p>
    <w:p>
      <w:r>
        <w:t>Immediate communication of the payment must be given to the Authority by sending the documentation certifying the payment made.</w:t>
      </w:r>
    </w:p>
    <w:p>
      <w:r>
        <w:t>Pursuant to Article 27, paragraph 12, of the Consumer Code, in case of non-compliance with the provision, the Authority applies an administrative pecuniary sanction from €10,000 to €5,000,000.</w:t>
      </w:r>
    </w:p>
    <w:p>
      <w:r>
        <w:rPr>
          <w:b/>
        </w:rPr>
        <w:t>[Pages 130–132]</w:t>
      </w:r>
    </w:p>
    <w:p>
      <w:r>
        <w:t>132 BULLETIN NO. 50 OF DECEMBER 21, 2020</w:t>
        <w:br/>
        <w:t>In cases of repeated non-compliance, the Authority may order the suspension of business activities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Filippo Arena Roberto Rustichelli</w:t>
      </w:r>
    </w:p>
    <w:p>
      <w:r>
        <w:t>BULLETIN NO. 50 OF DECEMBER 21, 2020 133</w:t>
        <w:br/>
        <w:t>VARIOUS</w:t>
        <w:br/>
        <w:t>BUDGET FORECAST FOR THE FINANCIAL YEAR 2021 AND MULTIYEAR 2021-2023</w:t>
        <w:br/>
        <w:t>Provision No. 28466</w:t>
        <w:br/>
        <w:t>THE ANTITRUST AUTHORITY</w:t>
        <w:br/>
        <w:t>IN ITS MEETING of November 24, 2020;</w:t>
        <w:br/>
        <w:t>HAVING REGARD to paragraph 7 of Article 10 of Law No. 287 of October 10, 1990;</w:t>
        <w:br/>
        <w:t>HAVING REGARD to the Regulation concerning the accounting autonomy of the Authority published in the Special Edition of the Bulletin - supplement to No. 40/2015 of November 9, 2015, and in particular Article 17;</w:t>
        <w:br/>
        <w:t>HAVING REGARD to paragraph 7-ter of Article 10 of Law No. 287/90, introduced by paragraph 1 of Article 5-bis of Decree-Law No. 1 of January 24, 2012, as amended by the conversion law No. 27 of March 24, 2012, which establishes that the burden arising from the operation of the Antitrust Authority is covered by a contribution equal to 0.08 per thousand of the revenue resulting from the last approved financial statements of capital companies with total revenues exceeding 50 million euros;</w:t>
        <w:br/>
        <w:t>HAVING REGARD to the resolution of the Authority of March 10, 2020, which confirmed for the year 2020, pursuant to Article 10, paragraph 7-quater of Law No. 287/90, the reduction of the contribution by 0.025 per thousand compared to the rate established by law, setting it at 0.055 per thousand of the revenue resulting from the last approved financial statements, as of the date of the same resolution, of capital companies with total revenues exceeding 50 million euros, without prejudice to the criteria established by paragraph 2 of Article 16 of Law No. 287/90;</w:t>
        <w:br/>
        <w:t>HAVING REGARD to the provisions for containing public spending introduced by Law No. 160 of December 27, 2019, "State Budget Forecast for the Financial Year 2020 and Multiyear Budget for the Three-Year Period 2020-2022";</w:t>
        <w:br/>
        <w:t>HAVING REGARD to the draft annual budget forecast for 2021 and multiyear 2021-2023 prepared by the General Administration Directorate – Budget and Accounting Directorate and presented by the Secretary General;</w:t>
        <w:br/>
        <w:t>HAVING REGARD to the report of the Board of Auditors attached to the minutes No. 211 of November 20, 2020, which expressed a favorable opinion for the approval of the draft annual budget forecast for 2021 and multiyear 2021-2023;</w:t>
        <w:br/>
        <w:t>ON THE PROPOSAL of the Secretary General;</w:t>
      </w:r>
    </w:p>
    <w:p>
      <w:r>
        <w:t>134 BULLETIN NO. 50 OF DECEMBER 21, 2020</w:t>
        <w:br/>
        <w:t>RESOLVES</w:t>
        <w:br/>
        <w:t>1. to approve the annual budget forecast for 2021 and multiyear 2021-2023 in the attached version, which is an integral part of this resolution;</w:t>
        <w:br/>
        <w:t>2. to publish this resolution and the draft budget forecast for the year 2021 in the Official Gazette of the Italian Republic and on the institutional website of the Authority.</w:t>
      </w:r>
    </w:p>
    <w:p>
      <w:r>
        <w:t>THE SECRETARY GENERAL THE PRESIDENT</w:t>
        <w:br/>
        <w:t>Filippo Arena Roberto Rustichelli</w:t>
      </w:r>
    </w:p>
    <w:p>
      <w:r>
        <w:rPr>
          <w:b/>
        </w:rPr>
        <w:t>[Pages 133–133]</w:t>
      </w:r>
    </w:p>
    <w:p>
      <w:r>
        <w:t>Antitrust Authority Weekly Bulletin</w:t>
        <w:br/>
        <w:t>of Competition and the Market Year XXX - No. 50 - 2020</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