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https://www.agcm.it/dotcmsdoc/bollettini/2021/50-21.pdf</w:t>
      </w:r>
    </w:p>
    <w:p>
      <w:r>
        <w:t>Pages translated : 58</w:t>
      </w:r>
    </w:p>
    <w:p/>
    <w:p>
      <w:r>
        <w:rPr>
          <w:b/>
        </w:rPr>
        <w:t>[Pages 1–3]</w:t>
      </w:r>
    </w:p>
    <w:p>
      <w:r>
        <w:t>Bulletin</w:t>
        <w:br/>
        <w:t>Weekly</w:t>
        <w:br/>
        <w:t>Year XXXI - No. 50</w:t>
        <w:br/>
        <w:t>Published on the website www.agcm.it</w:t>
        <w:br/>
        <w:t>December 20, 2021</w:t>
      </w:r>
    </w:p>
    <w:p>
      <w:r>
        <w:t>SUMMARY</w:t>
        <w:br/>
        <w:t>AGREEMENTS AND ABUSE OF DOMINANT POSITION 5</w:t>
        <w:br/>
        <w:t>I853 - COLLECTION OF PRIVATE COPY RIGHTS IN THE AUDIOVISUAL SECTOR</w:t>
        <w:br/>
        <w:t>Measure No. 29916 5</w:t>
        <w:br/>
        <w:t>A543 - CONTRACTUAL RELATIONS BETWEEN BENETTON AND ITS RETAILERS</w:t>
        <w:br/>
        <w:t>Measure No. 29927 17</w:t>
        <w:br/>
        <w:t>A548 - ATM/MASTERCARD MANDATE</w:t>
        <w:br/>
        <w:t>Measure No. 29928 18</w:t>
        <w:br/>
        <w:t>A550 - ORIGINAL MARINES FRANCHISE CHAIN</w:t>
        <w:br/>
        <w:t>Measure No. 29930 25</w:t>
        <w:br/>
        <w:t>I840 - OBSTACLES TO FREE OF CHARGE ARENAS</w:t>
        <w:br/>
        <w:t>Measure No. 29934 31</w:t>
        <w:br/>
        <w:t>I854 - SOFAR/PROVISION OF FOOD SUPPLEMENTS</w:t>
        <w:br/>
        <w:t>Measure No. 29935 33</w:t>
        <w:br/>
        <w:t>CONCENTRATION OPERATIONS 38</w:t>
        <w:br/>
        <w:t>C12409 - UNIPOLSAI INSURANCE/I.CAR-MURIANA MANUELA</w:t>
        <w:br/>
        <w:t>Measure No. 29932 38</w:t>
        <w:br/>
        <w:t>REPORTING AND CONSULTATIVE ACTIVITIES 42</w:t>
        <w:br/>
        <w:t>AS1804 - MUNICIPALITY OF VIMODRONE (MI)/INTERPRETATION OF SOME PROVISIONS</w:t>
        <w:br/>
        <w:t>42</w:t>
        <w:br/>
        <w:t>CONTAINED IN THE CONSOLIDATED TEXT ON PUBLICLY HELD COMPANIES</w:t>
        <w:br/>
        <w:t>46</w:t>
        <w:br/>
        <w:t>AS1805 - ITALY PLAN A 1 GIGA</w:t>
        <w:br/>
        <w:t>AS1806 - SUPPORT DECREE BIS/COMPETITION CRITICALITIES DERIVING FROM THE REGULATION OF</w:t>
        <w:br/>
        <w:t>52</w:t>
        <w:br/>
        <w:t>PRIVATE COPY REMUNERATION IN THE AUDIO SECTOR</w:t>
        <w:br/>
        <w:t>56</w:t>
        <w:br/>
        <w:t>AS1807 - ORGANIC STRUCTURE OF NOTARIES-COVERAGE OF VACANT POSITIONS AND REVIEW</w:t>
        <w:br/>
        <w:t>VARIOUS 58</w:t>
        <w:br/>
        <w:t>BUDGET FORECAST FOR THE FINANCIAL YEAR 2022 AND MULTIYEAR 2022-2024</w:t>
        <w:br/>
        <w:t>Measure No. 29910 58</w:t>
      </w:r>
    </w:p>
    <w:p>
      <w:r>
        <w:t>BULLETIN NO. 50 OF DECEMBER 20, 2021 5</w:t>
        <w:br/>
        <w:t>AGREEMENTS AND ABUSE OF DOMINANT POSITION</w:t>
        <w:br/>
        <w:t>I853 - COLLECTION OF PRIVATE COPY RIGHTS IN THE AUDIOVISUAL SECTOR</w:t>
        <w:br/>
        <w:t>Measure No. 29916</w:t>
        <w:br/>
        <w:t>THE ITALIAN COMPETITION AUTHORITY</w:t>
        <w:br/>
        <w:t>IN ITS MEETING of November 25, 2021;</w:t>
        <w:br/>
        <w:t>HEARD the Rapporteur, President Roberto Rustichelli;</w:t>
        <w:br/>
        <w:t>HAVING REGARD to Article 101 of the Treaty on the Functioning of the European Union (hereinafter, TFEU);</w:t>
        <w:br/>
        <w:t>HAVING REGARD to Regulation No. 1/2003 of the Council of December 16, 2002, concerning the application of the competition rules set out in Articles 81 and 82 of the EC Treaty (now Articles 101 and 102 TFEU);</w:t>
        <w:br/>
        <w:t>HAVING REGARD to Law No. 287 of October 10, 1990;</w:t>
        <w:br/>
        <w:t>HAVING REGARD to the Decree of the President of the Republic No. 217 of April 30, 1998;</w:t>
        <w:br/>
        <w:t>HAVING REGARD to its resolution of February 2, 2021, which initiated an investigation pursuant to Article 14 of Law No. 287/1990, against the Italian Society of Authors and Publishers (SIAE), the National Association of Audiovisual and Multimedia Industries (ANICA), ANICA Servizi S.r.l., the Association of Audiovisual Producers (APA) previously known as the Association of Television Producers (APT), APA Service S.r.l. (previously known as APT Service S.r.l.), the Univideo association, and the Agency for the Development of Audiovisual Publishing S.r.l. (ASEA) – hereinafter collectively referred to as the Parties – to ascertain the existence of a violation of Article 101 TFEU;</w:t>
        <w:br/>
        <w:t>HAVING REGARD to its "Communication on the procedures for the application of Article 14-ter of Law No. 10 of October 1990, No. 287," adopted in the meeting of September 6, 2012 and published in Bulletin No. 35 of September 17, 2012;</w:t>
        <w:br/>
        <w:t>HAVING REGARD to the communications of May 11, 2021, whereby the Parties submitted commitments, pursuant to Article 14-ter of Law No. 287/90, according to the methods specifically indicated in the appropriate "Form for the submission of commitments pursuant to Article 14-ter of Law No. 287/90," aimed at removing the anticompetitive profiles subject to the investigation;</w:t>
        <w:br/>
        <w:t>HAVING REGARD to its resolution of June 15, 2021, which ordered the publication of the commitments proposed by the aforementioned Parties on the Authority's website, in order to allow interested third parties to express their observations, and set the deadline of July 25, 2021, for the submission by these latter of any observations and, on August 24, 2021, the deadline for the Parties to present any representations of their positions regarding the observations of third parties on the commitments, as well as for the possible introduction of ancillary modifications to them;</w:t>
        <w:br/>
        <w:t>HAVING REGARD to the observations of the interested third parties;</w:t>
      </w:r>
    </w:p>
    <w:p>
      <w:r>
        <w:rPr>
          <w:b/>
        </w:rPr>
        <w:t>[Pages 4–6]</w:t>
      </w:r>
    </w:p>
    <w:p>
      <w:r>
        <w:t>6 BULLETIN NO. 50 OF DECEMBER 20, 2021</w:t>
      </w:r>
    </w:p>
    <w:p>
      <w:r>
        <w:t>CONSIDERING the observations presented by Videorights S.r.l., RAI – Radio Televisione Italiana S.p.A. and ANICA on July 26, 2021;</w:t>
      </w:r>
    </w:p>
    <w:p>
      <w:r>
        <w:t>CONSIDERING the requests for an extension of the deadline for the submission of their positions regarding the third-party observations on the commitments, submitted by the Parties;</w:t>
      </w:r>
    </w:p>
    <w:p>
      <w:r>
        <w:t>CONSIDERING its resolution of August 3, 2021, which provided for the extension, to September 24, 2021, of the deadline for the submission of observations and any accessory modifications to the commitments, pursuant to the "Communication on the application procedures of Article 14-ter of Law No. 287 of October 10, 1990," of September 6, 2012, due to the specific needs represented for the evaluation of the information received by the Authority during the market test;</w:t>
      </w:r>
    </w:p>
    <w:p>
      <w:r>
        <w:t>CONSIDERING the observations submitted on September 24, 2021, by the Parties, as well as the proposed accessory modifications;</w:t>
      </w:r>
    </w:p>
    <w:p>
      <w:r>
        <w:t>CONSIDERING the documents of the proceeding;</w:t>
      </w:r>
    </w:p>
    <w:p>
      <w:r>
        <w:t>NOTING the following:</w:t>
      </w:r>
    </w:p>
    <w:p>
      <w:r>
        <w:t>I. THE PARTIES</w:t>
      </w:r>
    </w:p>
    <w:p>
      <w:r>
        <w:t>a) The Complainants</w:t>
      </w:r>
    </w:p>
    <w:p>
      <w:r>
        <w:t>1. Videorights S.r.l. (hereinafter, Videorights) is a company established in 2016 that, on November 7, 2017, notified the Authority for Communications Guarantees (AGCom) of its establishment as an independent management entity (EGI) pursuant to Article 2 of Legislative Decree No. 35 of March 15, 2017, which implemented in Italy Directive 2014/26/EU of February 26, 2014, on collective management of copyright and related rights and on the granting of multi-territorial licenses for rights in musical works for online use in the internal market (the so-called Barnier Directive). Videorights is primarily active in the management of copyright and related rights pertaining to the categories of authors and audiovisual producers; in particular, Videorights represents about twenty companies, including major Italian and foreign original producers. For works in the audiovisual sector, Videorights, based on its statute, can manage, inter alia, the following rights: for the category of authors, the fair compensation for cinema under Article 46 of Law No. 633 of April 22, 1941 (hereinafter, LDA), and the private copy compensation (hereinafter, also CCP); for the category of producers of audiovisual works and videograms, the private copy compensation; for the category of artists, performers, and executors, the private copy compensation.</w:t>
      </w:r>
    </w:p>
    <w:p>
      <w:r>
        <w:t>2. In particular, Videorights intends to manage on behalf of its representatives the private copy compensation for video works, and among the companies that have entrusted Videorights with the task of managing the CCP is also Delta TV Programs S.r.l., which is discussed below. Videorights is under the control of the same individual who also controls Itsright S.r.l., a collective management organization pursuant to Article 2 of Legislative Decree No. 35/2017, which, based on its Statute, is primarily active in the management of related rights in favor of the category of artists, performers, and executors and the category of producers of phonograms.</w:t>
      </w:r>
    </w:p>
    <w:p>
      <w:r>
        <w:t>3. Delta TV Programs S.r.l. (hereinafter, Delta TV) is a production company of audiovisual works for TV, particularly fiction – or an assignee of foreign producers – which complains about the non-payment of the private copy compensation by the Association of Audiovisual Producers, previously known as the Association of Television Producers. Delta TV is not a member of the Association of Audiovisual Producers and has given a mandate, later revoked effective January 1, 2021, to Videorights to manage the private copy compensation due to it.</w:t>
      </w:r>
    </w:p>
    <w:p>
      <w:r>
        <w:t>b) The Respondents</w:t>
      </w:r>
    </w:p>
    <w:p>
      <w:r>
        <w:t>4. The Italian Society of Authors and Publishers (hereinafter, SIAE) is an economic public entity based on association and, pursuant to Article 1 of Law No. 2 of January 9, 2008, is subject to the joint supervision of the Ministry of Cultural Heritage and Activities and Tourism and the President of the Council of Ministers, after consulting the Ministry of Economy and Finance.</w:t>
      </w:r>
    </w:p>
    <w:p>
      <w:r>
        <w:t>5. The activity of SIAE is governed by private law norms. SIAE is a "collective management organization," pursuant to the aforementioned Barnier Directive; SIAE operates in the management and intermediation of copyright, granting authorizations for the use of protected works, collecting copyright fees, and distributing the proceeds derived therefrom. In the audiovisual sector, SIAE protects the rights of authors, among other things, under Article 46-bis LDA, or the so-called fair compensation for cinema. SIAE, based on the current regulations described below, as recently amended, plays a central role in the process of managing private copy compensation. According to SIAE's management report for the year 2020, the private copy compensation intermediated by SIAE amounted to approximately 130 million euros.</w:t>
      </w:r>
    </w:p>
    <w:p>
      <w:r>
        <w:t>6. The National Association of Audiovisual and Multimedia Industries (hereinafter, ANICA) is the association that represents the Italian film and audiovisual industries in relations with institutions and in collective bargaining negotiations and is responsible for establishing relationships with the major players in the system for the enhancement of the film and audiovisual sector (primarily the national one) in Italy and abroad.</w:t>
      </w:r>
    </w:p>
    <w:p>
      <w:r>
        <w:t>7. ANICA Servizi S.r.l. (hereinafter, ANICA Servizi) is a company controlled by ANICA, through which the latter also manages the CCP related to audiovisual works on behalf of film producers. According to the ANICA Servizi balance sheet, the revenue as of December 31, 2020, was approximately 6.2 million euros.</w:t>
      </w:r>
    </w:p>
    <w:p>
      <w:r>
        <w:t>8. The Association of Audiovisual Producers (hereinafter, APA), previously known as APT, is the association that represents independent production companies of fiction, light entertainment, cartoons, and documentaries in relations with institutions, public and private television broadcasters, and in collective bargaining negotiations.</w:t>
      </w:r>
    </w:p>
    <w:p>
      <w:r>
        <w:t>9. APA Service S.r.l. (hereinafter, APA Service), previously known as APT Service, is a company controlled by APA, through which the latter also manages the CCP related to audiovisual works on behalf of television producers of audiovisual works. According to the APA Service balance sheet, the revenue as of December 31, 2020, was approximately 496,000 euros.</w:t>
      </w:r>
    </w:p>
    <w:p>
      <w:r>
        <w:t>10. Univideo is the trade association that represents audiovisual publishers on digital media (DVD, Blu-Ray, 4K Ultra HD) and online (digital distribution platforms).</w:t>
      </w:r>
    </w:p>
    <w:p>
      <w:r>
        <w:t>11. The Agency for the Development of Audiovisual Publishing S.r.l. (hereinafter, ASEA) is a company wholly owned by Univideo, through which the latter also manages private copy compensation. According to the ASEA balance sheet, as of December 31, 2020, it had developed a revenue of approximately 1.2 million euros.</w:t>
      </w:r>
    </w:p>
    <w:p>
      <w:r>
        <w:t>II. THE INVESTIGATIVE PROCEEDING AND THE CONTESTED CONDUCT</w:t>
      </w:r>
    </w:p>
    <w:p>
      <w:r>
        <w:t>12. Following the complaints filed by Videorights and Delta TV, the Authority, on February 2, 2021, initiated an investigation pursuant to Article 14 of Law No. 287/90 against ANICA, SIAE, APA, Univideo, and ASEA (hereinafter also the Parties), aimed at ascertaining any violations of Article 101 of the TFEU, concerning the conclusion of agreements between the Parties (still in force) and the implementation of collusive and concerted practices, by and among them, aimed at preventing the entry of collecting societies, including Videorights, that intend to manage, on behalf of their members, the private copy compensation as well as to hinder the freedom of entitled parties, such as the complainant Delta TV, to choose the entity to which to delegate the management of the video CCP and the very modalities of such management.</w:t>
      </w:r>
    </w:p>
    <w:p>
      <w:r>
        <w:t>13. In particular, the Authority, in the aforementioned initiation act, noted that the restrictive and market-sharing effect of the private copy compensation for video is primarily attributable to the closure to third parties, in relation to the aforementioned Associations, of the primary distribution segment, while also highlighting the repercussions of this structure in the so-called secondary distribution sector, in terms of limiting the freedom of choice of the entitled party and compressing the competitive capacities of the collecting societies.</w:t>
      </w:r>
    </w:p>
    <w:p>
      <w:r>
        <w:t>III. THE RELEVANT MARKET AND THE POSITION OF THE PARTIES</w:t>
      </w:r>
    </w:p>
    <w:p>
      <w:r>
        <w:t>14. It is recalled that, in cases concerning agreements, the definition of the relevant market is essentially aimed at identifying the characteristics of the economic and legal context in which the coordination between companies takes place. For the purposes of assessing an agreement, in fact, the identification of the relevant market, although useful for precisely delineating and focusing the analysis of the behaviors of the involved companies, is functional to identifying the product and territorial scope in which coordination between companies manifests and the effects arising from the anticompetitive conduct occur.</w:t>
      </w:r>
    </w:p>
    <w:p>
      <w:r>
        <w:t>15. In accordance with the Authority's precedents relating to services similar to those under examination and closely related to them, the management of the video CCP due to producers of videograms and audiovisual works consists of carrying out a series of connected, sequential, and consequent activities, some of which are influenced by regulation regarding the specific application modalities. In particular, in this case, the markets related to the primary distribution phase of the video CCP due to producers of videograms and audiovisual works are relevant.</w:t>
      </w:r>
    </w:p>
    <w:p>
      <w:r>
        <w:rPr>
          <w:b/>
        </w:rPr>
        <w:t>[Pages 7–9]</w:t>
      </w:r>
    </w:p>
    <w:p>
      <w:r>
        <w:t>BULLETIN NO. 50 OF DECEMBER 20, 2021 9</w:t>
        <w:br/>
        <w:t>by SIAE, which is currently being fulfilled, based on percentages established by the relevant regulations, through the associations ANICA, APA/APT, and Univideo, and to the secondary distribution phase in which these Associations recognize the CCP due to the collecting societies involved.</w:t>
      </w:r>
    </w:p>
    <w:p>
      <w:r>
        <w:t>16. From a substantive perspective, it is worth noting the different nature of the aforementioned relevant markets: i) the primary distribution of the video CCP to producers of videograms and audiovisual works has a predominantly redistributive function, essentially involving a transfer of resources, according to the relevant shares, from SIAE to the relevant Associations; ii) the secondary distribution of the video CCP to producers of videograms and audiovisual works, on the other hand, has a profitability character, as it is capable of generating margins for the entities tasked (currently only the associations) with distributing the compensation to the entitled parties and thus assumes a character of contestability concerning the collecting societies that aspire to operate therein. At the current state, in fact, the associations, as the only actors present in this last sector, retain a percentage from the compensation due to the entitled parties to cover the operational costs related to the distribution activity.</w:t>
      </w:r>
    </w:p>
    <w:p>
      <w:r>
        <w:t>17. From a geographical perspective, the markets under analysis appear to have a national dimension, due to the specificity of the sector regulations.</w:t>
      </w:r>
    </w:p>
    <w:p>
      <w:r>
        <w:t>18. In 2019, the markets related to the management of the CCP, including both the audio and video sectors, represented a value of approximately 130 million euros annually. According to estimates by Videorights, about 60% of the sector can be attributed to the audio sector and the remaining 40% to the video sector; therefore, for 2019, the audio CCP amounts to approximately 78 million euros and that related to the video sector amounts to approximately 52 million euros. In the video sector, the CCP intended for producers is substantially managed entirely by SIAE and the three associations ANICA, APA/APT, and Univideo, both for producers registered with their respective reference association and for those not registered.</w:t>
      </w:r>
    </w:p>
    <w:p>
      <w:r>
        <w:t>IV. THE REFERENCE LEGAL FRAMEWORK</w:t>
      </w:r>
    </w:p>
    <w:p>
      <w:r>
        <w:t>19. By way of introduction, it is important to note that, during the proceedings, the reference legal framework has undergone significant changes that, as will be represented in the following paragraphs, have redefined, on one hand, the subjective perimeter of the audio sector and, on the other hand, the distribution of the powers recognized to SIAE. This circumstance, having arisen after the initiation of the proceedings and the submission of the commitment proposal, has represented an exogenous factor that has undoubtedly impacted its developments. Regarding the substantive aspects of the aforementioned amending intervention, it is important to represent from now on that the Authority, in recognizing that it may generate negative effects on the competitive structure of the market, reserves the right to take action in the appropriate venues to represent, in an organic and specific manner, the aforementioned criticalities.</w:t>
      </w:r>
    </w:p>
    <w:p>
      <w:r>
        <w:t>20. The compensation for private copying is governed by Articles 71-sexies, septies, and octies of the LDA: in particular, Article 71-octies, as recently amended by Decree-Law No. 735 of May 25, 2021 (hereinafter, Support Decree-bis), as converted into law, with modifications, by Law No. 106 of July 23, 2021, governs the entire collection and distribution chain of the CCP by SIAE to the entitled parties, establishing a differentiated regime for the audio and video sectors, regarding the subjects authorized to operate on its behalf for the related distribution, as well as the supervisory functions attributed to it by law.</w:t>
      </w:r>
    </w:p>
    <w:p>
      <w:r>
        <w:t>21. Regarding the audio CCP, Article 71-octies, paragraph 1 of the LDA provides that SIAE shall distribute 50% of the amounts received to the authors (and their successors) of musical works and the remaining 50%, in equal parts, to producers of phonograms and AIE, also through the collecting societies. This paragraph has been profoundly affected by the Support Decree-bis, as it introduces direct receipt, also for authors, of the audio CCP by SIAE, replacing the previous indirect method through producers, and limits the scope of authorized subjects to operate in this area solely to collecting societies (with the simultaneous textual elimination of the reference to the most representative associations).</w:t>
      </w:r>
    </w:p>
    <w:p>
      <w:r>
        <w:t>22. On the other hand, regarding the video CCP, Article 71-octies, paragraph 3, has not been affected by the aforementioned legislative amendment and, therefore, has maintained its previous formulation, continuing to provide that SIAE shall distribute, "also through their most representative category associations," 30% of the compensation to authors, while the remaining 70%, in equal parts, among the original producers of audiovisual works, producers of videograms, and AIE.</w:t>
      </w:r>
    </w:p>
    <w:p>
      <w:r>
        <w:t>23. Finally, the Support Decree-bis has newly inserted paragraphs 3-ter and 3-quater, which modify the structural and procedural framework of the collection and management process of the CCP.</w:t>
      </w:r>
    </w:p>
    <w:p>
      <w:r>
        <w:t>V. THE PROPOSED COMMITMENTS</w:t>
      </w:r>
    </w:p>
    <w:p>
      <w:r>
        <w:t>24. In response to the competitive concerns raised by the Authority in the initiation measure of the present proceedings, the Parties have submitted commitments pursuant to Article 14-ter of Law No. 287/90, the content of which is briefly summarized below.</w:t>
      </w:r>
    </w:p>
    <w:p>
      <w:r>
        <w:t>a) The commitments of SIAE</w:t>
      </w:r>
    </w:p>
    <w:p>
      <w:r>
        <w:t>25. The commitments presented by SIAE have essentially focused on the phase of the so-called "primary distribution" and have provided, first of all, for the termination of the currently existing agreements with the Associations, with the simultaneous identification of an alternative and objective criterion, compared to that provided in the latter, for determining the share due, respectively, to the cinema sector and the television sector. In parallel, the mentioned commitments have provided for the involvement of entities defined as "most representative" (to be understood as operators who demonstrate that they represent interests or manage mandates for a share of at least 25% of the entitled parties in the relevant sector) in the procedure for defining the criteria for the distribution of the video CCP. This distribution will take place, with respect to the most representative entities, based on specific Distribution Regulations that will be published on the institutional website of SIAE, following consultation with the most representative entities.</w:t>
      </w:r>
    </w:p>
    <w:p>
      <w:r>
        <w:t>26. Regarding the so-called "secondary distribution," SIAE has committed to engage with the Associations to promote the creation of intermediate spaces in favor of the collecting societies, to be realized through the efficiency of the Associations' activities, both in terms of distribution timing and economic burdens, as well as in the preparation of specific reporting by these latter, concerning the conduct of the activity in question.</w:t>
      </w:r>
    </w:p>
    <w:p>
      <w:r>
        <w:t>b) The commitments of the Associations</w:t>
      </w:r>
    </w:p>
    <w:p>
      <w:r>
        <w:t>27. The commitments proposed by the Associations, albeit with some differences that will be highlighted, are substantially convergent and primarily stem, regarding the so-called "primary distribution," from the unanimous intention to terminate the agreements made with SIAE, as well as from the provision for the involvement of the collecting societies in defining the distribution criteria, this latter exercise to be carried out transparently and with the collaboration of all parties interested in various capacities. Furthermore, APA also commits to urge the adoption of an ad hoc procedure managed by SIAE and in which to involve the collecting societies, for the definition, on a triennial basis, of the share pertaining to the cinema and television sectors. On the other hand, ANICA commits to promote specific actions in support of a comprehensive reform of the legal framework of private copying that ensures a correct and fair distribution of the CCP and in which it is provided that, in exercising its function of primary distribution of private copying compensation, SIAE periodically selects, following an open competitive procedure, the most representative subjects capable of carrying out secondary distribution comprehensively and impartially across the entire market, chosen on an equal footing between category associations and collecting societies.</w:t>
      </w:r>
    </w:p>
    <w:p>
      <w:r>
        <w:t>28. Also concerning the commitments that the Associations have presented regarding the so-called "secondary distribution," there is a tendency for the proposed measures to coincide, which aim to provide clearer and more transparent distribution procedures in which to foresee greater involvement of the collecting societies in specific activities, to which a proportional reduction of the commission applied to them corresponds. Furthermore, the commitments have involved the provision of accounting transparency measures regarding the activities carried out by the Associations, with a view to guiding and anchoring the conduct of the activity in question solely to the cost orientation criterion. In particular, APA has committed to prepare a Distribution Regulation to be made available on its website, following public consultation of all interested parties, as well as to publish, on an annual basis, a report on its management and distribution activities of the CCP, approved by SIAE. Of similar tenor are the</w:t>
      </w:r>
    </w:p>
    <w:p>
      <w:r>
        <w:rPr>
          <w:b/>
        </w:rPr>
        <w:t>[Pages 10–12]</w:t>
      </w:r>
    </w:p>
    <w:p>
      <w:r>
        <w:t>12 BULLETIN NO. 50 OF DECEMBER 20, 2021</w:t>
        <w:br/>
        <w:t>measures proposed by ANICA, to be implemented through the periodic publication of a detailed report regarding its activities.</w:t>
      </w:r>
    </w:p>
    <w:p>
      <w:r>
        <w:t>29. Finally, Univideo, with specific reference to its sector, as well as in response to specific issues identified at the start of the procedure, has committed to amend Article 33 of its Statute in order to end the automaticity and exclusivity of the mandate to ASEA for the collection of equitable remuneration by Univideo members, as well as to abandon the scheme of the indefinite preventive mandate, in favor of a contractual model conferred specifically year by year at the time of the request for liquidation of the equitable remuneration.</w:t>
      </w:r>
    </w:p>
    <w:p>
      <w:r>
        <w:t>VI. OBSERVATIONS ON THE COMMITMENTS</w:t>
        <w:br/>
        <w:t>30. Within the market test, observations were received, in order, from a complainant, a producer of audiovisual works, and one of the Associations. The first two parties highlighted, albeit from different perspectives related to their roles, that the commitments presented by the Parties are not suitable to eliminate the obstacles to access, by entities other than the Associations, to the primary distribution segment; in contrast, one of the intervening Associations expressed a different opinion.</w:t>
      </w:r>
    </w:p>
    <w:p>
      <w:r>
        <w:t>31. In particular, the complainant's intervention broadly addressed all the commitments received, highlighting the general inadequacy of the same to overcome the competitive issues identified by the Authority at the start of the procedure, as well as identifying the main issue in the lack of market opening for primary collection, primarily attributable to the interpretation upheld by SIAE and the Associations regarding paragraph 3 of Article 71-octies.</w:t>
      </w:r>
    </w:p>
    <w:p>
      <w:r>
        <w:t>32. The latter, in the complainant's opinion, appears not only contrary to the literal wording of the regulation but also to the objectives pursued by the European and national legislator, as well as being in absolute asymmetry with the practices in force in the analogous audio sector, where collecting societies have been consistently admitted to primary distribution for years. Consequently, the proposed amendments have aimed to include the same in the primary distribution, as well as to request a system of advances both from SIAE and the Associations on the remuneration already collected, as well as regarding future ones.</w:t>
      </w:r>
    </w:p>
    <w:p>
      <w:r>
        <w:t>33. The observations from the producer of audiovisual works were limited to representing the general inadequacy of APA's commitments, based on the alleged inefficiency of the latter in managing the video CCP, especially concerning non-member entities.</w:t>
      </w:r>
    </w:p>
    <w:p>
      <w:r>
        <w:t>34. Finally, the observations received from one of the Associations focused exclusively on SIAE's commitments, regarding which there is general agreement, except for the dissent expressed regarding the involvement of the most representative entities in the definition of distribution criteria.</w:t>
      </w:r>
    </w:p>
    <w:p>
      <w:r>
        <w:t>VII. THE PARTIES' REPLIES TO THE OBSERVATIONS</w:t>
        <w:br/>
        <w:t>35. The Parties replied to the above-mentioned observations received during the market test, unanimously reiterating that the failure to include collecting societies within the primary distribution should be attributed solely to the regulatory data, to be understood, currently, as an insurmountable limit, especially in light of the recent legislative amendment which, according to them, has further and definitively clarified this assumption: the extension to collecting societies of the subjective scope of only the audio sector confirms that the video sector is exclusively the domain of the Associations. This, according to the Parties, finds its rationale in the "public interest" role played by the latter in safeguarding the entire sector.</w:t>
      </w:r>
    </w:p>
    <w:p>
      <w:r>
        <w:t>36. That said, APA, ANICA, and Univideo have responded to the criticisms raised regarding the pro-competitive effectiveness of the commitments related to primary distribution, stating that the proposal to implement open and shared procedures also with collecting societies for defining distribution criteria constitutes the only course of action available to them, as the decision-making power regarding the selection of entities to be admitted to primary distribution rests solely with SIAE. Furthermore, in partial acceptance of the supplementary proposals from the intervening complainant, APA and Univideo declare themselves willing to provide, one on a transitional basis, the other structurally, advances to entities that make a justified request.</w:t>
      </w:r>
    </w:p>
    <w:p>
      <w:r>
        <w:t>37. Regarding the observations concerning the actual pro-competitive effectiveness of the commitments related to secondary distribution, the Associations instead represent the absolute relevance of the active role recognized to collecting societies in this segment, both in terms of reducing the economic burdens on them, and ultimately on the final entitled parties, and in terms of streamlining and transparency of distribution procedures.</w:t>
      </w:r>
    </w:p>
    <w:p>
      <w:r>
        <w:t>38. SIAE, on the other hand, has deemed it unnecessary to present specific replies to the observations received from third parties.</w:t>
      </w:r>
    </w:p>
    <w:p>
      <w:r>
        <w:t>VIII. ACCESSORY MODIFICATIONS</w:t>
        <w:br/>
        <w:t>39. Along with the replies, the Parties have presented accessory modifications to the commitments, essentially aimed at detailing more specifically the remedial measures initially proposed, also in light of the observations received during the market test. In analogy with what has been represented regarding the commitments, the amendment proposals received from the Associations are also nearly overlapping.</w:t>
      </w:r>
    </w:p>
    <w:p>
      <w:r>
        <w:t>40. The Associations are indeed moving in the direction of providing a greater level of detail to the procedures and forms of informational transparency proposed in the commitments, with the aim of making their activities increasingly clear and verifiable. In particular, ANICA commits to developing a model of analytical accounting, with the aim of directing the expenses incurred by collecting societies solely to cover direct costs. On the other hand, APA and Univideo, as previously mentioned, also commit to providing forms of advance payments on the remuneration to be paid to entities that make a request.</w:t>
      </w:r>
    </w:p>
    <w:p>
      <w:r>
        <w:t>41. As for SIAE, the accessory modifications primarily concern primary collection and relate to the selection of an independent entity for the detection of the so-called cinema share and the so-called television shares and the subjective scope related to the procedure for defining distribution criteria and the subsequent distribution of remuneration. Regarding the first area, the proposed modification provides for the inclusion of all potentially interested parties in the consultation regarding distribution criteria without any constraints regarding representativeness. Conversely, the second modification provides for the participation in primary collection of only the most representative Associations, subject to verification of the aforementioned requirement, set by SIAE, of at least 25% of represented entities compared to the total entitled parties.</w:t>
      </w:r>
    </w:p>
    <w:p>
      <w:r>
        <w:t>IX. EVALUATION OF THE COMMITMENTS</w:t>
        <w:br/>
        <w:t>42. As mentioned above, during the procedure, there has been a substantial modification of the regulatory framework that has redefined some of its essential features and areas, establishing a demarcation between the audio sector and the video sector, as well as providing for forms of informational and accounting transparency towards all "authorized" entities (collecting societies and associations) and SIAE, as well as supervisory powers on the latter even over potentially competing entities. Regarding the merits of the aforementioned legislative amendment, the Authority has pointed out the competitive issues exercising its powers pursuant to Article 21 of Law No. 287/90.</w:t>
      </w:r>
    </w:p>
    <w:p>
      <w:r>
        <w:t>43. That said, regarding the merits of the commitments presented, concerning primary collection, the unanimous and shared willingness of all Parties to proceed with the resolution of existing agreements is undoubtedly functional to eliminating the restrictive instrument previously used by them, as identified by the Authority at the start. This allows, along with the commitments aimed at structuring shared and transparent processes for defining distribution criteria and related distribution procedures involving all actors present in the relevant market, a modification of the current arrangements.</w:t>
      </w:r>
    </w:p>
    <w:p>
      <w:r>
        <w:t>44. Regarding the commitments related to the measures of informational disclosure and accounting reporting proposed by the Associations, concerning secondary distribution, it is noted that they can represent a functional tool to impart greater transparency and, consequently, efficiency to the processes of payment of the video CCP to the entitled parties, ultimately allowing all actors present in the relevant market to be able to "trace" the entire distribution chain in question.</w:t>
      </w:r>
    </w:p>
    <w:p>
      <w:r>
        <w:t>X. HARM TO TRADE BETWEEN MEMBER STATES OF THE EUROPEAN UNION</w:t>
        <w:br/>
        <w:t>46. According to the European Commission Communication 2004/C 101/07 Guidelines on the notion of harm to trade between Member States under Articles 81 and 82 of the Treaty, published in OJ C 101/81 of April 27, 2004, the concept of harm to intra-Community trade must be interpreted taking into account the direct or indirect, actual or potential influence on trade flows between Member States. In light of the aforementioned principles, it is noted that the alleged anti-competitive conduct at the outset was likely to harm trade between Member States, as it was carried out by economic entities active at the national level in the market for distribution and allocation of the video CCP. Furthermore, it affected the entire national territory, thus being likely to hinder access to the national market for those entities wishing to operate there also on behalf of non-national entities.</w:t>
      </w:r>
    </w:p>
    <w:p>
      <w:r>
        <w:rPr>
          <w:b/>
        </w:rPr>
        <w:t>[Pages 13–15]</w:t>
      </w:r>
    </w:p>
    <w:p>
      <w:r>
        <w:t>BULLETIN NO. 50 OF DECEMBER 20, 2021 15</w:t>
        <w:br/>
        <w:t>XI. CONCLUSIONS</w:t>
        <w:br/>
        <w:t>47. In conclusion, in light of the changes in the regulatory framework, it is believed that the commitments as presented by the Parties can be accepted.</w:t>
        <w:br/>
        <w:t>CONSIDERING to make the commitments presented by the Parties mandatory pursuant to Article 14-ter, paragraph 1, of Law No. 287/90;</w:t>
        <w:br/>
        <w:t>All of the above having been stated and considered:</w:t>
        <w:br/>
        <w:t>RESOLVES</w:t>
        <w:br/>
        <w:t>a) to make mandatory for the Italian Society of Authors and Publishers (SIAE), the National Association of Audiovisual and Multimedia Industries (ANICA), ANICA Servizi S.r.l., the Association of Audiovisual Producers (APA) previously known as the Association of Television Producers (APT), APA Service S.r.l. (previously known as APT Service S.r.l.), Univideo, and the Agency for the Development of Audiovisual Publishing S.r.l. (ASEA) the commitments presented pursuant to Article 14-ter, paragraph 1, of Law No. 287/90, under the terms described above and attached to this resolution of which they form an integral part;</w:t>
        <w:br/>
        <w:t>b) to close the proceeding without ascertaining the infringement, pursuant to Article 14-ter, paragraph 1, of Law No. 287/90, against the Italian Society of Authors and Publishers (SIAE), the National Association of Audiovisual and Multimedia Industries (ANICA), ANICA Servizi S.r.l., the Association of Audiovisual Producers (APA) previously known as the Association of Television Producers (APT), APA Service S.r.l. (previously known as APT Service S.r.l.), the association Univideo, and the Agency for the Development of Audiovisual Publishing S.r.l. (ASEA).</w:t>
        <w:br/>
        <w:t>c) that the associations and companies referred to in point a) inform the Authority of the actions taken to implement the commitments undertaken, by sending a report to the Authority by March 31, 2022.</w:t>
        <w:br/>
        <w:t>This resolution will be notified to the interested parties and published in the Bulletin of the Italian Competition Authority.</w:t>
      </w:r>
    </w:p>
    <w:p>
      <w:r>
        <w:t>16 BULLETIN NO. 50 OF DECEMBER 20, 2021</w:t>
        <w:br/>
        <w:t>An appeal against this resolution may be filed with the TAR of Lazio, pursuant to Article 135, paragraph 1, letter b), of the Code of Administrative Procedure (Legislative Decree No. 104 of July 2, 2010), within sixty days from the date of notification of the resolution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resolution itself.</w:t>
        <w:br/>
        <w:t>THE SECRETARY GENERAL THE PRESIDENT</w:t>
        <w:br/>
        <w:t>Filippo Arena Roberto Rustichelli</w:t>
      </w:r>
    </w:p>
    <w:p>
      <w:r>
        <w:t>BULLETIN NO. 50 OF DECEMBER 20, 2021 17</w:t>
        <w:br/>
        <w:t>A543 - CONTRACTUAL RELATIONS BETWEEN BENETTON AND ITS RETAILERS</w:t>
        <w:br/>
        <w:t>Measure No. 29927</w:t>
        <w:br/>
        <w:t>THE ITALIAN COMPETITION AUTHORITY</w:t>
        <w:br/>
        <w:t>IN ITS MEETING of December 3, 2021;</w:t>
        <w:br/>
        <w:t>HEARD the Rapporteur, Professor Michele Ainis;</w:t>
        <w:br/>
        <w:t>HAVING REGARD to Law No. 287 of October 10, 1990;</w:t>
        <w:br/>
        <w:t>HAVING REGARD to Law No. 192 of June 18, 1998 and, in particular, Article 9;</w:t>
        <w:br/>
        <w:t>HAVING REGARD to its resolution, adopted on November 17, 2020, with which an investigation was initiated, pursuant to Article 9, paragraph 3 bis, of Law No. 192 of June 18, 1998 and Article 14 of Law No. 287 of October 10, 1990, against the companies Benetton S.r.l. and Benetton Group S.r.l. in order to ascertain a possible violation of Article 9, paragraph 3 bis, of the aforementioned law, consisting of conduct aimed at exploiting the economic dependence of a franchisee in its franchising system also through the application of abusive contractual clauses;</w:t>
        <w:br/>
        <w:t>HAVING REGARD to all the acts of the proceeding;</w:t>
        <w:br/>
        <w:t>CONSIDERING the complexity of the case subject to the Proceeding and the volume of documentation acquired to date;</w:t>
        <w:br/>
        <w:t>CONSIDERING, furthermore, the need to ensure the Parties the broadest exercise of the right of defense and guarantee the full unfolding of the adversarial process;</w:t>
        <w:br/>
        <w:t>CONSIDERING, therefore, it necessary to proceed with the postponement of the deadline for the conclusion of the proceeding, currently set for December 31, 2021, in order to evaluate the contested case in light of the documentation acquired, as well as to fully guarantee the exercise of the right of defense and the full unfolding of the adversarial process;</w:t>
        <w:br/>
        <w:t>RESOLVES</w:t>
        <w:br/>
        <w:t>to extend the deadline for the conclusion of the proceeding to April 29, 2022.</w:t>
        <w:br/>
        <w:t>This resolution will be notified to the interested parties and published in the Bulletin of the Italian Competition Authority.</w:t>
        <w:br/>
        <w:t>THE SECRETARY GENERAL THE PRESIDENT</w:t>
        <w:br/>
        <w:t>Filippo Arena Roberto Rustichelli</w:t>
      </w:r>
    </w:p>
    <w:p>
      <w:r>
        <w:rPr>
          <w:b/>
        </w:rPr>
        <w:t>[Pages 16–18]</w:t>
      </w:r>
    </w:p>
    <w:p>
      <w:r>
        <w:t>18 BULLETIN NO. 50 OF DECEMBER 20, 2021</w:t>
        <w:br/>
        <w:t>A548 - BANCOMAT/MASTERCARD MANDATE</w:t>
        <w:br/>
        <w:t>Measure No. 29928</w:t>
        <w:br/>
        <w:t>THE ITALIAN COMPETITION AUTHORITY</w:t>
        <w:br/>
        <w:t>IN ITS MEETING of December 3, 2021;</w:t>
        <w:br/>
        <w:t>HEARD the Rapporteur, President Roberto Rustichelli;</w:t>
        <w:br/>
        <w:t>HAVING REGARD to Article 102 of the Treaty on the Functioning of the European Union (TFEU);</w:t>
        <w:br/>
        <w:t>HAVING REGARD to Regulation No. 1/2003 of the Council dated December 16, 2002, concerning the application of the competition rules laid down in Articles 81 and 82 of the EC Treaty (now Articles 101 and 102 of the TFEU);</w:t>
        <w:br/>
        <w:t>HAVING REGARD to Law No. 287 of October 10, 1990;</w:t>
        <w:br/>
        <w:t>HAVING REGARD to the Decree of the President of the Republic No. 217 of April 30, 1998;</w:t>
        <w:br/>
        <w:t>HAVING REGARD to the complaint received on October 25, 2021, as subsequently supplemented;</w:t>
        <w:br/>
        <w:t>CONSIDERING the following:</w:t>
        <w:br/>
        <w:t>I. THE PARTIES</w:t>
        <w:br/>
        <w:t>1. Mastercard Europe SA (hereinafter, "Mastercard") is a company under Belgian law operating in the payments sector. It is part of the Mastercard group, which is active globally in providing payment services through payment cards. In Italy, the Mastercard group is primarily active as a payment circuit for both credit cards and debit cards and ATM withdrawals, operating under the brands MasterCard, Maestro, and Cirrus. The banks and financial companies licensed by Mastercard issue cards and/or enter into agreements with merchants based on the contractual relationships established with this circuit. The holding company of the Mastercard group is Mastercard Incorporated, a membership corporation under U.S. law whose shareholders are banks and payment service providers.</w:t>
        <w:br/>
        <w:t>The complainant</w:t>
        <w:br/>
        <w:t>2. Bancomat S.p.A. (formerly Consorzio Bancomat and hereinafter also referred to simply as "Bancomat") is a company under Italian law that manages the Bancomat and PagoBancomat withdrawal and payment circuits, as well as the related cards, which can be used to make payments at POS and withdrawals at so-called ATMs. The share capital of Bancomat is distributed among 125 entities, none of which, due to statutory provisions, holds control of the company, neither exclusively nor jointly.</w:t>
        <w:br/>
        <w:t>III. CONTACTLESS PAYMENTS WITH CO-BADGED CARDS</w:t>
        <w:br/>
        <w:t>3. The subject of the report is contactless payments, that is, payments made with a card without inserting the card into the POS but simply by tapping the card on the terminal – so-called tap – or, similarly, by tapping the mobile device on which a wallet containing the card is registered (typically a smartphone but it can also be, for example, a watch – such as a smartwatch – or a tablet).</w:t>
        <w:br/>
        <w:t>4. This is a payment method that, also due to the pandemic (and thus in the perspective of avoiding contact or passing the card from hand to hand), is assuming an increasingly important role, with a significant growth rate in recent years, amounting, in value, to 66% in the first half of 2021 compared to the same semester of the previous year, and to 78% in the same period, in terms of volume (number of transactions). It should be noted that this payment method, given its practicality and immediacy, is particularly used for payments of medium-low value amounts, for which it is often not even necessary to enter the PIN.</w:t>
        <w:br/>
        <w:t>5. More specifically, the conduct subject to the report concerns the imposition of the double-tap procedure for contactless payments. Under this payment method, after placing the card (or device) on the POS (first tap), the cardholder is asked which circuit they prefer, and after selecting the desired circuit on the POS, the card is placed again on the POS (second tap) for the payment to take place. This differs from the single-tap procedure, which instead allows the payment to occur directly at the moment the card is placed on the POS.</w:t>
        <w:br/>
        <w:t>6. The difference between single-tap and double-tap is significant in the presence of a co-badged card, that is, a card that bears two brands, as it is necessary to establish which of the two circuits the payment should be made through. In the case of a so-called mono-brand card, clearly, the circuit is unique, so there is no choice to be made. Furthermore, in the case where the transaction takes place through a mobile device that contains more than one mono-brand payment card within the wallet, it routes directly to the card (and thus to the circuit) that the holder has chosen as preferred at the time of inserting the cards into the electronic wallet.</w:t>
        <w:br/>
        <w:t>7. From a regulatory perspective, both solutions are in line with what is provided by the European legislator. In fact, Regulation (EU) 2015/751, on the one hand, grants the holder of the co-badged card the right to choose the brand to be used for the payment transaction and, on the other hand, provides for the possibility for merchants to direct customers, with automatic mechanisms in the POS terminals, towards a preferred brand; where the merchant makes such a direction, the cardholder must always be allowed to change that choice and use their preferred brand, overriding the indication expressly given by the merchant. In this latter case, it is only specified that the cardholder must be guaranteed the possibility of making such a change without further time indications. That said, in the first case (single-tap), the cardholder can declare their preference before the tap; otherwise, the payment defaults to the circuit that the merchant has pre-set on the POS; in the second case (double-tap), the cardholder is specifically asked which circuit they prefer.</w:t>
        <w:br/>
        <w:t>IV. THE FACT</w:t>
        <w:br/>
        <w:t>8. On October 25, 2021, a report was received from Bancomat, subsequently supplemented, concerning new binding rules issued by Mastercard on July 13, 2021, which impose on participants in the Mastercard circuit to modify the operation of the POS terminals, so that, in the case of contactless payments with cards bearing two brands (so-called co-badged cards), the payer is always required to tap the card on the POS twice, so-called double-tap, and it is no longer possible to pay by tapping the card only once, so-called single-tap.</w:t>
        <w:br/>
        <w:t>9. In particular, Mastercard issued a Mandate concerning the technical rules applicable to payment transactions with co-badged cards made at the POS in contactless mode. Specifically, it imposes on acquirers and their processors to implement on the POS, for the acceptance of co-badged cards, one of the following two solutions proposed by Mastercard: i) the first ("preferred") provides that after placing the card on the terminal, all possible payment applications (and thus all circuits with which the card allows payment) are displayed on it, and the cardholder is asked which application they prefer; the payment will take place only after the cardholder has placed the card again on the terminal; ii) the second solution ("allowed"), on the other hand, provides that after placing the card on the terminal, it shows both the payment application chosen by the merchant and a clear method to change the choice set by the merchant, and that the merchant asks the cardholder to confirm the preferred application; the payment takes place only after the cardholder has placed the card again on the terminal.</w:t>
        <w:br/>
        <w:t>10. The Mandate specifies that these rules will come into effect on January 1, 2022, and that no other solutions are allowed for contactless payments at the POS with co-badged cards; finally, it is provided that there will be penalties, such as the application of fines and the revocation of the license, in case of non-compliance with the new rules. The Mandate applies only to the Italian territory and only to payments with co-badged cards.</w:t>
        <w:br/>
        <w:t>V. EVALUATIONS</w:t>
        <w:br/>
        <w:t>V.1 The relevant market</w:t>
        <w:br/>
        <w:t>11. Based on established national and community practice, the activity carried out by payment circuits falls within the "market between circuits," which can be defined as the provision of services related to the operation of payment circuits. In particular, the operators of these payment systems compete with each other to incentivize financial companies to participate in their circuit and to use their system.</w:t>
        <w:br/>
        <w:t>12. To this end, the circuits define the technical standards and common rules necessary for their operation, such as, for example, the rules governing the management of authorizations and the</w:t>
      </w:r>
    </w:p>
    <w:p>
      <w:r>
        <w:rPr>
          <w:b/>
        </w:rPr>
        <w:t>[Pages 19–21]</w:t>
      </w:r>
    </w:p>
    <w:p>
      <w:r>
        <w:t>BULLETIN NO. 50 OF DECEMBER 20, 2021 21</w:t>
        <w:br/>
        <w:t>processing of transactions completed on its own network. All circuit rules are accepted and applied, through licensing agreements, by the licensees operating as issuers (card issuers) and/or acquirers (merchants) for the circuit itself.</w:t>
      </w:r>
    </w:p>
    <w:p>
      <w:r>
        <w:t>13. The circuits are also owners of the trademarks that distinguish them. The use of the services provided through the circuit occurs for a fee (e.g. through the payment of scheme fees). Within the market of circuits, distinct markets can be identified based on the type of card, namely, credit card and debit card.</w:t>
      </w:r>
    </w:p>
    <w:p>
      <w:r>
        <w:t>14. From a geographical perspective, in light of national and community practices, the size of such markets can be confined to the national territory as the methods of offering appear sufficiently uniform within it; conversely, there remain differences at the level of active operators, methods of using national licenses, and economic conditions among various countries that exclude a relevant geographical scope broader than the national one. It should be noted, in particular, that in some countries there are circuits active only at the national level, such as Bancomat, which is present only in Italy, or Cartes Bancaires, which is active only in France.</w:t>
      </w:r>
    </w:p>
    <w:p>
      <w:r>
        <w:t>15. Therefore, in the case at hand, the market appears to be the Italian market for debit card circuits (which also includes prepaid cards).</w:t>
      </w:r>
    </w:p>
    <w:p>
      <w:r>
        <w:t>V.2. The Dominance Position of Mastercard</w:t>
      </w:r>
    </w:p>
    <w:p>
      <w:r>
        <w:t>16. In the Italian market for debit card circuits, Mastercard has a position of prominence compared to the other two circuits present, namely Bancomat and Visa.</w:t>
      </w:r>
    </w:p>
    <w:p>
      <w:r>
        <w:t>17. In this sense, market shares would first testify to this. In particular, based on data provided by Bancomat, in 2020, Mastercard's market share would be [55-60%]*, in transaction volume, while Bancomat would hold a share of [30-35%], and Visa the remaining part of the market.</w:t>
      </w:r>
    </w:p>
    <w:p>
      <w:r>
        <w:t>18. Furthermore, it appears that the Mastercard brands have a greater diffusion compared to those of the other two circuits: in fact, according to estimates provided by Bancomat, on one hand, about [85-90%] of the mono-brand debit cards present in Italy would bear only the Mastercard circuit, while the remaining [15-20%] would bear either the Bancomat circuit or the Visa circuit alone; on the other hand, and more generally, the Mastercard circuit would be present on about [85-90%] of all debit and prepaid cards issued in Italy (i.e., the sum of co-badged and mono-brand cards together).</w:t>
      </w:r>
    </w:p>
    <w:p>
      <w:r>
        <w:t>19. Another relevant element for assessing Mastercard's dominance position is that this circuit is also present in Italy as a credit circuit, with a position that makes Mastercard an indispensable partner for counterparties (both for issuers and acquirers as well as for technology operators), with repercussions also in the market for debit card circuits.</w:t>
      </w:r>
    </w:p>
    <w:p>
      <w:r>
        <w:t>20. Finally, Mastercard seems to demonstrate the ability to adopt behaviors independent of the reactions of other market operators. Consider, for this purpose, the decision under examination that unilaterally imposes on all Italian acquirers the modification of the technical operating requirements of the payment system, which would have been taken independently of i) the clients (i.e., the acquiring banks that would be required to bear the costs of the changes requested to the POS) and ii) the end consumers (who would see their user experience modified). This would be imposed with the awareness that none of the aforementioned subjects would be willing to give up the Mastercard brand.</w:t>
      </w:r>
    </w:p>
    <w:p>
      <w:r>
        <w:t>V.3. The Possible Violation of Article 102 TFEU</w:t>
      </w:r>
    </w:p>
    <w:p>
      <w:r>
        <w:t>21. As mentioned, the Mastercard Mandate concerns only payments with co-badged cards. For Bancomat, based on estimates provided by it, co-badged cards represent 99% of the cards issued (while its mono-brand cards would be entirely residual). The predominance of co-badged cards for the Bancomat circuit is justified by the fact that the Bancomat card can only be used within the Italian territory and cannot be used for online purchases; conversely, the card from the international circuit – which is alongside the Bancomat card in co-badged cards – has a geographically extensive usability at a global level and can also be used for online purchases. Conversely, according to data provided by Bancomat, [85-90%] of the mono-brand debit cards issued in Italy bear only the Mastercard brand, with the remaining part almost exclusively Visa.</w:t>
      </w:r>
    </w:p>
    <w:p>
      <w:r>
        <w:t>22. The presence of the Bancomat circuit on debit cards would, however, be strongly demanded by merchants and, therefore, by acquirers, since this circuit would entail significantly lower acquiring costs for the merchant and, ultimately, for consumers, compared to international circuits.</w:t>
      </w:r>
    </w:p>
    <w:p>
      <w:r>
        <w:t>23. For these reasons, in order to reconcile consumers' interest in having a card with greater usage options with merchants' interest in reducing costs, the solution used by issuing banks is to issue a co-badged card that bears both circuits, Bancomat and the international circuit, so that the customer is provided with a more complete card in terms of associated services and the merchant can also collect payments with the Bancomat circuit (which is cheaper).</w:t>
      </w:r>
    </w:p>
    <w:p>
      <w:r>
        <w:t>24. It should also be considered that, from the perspective of the terminals that, at Mastercard's order, must be modified to accept the double-tap mode, the measure would actually concern all POS.</w:t>
      </w:r>
    </w:p>
    <w:p>
      <w:r>
        <w:t>25. For what is relevant here, finally, the conditions set by technology operators for loading cards onto smartphones are significant, and in particular, the condition that, for the conclusion of a collaboration agreement, it is necessary that the cards to be used on wallets operate in single-tap mode. These conditions, which would be applied indiscriminately by the circuit and the country in which the payment occurs, would aim to ensure the best user experience for their customers, in terms of convenience and immediacy of payment.</w:t>
      </w:r>
    </w:p>
    <w:p>
      <w:r>
        <w:t>26. From the set of these elements, it follows that, as a consequence of the Mastercard Mandate, whenever a Bancomat card is used, it will always be necessary to proceed with the double-tap and it will no longer be possible to use the single-tap mode. Instead, where a mono-brand card (mostly Mastercard cards) is used, it will still be possible to use the single-tap mode. In other words, as a result of the Mastercard Mandate, Bancomat cards would be denied access to the single-tap mode.</w:t>
      </w:r>
    </w:p>
    <w:p>
      <w:r>
        <w:t>BULLETIN NO. 50 OF DECEMBER 20, 2021 23</w:t>
        <w:br/>
        <w:t>27. Furthermore, as a result of the Mastercard Mandate, Bancomat cards would be denied access to the digital wallets of certain smartphone manufacturers ([omitted]) who, without the ease of use of single-tap, would refuse to introduce Bancomat cards into their electronic wallets, preferring to keep only Mastercard cards, which can already be introduced and used through the wallets.</w:t>
      </w:r>
    </w:p>
    <w:p>
      <w:r>
        <w:t>28. It is noted that for Mastercard this issue would not arise as that company has already concluded agreements for the tokenization of its cards [omitted] and, in the absence of an agreement between technology operators and Bancomat, the tokenized Mastercard cards [omitted] would function as mono-brand cards and would therefore not fall within the scope of the Mandate (which applies only to co-badged cards).</w:t>
      </w:r>
    </w:p>
    <w:p>
      <w:r>
        <w:t>29. More generally, the asymmetry created by the Mastercard Mandate appears capable of affecting the competitive dynamics of the market and undermining, in the long term, the presence of Bancomat in the market. This is because, by making the use of co-badged cards in contactless mode less accessible, it would degrade the position of such cards compared to mono-brand ones, leading the market to shift towards the latter. In this way, however, only the position of Bancomat would be compromised, whose cards, for the reasons already explained, are always issued as co-badged.</w:t>
      </w:r>
    </w:p>
    <w:p>
      <w:r>
        <w:t>30. Although this issue arises in the context of contactless payments, its effects would reflect on all debit cards since the issued card is unique, both for contactless payments and for payments that require insertion, ultimately affecting both consumers, who, in order to access both circuits, would have to request two cards, duplicating the related costs, and merchants, who would no longer be able to benefit from the lower costs associated with the domestic circuit.</w:t>
      </w:r>
    </w:p>
    <w:p>
      <w:r>
        <w:t>31. Lastly, it is noted that Mastercard's decision to exclude the single-tap mode for payments with co-badged cards does not appear justified by the regulatory framework. As mentioned, in fact, the single-tap mode is in line with community regulations as it is capable of guaranteeing the cardholder the possibility of choosing the circuit since that subject can always express their preference to the merchant before each payment so that the POS is set to proceed with the chosen circuit.</w:t>
      </w:r>
    </w:p>
    <w:p>
      <w:r>
        <w:t>32. The described behavior, consisting of Mastercard's imposition of the double-tap procedure, assisted by inspection checks and particularly burdensome penalties, appears to be attributable to an abusive strategy in violation of Article 102 TFEU, aimed at hindering and/or excluding the competing operator from accessing the wallets present on smartphones, at a crucial stage of technological development of this payment method, as well as significant growth in its use by consumers, with effects such as to make the use of co-badged cards in contactless mode less accessible compared to mono-brand ones and to disincentivize in the future the issuance of co-badged cards.</w:t>
      </w:r>
    </w:p>
    <w:p>
      <w:r>
        <w:t>V.4. The Applicability of European Law</w:t>
      </w:r>
    </w:p>
    <w:p>
      <w:r>
        <w:t>33. The new circuit rules must be evaluated pursuant to Article 102 TFEU. In fact, the concept of harm to intra-European trade must be interpreted taking into account the direct or indirect, real or potential influence on trade flows between Member States. The Mastercard Mandate appears potentially capable of harming intra-European trade, in</w:t>
      </w:r>
    </w:p>
    <w:p>
      <w:r>
        <w:rPr>
          <w:b/>
        </w:rPr>
        <w:t>[Pages 22–24]</w:t>
      </w:r>
    </w:p>
    <w:p>
      <w:r>
        <w:t>BULLETIN NO. 50 OF DECEMBER 20, 2021</w:t>
      </w:r>
    </w:p>
    <w:p>
      <w:r>
        <w:t>as the new circuit rules affect the entire Italian territory and concern all financial institutions providing acquiring and card issuance services in Italy.</w:t>
      </w:r>
    </w:p>
    <w:p>
      <w:r>
        <w:t>CONSIDERING, therefore, that the Mastercard Mandate could constitute a case of abuse of dominant position, in possible violation of Article 102 of the TFEU;</w:t>
      </w:r>
    </w:p>
    <w:p>
      <w:r>
        <w:t>RESOLVES</w:t>
      </w:r>
    </w:p>
    <w:p>
      <w:r>
        <w:t>a) to initiate the investigation, pursuant to Article 14 of Law No. 287/90, against Mastercard Europe SA, to ascertain the existence of violations of Article 102 TFEU;</w:t>
      </w:r>
    </w:p>
    <w:p>
      <w:r>
        <w:t>b) to set a deadline of sixty days, starting from the date of notification of this measure, for the exercise by the legal representatives of Mastercard Europe SA, or by persons delegated by them, of the right to be heard, pursuant to Article 14, paragraph 1, of Law No. 287/90, specifying that the request for a hearing must be received by the "Credit, Post and Tourism" Directorate of the Directorate General for Competition of this Authority at least three days before the expiration of the aforementioned deadline;</w:t>
      </w:r>
    </w:p>
    <w:p>
      <w:r>
        <w:t>c) that the person responsible for the procedure is Dr. Eliana Iorio;</w:t>
      </w:r>
    </w:p>
    <w:p>
      <w:r>
        <w:t>d) that the acts of the procedure can be viewed at the "Credit, Post and Tourism" Directorate of the Directorate General for Competition of this Authority by the legal representatives of the party or by persons delegated by them;</w:t>
      </w:r>
    </w:p>
    <w:p>
      <w:r>
        <w:t>e) that the procedure must be concluded by December 31, 2022.</w:t>
      </w:r>
    </w:p>
    <w:p>
      <w:r>
        <w:t>This measure will be notified to the interested parties and published in the Bulletin of the Italian Competition Authority.</w:t>
      </w:r>
    </w:p>
    <w:p>
      <w:r>
        <w:t>THE SECRETARY GENERAL THE PRESIDENT</w:t>
        <w:br/>
        <w:t>Filippo Arena Roberto Rustichelli</w:t>
      </w:r>
    </w:p>
    <w:p>
      <w:r>
        <w:t>5 See Commission Communication — Guidelines on the notion of harm to trade between Member States under Articles 81 and 82 of the Treaty [now Articles 101 and 102 TFEU], O.J. [2004] C101/81.</w:t>
      </w:r>
    </w:p>
    <w:p>
      <w:r>
        <w:t>BULLETIN NO. 50 OF DECEMBER 20, 2021</w:t>
      </w:r>
    </w:p>
    <w:p>
      <w:r>
        <w:t>A550 - ORIGINAL MARINES FRANCHISING CHAIN</w:t>
        <w:br/>
        <w:t>Measure No. 29930</w:t>
        <w:br/>
        <w:t>THE ITALIAN COMPETITION AUTHORITY</w:t>
      </w:r>
    </w:p>
    <w:p>
      <w:r>
        <w:t>IN ITS MEETING of December 3, 2021;</w:t>
      </w:r>
    </w:p>
    <w:p>
      <w:r>
        <w:t>HEARD the Rapporteur, President Roberto Rustichelli;</w:t>
      </w:r>
    </w:p>
    <w:p>
      <w:r>
        <w:t>HAVING REGARD to Law No. 287 of October 10, 1990;</w:t>
      </w:r>
    </w:p>
    <w:p>
      <w:r>
        <w:t>HAVING REGARD to Law No. 192 of June 18, 1998, and in particular, Article 9;</w:t>
      </w:r>
    </w:p>
    <w:p>
      <w:r>
        <w:t>HAVING REGARD to Presidential Decree No. 217 of April 30, 1998;</w:t>
      </w:r>
    </w:p>
    <w:p>
      <w:r>
        <w:t>HAVING REGARD to the report received from various parties including Angym di Costa Maurizio, Dilla S.r.l., Edma S.r.l., E.S., Feluca S.r.l., FEDEP di Magagnin Catia; MB di Massimo Migliaccio, MA.BE Sas di Migliaccio Massimo and co, Riccardo S.n.c. di Perico Gian Paolo &amp; c., S.M. and Scolastica S.r.l. on March 4, 2021, supplemented on March 24, November 8, and November 15, 2021;</w:t>
      </w:r>
    </w:p>
    <w:p>
      <w:r>
        <w:t>HAVING REGARD to the acts of the procedure;</w:t>
      </w:r>
    </w:p>
    <w:p>
      <w:r>
        <w:t>CONSIDERING the following:</w:t>
      </w:r>
    </w:p>
    <w:p>
      <w:r>
        <w:t>I. THE PARTIES</w:t>
      </w:r>
    </w:p>
    <w:p>
      <w:r>
        <w:t>1. Original Marines S.p.A. (hereinafter Original Marines or the Company) is a major fashion company with a commercial network in Italy of approximately 480 stores, most of which are franchised. In 2018, it merged with Trader S.r.l., a company active in the management of retail outlets; in 2019, the Company changed its name from Imap Export S.p.A. to Original Marines S.p.A. The total revenue for 2020 generated by Original Marines was approximately 134 million euros.</w:t>
      </w:r>
    </w:p>
    <w:p>
      <w:r>
        <w:t>2. The reporters Angym di Costa Maurizio, Dilla S.r.l., Edma S.r.l., E.S., Feluca S.r.l., FEDEP di Magagnin Catia, MB di Massimo Migliaccio, MA.BE Sas di Migliaccio Massimo and co, Riccardo S.n.c. di Perico Gian Paolo &amp; c., S.M. and Scolastica S.r.l. are entrepreneurs, holders of franchising contracts with Original Marines, which have now ended.</w:t>
      </w:r>
    </w:p>
    <w:p>
      <w:r>
        <w:t>II. THE REPORTED FACTS</w:t>
      </w:r>
    </w:p>
    <w:p>
      <w:r>
        <w:t>3. Several former operators in the retail sale of Original Marines branded clothing complain of a series of allegedly abusive behaviors carried out by the aforementioned Company against them. According to the reports, several affiliates would be former employees of struggling Original Marines stores, to whom the Company would have offered to take over the store, upon payment of past debts.</w:t>
      </w:r>
    </w:p>
    <w:p>
      <w:r>
        <w:t>4. In particular, the reconstruction of the "Original Marines system" provided by the reporters identifies a set of particularly burdensome contractual conditions, as well as a specific strategy according to which, once the activity is started, the affiliate would face a system in which their profitability is sacrificed in favor of Original Marines, which centralizes all the main entrepreneurial choices of the retail outlet, shifting its business risks onto the affiliates and conditioning their ability to operate effectively in the market. Original Marines would define the value and composition of orders through a computerized control of the retail outlet, impose promotions and resale prices, and at the same time prevent promotional sales campaigns unless expressly and previously authorized, precisely to "avoid competition with other retail outlets adhering to the Original Marines program."</w:t>
      </w:r>
    </w:p>
    <w:p>
      <w:r>
        <w:t>5. Furthermore, Original Marines would have operated in the market, until 2017, with a subsidiary – Trader S.r.l. – operating in areas often adjacent to those of the franchised retail outlets, with a franchising contract that provided significantly more favorable conditions compared to other affiliates, thus cannibalizing competing retail outlets.</w:t>
      </w:r>
    </w:p>
    <w:p>
      <w:r>
        <w:t>6. Such behaviors would have led, over the years, to the indebtedness of the stores in the network, resulting in a very high turnover and the purchase, by Original Marines, of numerous retail outlets (based on the report, 70 in 2017 alone and 213 in the years 2017-2019) with various bankruptcy petitions against the involved companies.</w:t>
      </w:r>
    </w:p>
    <w:p>
      <w:r>
        <w:t>7. With specific reference to the contractual relationship with Original Marines, the contracts would reveal a series of clauses capable of establishing both a situation of economic dependence of the affiliate and an excessive disproportion between the parties. In particular, some clauses impose burdens and obligations on the franchisee to adapt the sales structure and to conform the entire commercial activity at their own expense to the indications of Original Marines.</w:t>
      </w:r>
    </w:p>
    <w:p>
      <w:r>
        <w:t>8. Among the clauses that significantly impact the economic dependence of the franchisee, the one concerning the design and setup of the retail outlet stands out, the economic commitment for which is entirely borne by the affiliate and which "must be realized and set up according to the format of the Original Marines program and with the materials provided by the company that will be indicated by the Franchisor" (Article 3). If the affiliate refuses to fully comply with the architectural and setup project designed for the retail outlet and approved by Original Marines, the express termination of the Contract is provided (Article 16).</w:t>
      </w:r>
    </w:p>
    <w:p>
      <w:r>
        <w:t>9. Other economic burdens on the affiliate include the signing of a bank guarantee (Article 12), the stipulation of an insurance policy with a primary company or the reimbursement of premiums paid by Original Marines for minimum coverage that the Company will arrange (Article 13), and staff training (Article 7).</w:t>
      </w:r>
    </w:p>
    <w:p>
      <w:r>
        <w:t>10. The affiliate is also obliged to install, maintain, and update, at their own expense, a computer system that allows the transmission of sales data of the business, according to the indications provided by Original Marines (Article 5).</w:t>
      </w:r>
    </w:p>
    <w:p>
      <w:r>
        <w:t>11. Furthermore, the clauses that provide (i) the prohibition of assignment of the contract by the affiliate without the prior consent of the franchisor (Article 15.2) and (ii) the prohibition of transferring the retail outlet to third parties without offering a right of first refusal to Original Marines (Article 14) are significant. In case of violation of the aforementioned prerogatives, the contract may be terminated for breach pursuant to Article 1456 of the Civil Code and a penalty of 50,000 euros is to be paid (Article 14).</w:t>
      </w:r>
    </w:p>
    <w:p>
      <w:r>
        <w:rPr>
          <w:b/>
        </w:rPr>
        <w:t>[Pages 25–27]</w:t>
      </w:r>
    </w:p>
    <w:p>
      <w:r>
        <w:t>BULLETIN NO. 50 OF DECEMBER 20, 2021 27</w:t>
        <w:br/>
        <w:t>12. Regarding the termination of the contractual relationship, Article 17 establishes that “[t]he furnishings of the Original Marines program may be used by the Franchisee only if owned by them and the Franchisor does not intend to purchase them at the price of their value determined based on the state of use at the time of termination.”</w:t>
        <w:br/>
        <w:t>13. As for the management of the contractual relationship, although the preamble of the contract clarifies that it is in the interest of the franchisee to autonomously carry out the retail resale of Original Marines products, the contractual provisions assign special prerogatives to Original Marines that translate into burdens for the franchisee, with implications not only in terms of costs normally arising from the affiliation activity but also in terms of the autonomous exercise of their entrepreneurial activity.</w:t>
        <w:br/>
        <w:t>14. Original Marines would indeed define the value and composition of orders also through a computer control at the point of sale, impose mechanisms for automatic replenishment, promotions, and resale prices, and at the same time, would prevent promotional sales campaigns unless expressly and previously authorized, precisely in order to “avoid competition with other points of sale adhering to the Original Marines program” (Article 9.2).</w:t>
        <w:br/>
        <w:t>15. For example, the contract provides that the franchisee commits to purchasing a minimum quantity of products based on the standard assortment. Furthermore, there are certain products (so-called best sellers) whose purchase is mandatory for reasons of uniformity of the network (Article 8). The affiliate is also obliged to install, maintain, and update, at their own expense, a computer system according to the indications provided by Original Marines and assumes the specific obligation to transmit daily to the Company, through this system, the sales data of their establishment (Article 5). In fact, the merchandise to be purchased would largely be imposed by the Company, also through the aforementioned mechanisms of automatic replenishment.</w:t>
        <w:br/>
        <w:t>16. Regarding the price, Article 9 provides that “the Franchisee is free to determine the public price of the Products even though the Franchisor advises adhering to its official price list, resulting from the unified commercial strategy of the Original Marines program and its advertising, also with reference to promotional campaigns. In order to avoid competition with other Points of Sale adhering to the Original Marines program, the Franchisee commits not to carry out promotional sales campaigns unless following express prior written authorization from the Franchisor.” Furthermore, Original Marines would have used Article 6.1 of the contract, which provides for the possibility of providing “communications, operational guides, and manuals whose content will be binding for the franchisee,” to impose the promotions to be carried out in-store. Regarding these latter, the Company would have imposed continuous promotions without any planning, reducing the margin on which the affiliate would have relied and preventing adequate planning of their entrepreneurial strategy.</w:t>
        <w:br/>
        <w:t>17. In this context, according to what has been presented, Original Marines would have abused the economic dependence of its retailers, also due to the imbalance attributable to the contractual provisions of the franchising, through the imposition of burdensome clauses that bind the entrepreneurial autonomy of the franchisee by delegating to the Company important strategic choices regarding the management of the points of sale. Furthermore, Original Marines would have definitively compromised the business activity of its retailers also through further conduct, including the use of a subsidiary company that is granted more favorable conditions compared to other affiliates, to “cannibalize” the points of sale of the affiliates.</w:t>
        <w:br/>
        <w:t>III. EVALUATIONS</w:t>
        <w:br/>
        <w:t>18. Article 9 of Law No. 192/1998 prohibits the abuse by one or more companies of the state of economic dependence, defined as “the situation in which a company is able to determine, in commercial relations with another company, an excessive imbalance of rights and obligations. Economic dependence is assessed taking into account the real possibility for the party that has suffered the abuse to find satisfactory alternatives in the market. The abuse may also consist of the refusal to sell or the refusal to buy, the imposition of unjustifiably burdensome or discriminatory contractual conditions, or the arbitrary interruption of ongoing commercial relations.”</w:t>
        <w:br/>
        <w:t>III.1 Elements of Economic Dependence</w:t>
        <w:br/>
        <w:t>19. In the case at hand, according to the available information, it is believed that an excessive imbalance may be configured in the relationships between Original Marines and the whistleblowers, in light of the economic commitments and burdens that weigh on them based on the franchising contract, such as to make it difficult, if not impossible, to seek satisfactory commercial alternatives in the market. These include, as seen, the provisions regarding architectural design (Articles 3 and 16), bank guarantee (Article 12), insurance policy (Article 13), computer system (Article 5), those related to the constraints on the assignment of the contract (Articles 15 and 17), and in particular the assignment of the point of sale and the right of first refusal (Article 14).</w:t>
        <w:br/>
        <w:t>20. The complex of the highlighted clauses, in summary, could be suitable to determine a situation of economic dependence towards Original Marines, which contractually guarantees the possibility of unilaterally setting rules and organizational parameters suitable to rigidify the business structure of the franchisee to the point of hindering, if not preventing, its eventual reconversion. These clauses, together with the strong asymmetry between the parties in the relationship, the previous situation of some of the whistleblowers, characterized by long-standing relationships with Original Marines, and the possible assumption of the previous affiliate's outstanding debts, could disincentivize, to the point of making it impossible, the search by the affiliate for a market alternative, thus determining economic dependence on the franchisor.</w:t>
        <w:br/>
        <w:t>III.2 Elements of Abusive Conduct</w:t>
        <w:br/>
        <w:t>21. In this context, the imposition of clauses that appear unjustifiably burdensome and aimed at managing purchase orders and promotional campaigns – along with the discretionary and arbitrary application of the same by the Company – could be suitable to condition the economic activity of the franchisee, preventing them from autonomously managing their commercial activity. It is noteworthy, in this regard, that the definition of purchase orders, which represents the core of the retailer's commercial activity, appears substantially subject to the discretionary and unilateral will of Original Marines, not only in terms of timing but also in terms of quantities, not being proportionate to the normal needs arising from the franchising contract. At the same time, the affiliate is deprived of the possibility of setting resale prices for the merchandise and conducting autonomous promotional sales, while being forced to adhere to those unilaterally set by the franchisor.</w:t>
        <w:br/>
        <w:t>22. In particular, according to what emerges from the contractual clauses, the affiliate commits to purchasing a minimum quantity of products based on the standard assortment, as well as certain mandatory products (so-called best sellers), the type and quantity of which are however determined by the Company, also undergoing the imposition of resale prices and mechanisms for automatic replenishment, with the simultaneous prohibition of conducting autonomous promotional campaigns precisely for the stated purpose of “avoiding competition with other points of sale.”</w:t>
        <w:br/>
        <w:t>23. From the documents on file, it also seems to emerge that Original Marines has engaged in specific abusive conduct even during the execution of the contract, among which the imposition of discriminatory sales conditions through the opening of points of sale in the market managed by the subsidiary Trader S.r.l., often in areas adjacent to those of the affiliated points of sale, to which extremely favorable conditions were applied, stands out. Even through such conduct, the Company would have compromised the business activity of its affiliates, arbitrarily reducing their ability to operate and even remain in the market and realizing a “cannibalization” of the affiliates' points of sale that would have led Original Marines to acquire, in three years, numerous stores.</w:t>
        <w:br/>
        <w:t>24. From the overall set of the aforementioned conduct, a comprehensive picture seems to emerge in which Original Marines autonomously decides all the essential variables of the commercial dynamics of the points of sale through pervasive control of the activity (computer system) and the setting of all the main parameters: quantities and composition of orders, purchase and retail resale prices, promotions. In this way, through the franchising contract, Original Marines would seem to contravene the spirit of collaboration that underlies this type of negotiation and could thus abuse its position of strength through behavior not grounded in contractual good faith.</w:t>
        <w:br/>
        <w:t>III.3 The Competitive Relevance of the Conduct Subject to Contestation</w:t>
        <w:br/>
        <w:t>25. Given that Original Marines holds a position of significant relevance in the market in question, ranking among the main companies in the clothing sector in Italy, with a brand that enjoys strong commercial appeal, the reported incident appears to assume relevance not only with reference to the individual contractual relationships identified but also in relation to the protection of competition and the market. The use of the contractual model in question and the adoption of abusive conduct by a subject that manages a significant franchising commercial network could indeed have a significant impact on all entrepreneurs that make up the network in question, to the detriment of competitive dynamics in the relevant market.</w:t>
        <w:br/>
        <w:t>CONSIDERING that, pursuant to Article 9, paragraph 3-bis, of Law No. 192 of June 18, 1998, the Italian Competition Authority, if it finds that an abuse of economic dependence has relevance for the protection of competition and the market, may activate its investigative powers and initiate proceedings and proceed with the warnings and sanctions provided for in Article 15 of Law No. 287 of October 10, 1990, against the company or companies that have committed such abuse;</w:t>
      </w:r>
    </w:p>
    <w:p>
      <w:r>
        <w:rPr>
          <w:b/>
        </w:rPr>
        <w:t>[Pages 28–30]</w:t>
      </w:r>
    </w:p>
    <w:p>
      <w:r>
        <w:t>30 BULLETIN NO. 50 OF DECEMBER 20, 2021</w:t>
        <w:br/>
        <w:t>CONSIDERING that the described conduct of Original Marines could constitute an abuse of economic dependence relevant for the protection of competition and the market;</w:t>
      </w:r>
    </w:p>
    <w:p>
      <w:r>
        <w:t>RESOLVES</w:t>
      </w:r>
    </w:p>
    <w:p>
      <w:r>
        <w:t>a) to initiate the investigation pursuant to Article 9, paragraph 3-bis, of Law No. 192 of June 18, 1998 and Article 14 of Law No. 287 of October 10, 1990, against the companies Original Marines S.p.A.;</w:t>
      </w:r>
    </w:p>
    <w:p>
      <w:r>
        <w:t>b) to set a deadline of sixty days, starting from the date of notification of this measure, for the exercise, by the legal representatives of the Party, of the right to be heard, personally or through a special attorney, specifying that the request for a hearing must be received by the Manufacturing Industry and Services Directorate of the Directorate General for Competition of this Authority at least fifteen days before the expiration of the above-mentioned deadline;</w:t>
      </w:r>
    </w:p>
    <w:p>
      <w:r>
        <w:t>c) that the person responsible for the procedure is Dr. Valentina Depau;</w:t>
      </w:r>
    </w:p>
    <w:p>
      <w:r>
        <w:t>d) that the acts of the procedure can be viewed at the Manufacturing and Services Directorate of the Directorate General for Competition of this Authority by the legal representatives of the Parties, as well as by persons delegated by them;</w:t>
      </w:r>
    </w:p>
    <w:p>
      <w:r>
        <w:t>e) that the procedure must be concluded by December 31, 2022.</w:t>
      </w:r>
    </w:p>
    <w:p>
      <w:r>
        <w:t>This measure will be notified to the interested parties and published in the Bulletin of the Italian Competition Authority.</w:t>
      </w:r>
    </w:p>
    <w:p>
      <w:r>
        <w:t>THE SECRETARY GENERAL THE PRESIDENT</w:t>
        <w:br/>
        <w:t>Filippo Arena Roberto Rustichelli</w:t>
      </w:r>
    </w:p>
    <w:p>
      <w:r>
        <w:t>BULLETIN NO. 50 OF DECEMBER 20, 2021 31</w:t>
        <w:br/>
        <w:t>I840 - OBSTACLES TO FREE OF CHARGE ARENAS</w:t>
        <w:br/>
        <w:t>Measure No. 29934</w:t>
        <w:br/>
        <w:t>THE ITALIAN COMPETITION AUTHORITY</w:t>
        <w:br/>
        <w:t>IN ITS MEETING of December 3, 2021;</w:t>
      </w:r>
    </w:p>
    <w:p>
      <w:r>
        <w:t>HEARD the Rapporteur, Professor Michele Ainis;</w:t>
      </w:r>
    </w:p>
    <w:p>
      <w:r>
        <w:t>HAVING REGARD to Article 101 of the Treaty on the Functioning of the European Union (TFEU);</w:t>
      </w:r>
    </w:p>
    <w:p>
      <w:r>
        <w:t>HAVING REGARD to Law No. 287 of October 10, 1990;</w:t>
      </w:r>
    </w:p>
    <w:p>
      <w:r>
        <w:t>HAVING REGARD to Presidential Decree No. 217 of April 30, 1998;</w:t>
      </w:r>
    </w:p>
    <w:p>
      <w:r>
        <w:t>HAVING REGARD to its resolution of June 17, 2020, with which the investigation was initiated, pursuant to Article 14 of Law No. 287/90, against the National Association of Audiovisual and Multimedia Cinematographic Industries (ANICA), the National Association of Cinema Exhibitors (ANEC) and the Lazio Regional Association of Cinema Exhibitors (ANEC Lazio) to ascertain the existence of any violations of Article 101 of the TFEU and/or Article 2 of Law No. 287/90, with the simultaneous initiation of the sub-procedure for the adoption of precautionary measures pursuant to Article 14-bis of Law No. 287/90;</w:t>
      </w:r>
    </w:p>
    <w:p>
      <w:r>
        <w:t>HAVING REGARD to its resolution of July 8, 2020, with which precautionary measures were adopted pursuant to Article 14-bis of Law No. 287/90;</w:t>
      </w:r>
    </w:p>
    <w:p>
      <w:r>
        <w:t>HAVING REGARD to the requests of ANICA and ANEC Lazio, both received on November 30, 2021, for an extension of the intra-procedural deadline for closing the investigative phase, both based on the need to have a broader timeframe to produce statements and documents in their defense, given the complexity and number of the acts of the procedure;</w:t>
      </w:r>
    </w:p>
    <w:p>
      <w:r>
        <w:t>CONSIDERING that the acceptance of the aforementioned requests is justified by the complexity of the issues addressed and the need to ensure the parties in the procedure the broadest right of defense and contradiction;</w:t>
      </w:r>
    </w:p>
    <w:p>
      <w:r>
        <w:t>CONSIDERING that the extension of the intra-procedural deadline for closing the investigative phase also necessitates an extension of the deadline for concluding the procedure;</w:t>
      </w:r>
    </w:p>
    <w:p>
      <w:r>
        <w:t>THEREFORE CONSIDERING it necessary to extend the deadline for concluding the procedure, currently set for December 31, 2021;</w:t>
      </w:r>
    </w:p>
    <w:p>
      <w:r>
        <w:t>RESOLVES</w:t>
      </w:r>
    </w:p>
    <w:p>
      <w:r>
        <w:t>to extend the deadline for concluding the procedure to February 28, 2022.</w:t>
      </w:r>
    </w:p>
    <w:p>
      <w:r>
        <w:t>32 BULLETIN NO. 50 OF DECEMBER 20, 2021</w:t>
        <w:br/>
        <w:t>This measure will be notified to the interested parties and published in the Bulletin of the Italian Competition Authority.</w:t>
      </w:r>
    </w:p>
    <w:p>
      <w:r>
        <w:t>THE SECRETARY GENERAL THE PRESIDENT</w:t>
        <w:br/>
        <w:t>Filippo Arena Roberto Rustichelli</w:t>
      </w:r>
    </w:p>
    <w:p>
      <w:r>
        <w:rPr>
          <w:b/>
        </w:rPr>
        <w:t>[Pages 31–33]</w:t>
      </w:r>
    </w:p>
    <w:p>
      <w:r>
        <w:t>BULLETIN NO. 50 OF DECEMBER 20, 2021 33</w:t>
        <w:br/>
        <w:t>I854 - SOFAR/SUPPLY OF FOOD SUPPLEMENTS</w:t>
        <w:br/>
        <w:t>Measure No. 29935</w:t>
        <w:br/>
        <w:t>THE ITALIAN COMPETITION AUTHORITY</w:t>
        <w:br/>
        <w:t>IN ITS MEETING of December 3, 2021;</w:t>
        <w:br/>
        <w:t>HEARD the Rapporteur Professor Michele Ainis;</w:t>
        <w:br/>
        <w:t>HAVING REGARD to Article 101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Law No. 287 of October 10, 1990, and in particular, Article 14-ter;</w:t>
        <w:br/>
        <w:t>HAVING REGARD to Presidential Decree No. 217 of April 30, 1998;</w:t>
        <w:br/>
        <w:t>HAVING REGARD to its measure No. 29654 of May 4, 2021, with which an investigation was initiated pursuant to Article 14 of Law No. 287/90, against SOFAR S.p.A. to ascertain the existence of violations of Article 101 TFEU, in relation to the commercial conditions concerning online sales applied by this company in its vertical relationships with its network of distributors;</w:t>
        <w:br/>
        <w:t>HAVING REGARD to the "Communication on the procedures for the application of Article 14-ter of Law No. 287/90," adopted in the meeting of September 6, 2012, and published in Bulletin No. 35 of September 17, 2012;</w:t>
        <w:br/>
        <w:t>HAVING REGARD to the communication of July 15, 2021, by which SOFAR S.p.A. submitted commitments pursuant to Article 14-ter of Law No. 287/90, according to the methods indicated in the specific "Form for the submission of commitments pursuant to Article 14-ter of Law No. 287/90";</w:t>
        <w:br/>
        <w:t>HAVING REGARD to its resolution of August 3, 2021, with which the publication, on August 5, 2021, of the commitments proposed by SOFAR S.p.A. on the Authority's website was ordered, in order to allow interested third parties to express their observations;</w:t>
        <w:br/>
        <w:t>HAVING REGARD to the acts of the proceeding and the documentation acquired during the investigation;</w:t>
        <w:br/>
        <w:t>CONSIDERING the following:</w:t>
        <w:br/>
        <w:t>I. THE PARTY</w:t>
        <w:br/>
        <w:t>1. SOFAR S.p.A. (hereinafter also "SOFAR") is a company active in the production and marketing of pharmaceutical products, medical devices, and nutritional supplements. The company, which has its legal headquarters in Italy, boasts a considerable international presence, both direct, with five foreign offices (in Lithuania, Romania, Switzerland, Russia, and the USA), and indirect, through a network of distributors. The flagship product of the company is the probiotic dietary supplement called "Enterolactis Plus 30 cps" (hereinafter also "the Supplement").</w:t>
        <w:br/>
        <w:t>2. The share capital of SOFAR is entirely held by individuals. In 2020, the company achieved a turnover of approximately 100 million euros in Italy.</w:t>
      </w:r>
    </w:p>
    <w:p>
      <w:r>
        <w:t>34 BULLETIN NO. 50 OF DECEMBER 20, 2021</w:t>
        <w:br/>
        <w:t>II. THE REPORT</w:t>
        <w:br/>
        <w:t>3. On September 22, 2020, a report was received from the owner of a pharmacy, active in the sale of the Supplement both through a physical store and online, who reported alleged anti-competitive conduct carried out by SOFAR. The company, in particular, allegedly imposed on online retailers the compliance with the recommended retail price, also through a systematic monitoring activity of the resale prices of the Supplement practiced on that channel. Furthermore, SOFAR allegedly allowed only certain authorized retailers to use third-party platforms, particularly Amazon. The failure to comply with such indications would have resulted in the suspension of supplies.</w:t>
        <w:br/>
        <w:t>III. THE CONTESTED CONDUCT</w:t>
        <w:br/>
        <w:t>4. On May 4, 2021, the Authority resolved to initiate an investigative proceeding against SOFAR, aimed at ascertaining the adoption by this operator of competition-restricting commercial policies in its relationships with its online distributors. In particular, the contested conduct consists of: i) the imposition of minimum resale prices for the Supplement; ii) the exclusion, or at least the authorization in discriminatory ways, of the possibility of marketing the Supplement on the Internet through third-party platforms.</w:t>
        <w:br/>
        <w:t>5. In the initiation measure, it was hypothesized that such behaviors could constitute vertical agreements in violation of Article 101 TFEU, as they are capable of restricting price competition among distributors and unjustifiably limiting a specific mode of online sale, thereby hindering the competitive development of the distribution channel in question.</w:t>
        <w:br/>
        <w:t>IV. THE RELEVANT MARKET</w:t>
        <w:br/>
        <w:t>6. The conduct subject to the investigation concerns the market for the production and sale of probiotic dietary supplements, that is, supplements that contain, in sufficiently high numbers, live and active probiotic microorganisms, capable of reaching the intestine, multiplying, and exerting a balancing action on the intestinal microflora through direct colonization. From a geographical perspective, the market can be considered national in size, given the differences in regulatory frameworks and consumption habits existing among different countries.</w:t>
        <w:br/>
        <w:t>V. THE PROPOSED COMMITMENTS</w:t>
        <w:br/>
        <w:t>7. In response to the competitive concerns raised by the Authority in the initiation measure, SOFAR, on July 15, 2021, submitted commitments pursuant to Article 14-ter of Law No. 287/90, consisting, in summary:</w:t>
        <w:br/>
        <w:t>- in sending a communication to all retailers of its products to reiterate their right to freely determine on any channel, including third-party online platforms, the retail prices, always ensuring the image of SOFAR brands and the value of its products, correct and complete information for the benefit of consumers, and the proper management of products to ensure their integrity and effectiveness;</w:t>
        <w:br/>
        <w:t>1 See Guidelines on probiotics and prebiotics issued by the Ministry of Health, updated in March 2018.</w:t>
      </w:r>
    </w:p>
    <w:p>
      <w:r>
        <w:t>BULLETIN NO. 50 OF DECEMBER 20, 2021 35</w:t>
        <w:br/>
        <w:t>- in including an additional statement regarding the right to freely set retail prices in every contract and in every "commission copy" sent to retailers and signed by them for acceptance;</w:t>
        <w:br/>
        <w:t>- in refraining from exerting direct or indirect pressure on retailers to induce them to comply with the list prices;</w:t>
        <w:br/>
        <w:t>- in sending a specific communication to SOFAR agents to reiterate the right of retailers to freely determine on any channel, including third-party online platforms, the retail prices;</w:t>
        <w:br/>
        <w:t>- in refraining from offering agents incentives in any way related to the retail price practiced by the retailers they serve.</w:t>
        <w:br/>
        <w:t>SOFAR specified that the proposed measures will be implemented within twenty days from the notification of any acceptance measure by the Authority and that they will be applied indefinitely.</w:t>
        <w:br/>
        <w:t>VI. THE MARKET TEST ON THE COMMITMENTS</w:t>
        <w:br/>
        <w:t>8. In the meeting of August 3, 2021, the Authority, considering the commitments presented not manifestly unfounded, ordered their publication on its website, in order to subject them to the market test provided for by the procedure relating to the application of Article 14-ter of Law No. 287/1990. The commitments described above were subjected to the market test from August 5 to September 4, 2021. During this period, no observations were received from interested third parties.</w:t>
        <w:br/>
        <w:t>VII. THE EVALUATION OF THE COMMITMENTS</w:t>
        <w:br/>
        <w:t>9. The competitive concerns that led to the initiation of the investigation relate to the possibility that, in the context of vertical relationships with its online distributors, SOFAR has adopted, at least since 2020, commercial policies related to online sales capable of configuring possible violations of Article 101 TFEU, as they can be traced back to cases of imposition of minimum resale prices (so-called RPM) and other unjustified restrictions on online sales.</w:t>
        <w:br/>
        <w:t>10. As can be seen from the commitments described above, SOFAR undertakes to: i) not impose directly and/or indirectly on its network of distributors the compliance with selling prices for its products; ii) not limit the possibility of distributors to sell SOFAR products on all available channels, including third-party online platforms; iii) send a specific communication to its agents reiterating the freedom of retailers to freely determine on any channel the retail prices.</w:t>
        <w:br/>
        <w:t>11. The commitments presented by SOFAR appear suitable to eliminate the competitive concerns subject to the proceeding. With particular reference to the hypothesized conduct of RPM, SOFAR, in addition to committing not to impose on its distributors, either directly or indirectly, the selling prices of its products and to raise awareness on this point also among its agency network, will refrain from offering its agents incentives linked to the price actually practiced by the retailers.</w:t>
        <w:br/>
        <w:t>12. As for the scope of application, it is positively noted that the Party has assumed such obligations in general: SOFAR has expressly committed not to influence, either directly or indirectly (and thus not even through implicit forms of persuasion), its retailers to</w:t>
      </w:r>
    </w:p>
    <w:p>
      <w:r>
        <w:rPr>
          <w:b/>
        </w:rPr>
        <w:t>[Pages 34–36]</w:t>
      </w:r>
    </w:p>
    <w:p>
      <w:r>
        <w:t>36 BULLETIN NO. 50 OF DECEMBER 20, 2021</w:t>
        <w:br/>
        <w:t>in determining the retail prices to the public with regard to all products offered by SOFAR and all distribution channels, namely physical and virtual stores, including third-party online platforms. The assumption of such an obligation appears extremely relevant as it covers all possible behaviors of the supplier concerning commercial relationships with its distributors, binding it not to take any initiative that could in any way condition their pricing policies in the retail market.</w:t>
      </w:r>
    </w:p>
    <w:p>
      <w:r>
        <w:t>13. It is also noted that there are no time limits on the application of the measures presented.</w:t>
      </w:r>
    </w:p>
    <w:p>
      <w:r>
        <w:t>14. SOFAR, while reiterating to the distributors their freedom to determine retail prices to the public, requires that this occurs while ensuring the image of its brands and the value of its products, correct and complete information for the benefit of consumers, and the proper management of products to ensure their integrity and effectiveness. In this regard, it is observed that such a provision appears justified by the nature of the products themselves, which, especially in relation to online sales, require a comprehensive and updated description of their characteristics, as well as specific precautions in transport and storage to maintain their qualities.</w:t>
      </w:r>
    </w:p>
    <w:p>
      <w:r>
        <w:t>VIII. HARM TO TRADE BETWEEN STATES OF THE EUROPEAN UNION</w:t>
        <w:br/>
        <w:t>15. According to the Communication of the European Commission 2004/C 101/07 Guidelines on the notion of harm to trade between Member States under Articles 81 and 82 of the Treaty, published in OJ C 101/81 of April 27, 2004, the concept of harm to intra-community trade must be interpreted taking into account the direct or indirect, actual or potential influence on trade flows between Member States. In light of the aforementioned principles, it is noted that the restrictions hypothesized at the outset concern a market that has a geographical dimension equal, at least, to the entire Italian territory and relate to purchases that can be made online in principle by all interested consumers, regardless of their nationality. Therefore, the cases subject to this measure would appear to be capable, in the absence of SOFAR's commitments, of harming trade between Member States.</w:t>
      </w:r>
    </w:p>
    <w:p>
      <w:r>
        <w:t>IX. CONCLUSIONS</w:t>
        <w:br/>
        <w:t>16. In light of the above, the commitments presented by SOFAR appear suitable to eliminate the anti-competitive profiles subject to the investigation. They are particularly capable of promoting the competitive development of the online distribution channel and restoring competitive comparison, primarily on the price variable, among the distributors of SOFAR products, ultimately benefiting consumers.</w:t>
      </w:r>
    </w:p>
    <w:p>
      <w:r>
        <w:t>CONSIDERING, therefore, that the commitments presented by SOFAR are suitable to eliminate the anti-competitive profiles subject to the investigation;</w:t>
      </w:r>
    </w:p>
    <w:p>
      <w:r>
        <w:t>CONSIDERING to make the commitments presented by SOFAR mandatory pursuant to Article 14-ter, paragraph 1, of Law No. 287/90;</w:t>
      </w:r>
    </w:p>
    <w:p>
      <w:r>
        <w:t>All of the above having been stated and considered:</w:t>
      </w:r>
    </w:p>
    <w:p>
      <w:r>
        <w:t>BULLETIN NO. 50 OF DECEMBER 20, 2021 37</w:t>
        <w:br/>
        <w:t>RESOLUTION</w:t>
        <w:br/>
        <w:t>a) to make mandatory for the company SOFAR S.p.A. the commitments presented, pursuant to Article 14-ter, paragraph 1, of Law No. 287/90, under the terms described above and in the version attached to this resolution of which they form an integral part;</w:t>
      </w:r>
    </w:p>
    <w:p>
      <w:r>
        <w:t>b) to close the proceeding without ascertaining the infringement, pursuant to Article 14-ter, paragraph 1, of Law No. 287/90;</w:t>
      </w:r>
    </w:p>
    <w:p>
      <w:r>
        <w:t>c) that the company SOFAR S.p.A. submit to the Authority, within sixty days from the notification of this resolution, a report on the implementation of the commitments undertaken.</w:t>
      </w:r>
    </w:p>
    <w:p>
      <w:r>
        <w:t>This resolution will be notified to the interested parties and published in the Bulletin of the Italian Competition Authority. An appeal against this resolution may be filed with the TAR of Lazio, pursuant to Article 135, paragraph 1, letter b), of the Code of Administrative Procedure (Legislative Decree No. 104 of July 2, 2010), within sixty days from the date of notification of the resolution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resolution itself.</w:t>
      </w:r>
    </w:p>
    <w:p>
      <w:r>
        <w:t>THE SECRETARY GENERAL THE PRESIDENT</w:t>
        <w:br/>
        <w:t>Filippo Arena Roberto Rustichelli</w:t>
      </w:r>
    </w:p>
    <w:p>
      <w:r>
        <w:t>38 BULLETIN NO. 50 OF DECEMBER 20, 2021</w:t>
        <w:br/>
        <w:t>CONCENTRATION OPERATIONS</w:t>
        <w:br/>
        <w:t>C12409 - UNIPOLSAI ASSICURAZIONI/I.CAR-MURIANA MANUELA</w:t>
        <w:br/>
        <w:t>Measure No. 29932</w:t>
        <w:br/>
        <w:t>THE ITALIAN COMPETITION AUTHORITY</w:t>
        <w:br/>
        <w:t>IN ITS MEETING of December 3, 2021;</w:t>
      </w:r>
    </w:p>
    <w:p>
      <w:r>
        <w:t>HEARD the Rapporteur Professor Michele Ainis;</w:t>
      </w:r>
    </w:p>
    <w:p>
      <w:r>
        <w:t>HAVING REGARD to Regulation (EC) No. 139/2004, concerning the control of concentrations between undertakings;</w:t>
      </w:r>
    </w:p>
    <w:p>
      <w:r>
        <w:t>HAVING REGARD to Law No. 287 of October 10, 1990;</w:t>
      </w:r>
    </w:p>
    <w:p>
      <w:r>
        <w:t>HAVING REGARD to the Presidential Decree No. 217 of April 30, 1998;</w:t>
      </w:r>
    </w:p>
    <w:p>
      <w:r>
        <w:t>HAVING REGARD to the communication from UnipolSai Assicurazioni S.p.A. received on October 15, 2021;</w:t>
      </w:r>
    </w:p>
    <w:p>
      <w:r>
        <w:t>HAVING REGARD to the opinion of IVASS received on November 17, 2021, following a request pursuant to Article 20, paragraph 4, of Law No. 287/90;</w:t>
      </w:r>
    </w:p>
    <w:p>
      <w:r>
        <w:t>CONSIDERING the following:</w:t>
      </w:r>
    </w:p>
    <w:p>
      <w:r>
        <w:t>I. THE PARTIES</w:t>
        <w:br/>
        <w:t>1. UnipolSai Assicurazioni S.p.A. (hereinafter "UnipolSai" or "Buyer") is a joint-stock company under Italian law belonging to the Unipol Group, one of the main Italian insurance groups, active in all insurance sectors. The Unipol Group also operates in the banking, financial, real estate, hotel, agricultural, and port accommodation sectors. In 2020, the Unipol Group generated a worldwide turnover of €12,209,582,000, of which €12,104,182,000 from sales made in Italy. UnipolSai generated a turnover in 2020, calculated pursuant to Article 16, paragraph 2, of Law No. 287/90, of €12,210 million.</w:t>
      </w:r>
    </w:p>
    <w:p>
      <w:r>
        <w:t>2. I.Car S.r.l. (hereinafter "I.Car") is a company active in the production and marketing of theft deterrent devices. The share capital of I.Car is wholly owned by An-ro S.r.l. (hereinafter "An-ro"). The turnover generated in the 2020 financial year, calculated pursuant to Article 16, paragraph 2, of Law No. 287/90, was €84.7 million, realized exclusively in Italy.</w:t>
      </w:r>
    </w:p>
    <w:p>
      <w:r>
        <w:t>3. Muriana Manuela S.r.l. (hereinafter "MM") is an agent of UnipolSai, which intermediates exclusively UnipolSai policies in the province of Milan, related to branches 3, land vehicle bodies ("CVT"), and 10, auto liability ("RCA"). The CVT policies are combined with I.Car products, and such policies are underwritten by I.Car on behalf of the customer within the framework of collective policies that are then issued by MM. The turnover generated in the 2020 financial year, calculated pursuant to Article 16, paragraph 2, of Law No. 287/90 (with reference to premiums collected), was €3.6 million, realized exclusively in Italy.</w:t>
      </w:r>
    </w:p>
    <w:p>
      <w:r>
        <w:rPr>
          <w:b/>
        </w:rPr>
        <w:t>[Pages 37–39]</w:t>
      </w:r>
    </w:p>
    <w:p>
      <w:r>
        <w:t>BULLETIN NO. 50 OF DECEMBER 20, 2021 39</w:t>
        <w:br/>
        <w:t>II. DESCRIPTION OF THE OPERATION</w:t>
        <w:br/>
        <w:t>4. The operation consists of the exclusive acquisition of control by the Unipol Group and, specifically, by UnipolSai Assicurazioni S.p.A. of the entire share capital of the companies I.Car and MM.</w:t>
        <w:br/>
        <w:t>5. Following the operation, UnipolSai will hold 100% of the share capital of I.Car and MM and, therefore, exclusive control of the aforementioned companies pursuant to Article 5, paragraph 1, letter b), of Law No. 287/90.</w:t>
        <w:br/>
        <w:t>6. In particular, the acquisition of both companies is governed by the same purchase agreement entered into between UnipolSai, on one side, and An-ro and the partners of MM, on the other side. This contract provides for a conditional obligation between the acquisition of I.Car and that of MM. More specifically, pursuant to Article 6.4 of the contract, the obligations aimed at execution "must be considered as a single and indivisible act," and "in the event of failure to complete even one of them, the Execution cannot be considered carried out."</w:t>
        <w:br/>
        <w:t>7. The contract also governs a non-competition and non-solicitation agreement, under which An-ro and the partners of MM undertake, for a period of [omissis]*: i) not to engage, either on their own or on behalf of third parties, directly or indirectly, in any activity that competes with the activities carried out by I.Car and MM; ii) not to acquire or hold shares, nor to assume the role of partner or director or delegate directors, in companies that carry out activities in competition with those of I.Car and MM, except for: (a) An-ro's participation in GSA S.r.l., a multi-mandate agency that has intermediated collective CVT policies with I.Car and authorized by the same Contract to carry out portfolio management activities until expiration (in [omissis]), and (b) the acquisition and holding of shares in listed companies not exceeding [omissis]%; iii) not to make job or collaboration offers, even through intermediaries, to any collaborator, consultant, or employee of I.Car and MM; iv) not to contact, solicit, or divert any customer of I.Car and MM and not to interfere in the relationships between these companies and their customers; v) not to develop, on their own or for third parties, identification, tracking, and anti-theft systems for cars and means of transport.</w:t>
        <w:br/>
        <w:t>III. QUALIFICATION OF THE OPERATION</w:t>
        <w:br/>
        <w:t>8. Initially, it is noted that the communicated acquisitions, being characterized by functional interdependence, constitute a single operation.</w:t>
        <w:br/>
        <w:t>9. This operation, as it involves the acquisition of control of parts of businesses, constitutes a concentration pursuant to Article 5, paragraph 1, letter b), of Law No. 287/90.</w:t>
        <w:br/>
        <w:t>10.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was over 511 million euros and the turnover achieved in the last financial year at the national level by at least two of the companies involved is over 31 million euros.</w:t>
        <w:br/>
        <w:t>* In this version, some data are omitted, as there were deemed to be elements of confidentiality or secrecy of the information.</w:t>
      </w:r>
    </w:p>
    <w:p>
      <w:r>
        <w:t>40 BULLETIN NO. 50 OF DECEMBER 20, 2021</w:t>
        <w:br/>
        <w:t>11. The non-competition and non-solicitation agreement described above (see supra § 7) can be qualified as an ancillary restriction to the operation in question, as it is functional to safeguarding the value of the acquired business part, provided that it has a limited duration in time, in any case not exceeding three years regarding the activities carried out by I.Car and two years for those carried out by MM, and provided that it does not prevent the seller from acquiring or holding shares solely for financial investment purposes1.</w:t>
        <w:br/>
        <w:t>IV. THE OPINION OF IVASS</w:t>
        <w:br/>
        <w:t>12. In an opinion received on November 17, 2021, IVASS did not highlight in the operation the existence of elements capable of altering the competitive balance in the relevant markets.</w:t>
        <w:br/>
        <w:t>V. EVALUATION OF THE CONCENTRATION</w:t>
        <w:br/>
        <w:t>13. From a product perspective, the sectors affected by the operation in question are, on one hand, those of the supply of original components for light vehicles or anti-theft systems for cars and, on the other hand, the market for the distribution of insurance products in the damage sector.</w:t>
        <w:br/>
        <w:t>14. With reference to the acquisition of I.Car, it is noted that almost all of the turnover produced by it derives from sales to car manufacturers (and their respective captive banks) or as an integral part of the vehicle. If, for this reason, the anti-theft devices included in the market for components for light vehicles were considered, I.Car's market share in 2020 at the national level is [less than 1%] and at the European Union level is [less than 1%].</w:t>
        <w:br/>
        <w:t>15. If, on the other hand, the narrower product market of anti-theft systems, including various solutions and devices capable of dissuading potential wrongdoers from proceeding with the fraudulent removal of the vehicle, is considered, I.Car's market share in 2020 at the national level is [20-25%] and at the European Union level is [1-5%].</w:t>
        <w:br/>
        <w:t>16. UnipolSai is not present in either of the two markets just described.</w:t>
        <w:br/>
        <w:t>17. As for the geographical extent of such markets, considering that industrial groups in the automotive sector also operate at the European level, it is to be considered at least national.</w:t>
        <w:br/>
        <w:t>18. The other market affected by the acquisition of MM is that of the distribution of insurance products on a provincial basis (with particular regard to CVT and RCA policies).</w:t>
        <w:br/>
        <w:t>19. According to the established orientation of the Authority, each insurance branch of the damage and life sectors represents a distinct market. This distinction is mainly based on the object of the service provided, the risks assumed, and the insurance coverage objective expressed by the demand of each branch. Within each branch, it is possible to distinguish a production phase with a national geographical dimension and a distribution phase within provincial boundaries.</w:t>
        <w:br/>
        <w:t>1 See, in this regard, the Commission Communication on restrictions directly related and necessary to concentrations (O.J. EU 2005/C-56/03 of March 5, 2005).</w:t>
      </w:r>
    </w:p>
    <w:p>
      <w:r>
        <w:t>BULLETIN NO. 50 OF DECEMBER 20, 2021 41</w:t>
        <w:br/>
        <w:t>20. The operation in question does not result in any overlap as MM is a single-mandate insurance agency that currently carries out all its activities in the interest of the Unipol group. Furthermore, MM's position in the distribution markets of CVT and RCA policies in the province of Milan in which it operates is not significant, being less than [1-5%] (years 2018 and 2019), while Unipol's position (including that of MM) is [20-25%].</w:t>
        <w:br/>
        <w:t>21. In light of the above, the communicated operation, regardless of the exact product and/or geographical dimension of the market, does not appear capable of significantly altering the existing competitive conditions in the relevant markets. Therefore, considering that there are no horizontal overlaps between the market shares of the Buyer and the Acquired Companies, nor issues of market share growth in the insurance sector, nor potential foreclosure issues arising from vertical or conglomerate ties, the operation in question does not appear suitable to significantly modify the competitive dynamics in the relevant markets.</w:t>
        <w:br/>
        <w:t>CONSIDERING, therefore, that the operation in question does not entail, pursuant to Article 6, paragraph 1, of Law No. 287/1990, the establishment or strengthening of a dominant position in the relevant markets, such as to eliminate or substantially and durably reduce competition;</w:t>
        <w:br/>
        <w:t>CONSIDERING, furthermore, that the non-competition obligations between the parties are ancillary to this operation only to the limits described above and that the Authority reserves the right to evaluate the aforementioned agreements that exceed the indicated limits;</w:t>
        <w:br/>
        <w:t>RESOLVES</w:t>
        <w:br/>
        <w:t>not to initiate the investigation referred to in Article 16, paragraph 4, of Law No. 287/1990.</w:t>
        <w:br/>
        <w:t>The conclusions above will be communicated, pursuant to Article 16, paragraph 4, of Law No. 287/1990, to the interested companies and the Minister of Economic Development.</w:t>
        <w:br/>
        <w:t>The measure will be published in the Bulletin of the Italian Competition Authority.</w:t>
        <w:br/>
        <w:t>THE SECRETARY GENERAL THE PRESIDENT</w:t>
        <w:br/>
        <w:t>Filippo Arena Roberto Rustichelli</w:t>
      </w:r>
    </w:p>
    <w:p>
      <w:r>
        <w:rPr>
          <w:b/>
        </w:rPr>
        <w:t>[Pages 40–42]</w:t>
      </w:r>
    </w:p>
    <w:p>
      <w:r>
        <w:t>42 BULLETIN NO. 50 OF DECEMBER 20, 2021</w:t>
        <w:br/>
        <w:t>REPORTING AND CONSULTATIVE ACTIVITY</w:t>
        <w:br/>
        <w:t>AS1804 - MUNICIPALITY OF VIMODRONE (MI)/INTERPRETATION OF SOME PROVISIONS CONTAINED IN THE CONSOLIDATED TEXT ON PUBLICLY CONTROLLED COMPANIES</w:t>
        <w:br/>
        <w:t>Rome, November 15, 2021</w:t>
        <w:br/>
        <w:t>Municipality of Vimodrone</w:t>
        <w:br/>
        <w:t>With reference to the request for an opinion sent by the Municipality of Vimodrone, the Italian Competition Authority, in its meeting of November 4, 2021, resolved to carry out, pursuant to Article 22 of Law No. 287 of October 10, 1990, the considerations set forth below, regarding the interpretation of certain provisions of Legislative Decree No. 175 of August 19, 2016, containing the Consolidated Text on Publicly Controlled Companies (also "TUSPP").</w:t>
        <w:br/>
        <w:t>The starting assumption of the questions is based on the doubts raised by the Municipality of Vimodrone regarding the configurability of its in-house companies as "publicly controlled companies," pursuant to Article 2, paragraph 1, letters b) and m) of the TUSPP.</w:t>
        <w:br/>
        <w:t>It is first asked whether, in the event that the described in-house companies decide to acquire a stake in an already established company and/or to increase their stake in a company already participated in by them, the member municipalities should apply Articles 5, 7, and 8 of the TUSPP.</w:t>
        <w:br/>
        <w:t>To answer this question, it is necessary to verify whether the in-house companies in question fall within the category of so-called "publicly controlled companies" and whether, therefore, their participation in another company represents an indirect participation on the part of the controlling municipalities.</w:t>
        <w:br/>
        <w:t>It should be noted that, also in light of the orientations established by the Court of Auditors, the definition of "control" contained in the TUSPP is broader than that of civil law. This assertion is first confirmed by Article 2, paragraph 1, letter b), of the TUSPP, according to which "control" can exist, in addition to the situations described in Article 2359 of the Civil Code (majority of share capital, availability of sufficient votes to exercise dominant influence in ordinary assembly or contractual relationships having the same effect) "also when, in application of legal or statutory provisions or shareholders' agreements, unanimous consent of all parties sharing control is required for strategic financial and managerial decisions related to the corporate activity." It follows that, in the presence of unanimous consent from the shareholders who "share control," even a public administration holding a minimal share of the share capital can exercise control power. Furthermore, the subsequent letter m) of Article 2 identifies "publicly controlled companies" as those in which the control powers referred to in letter b) are exercised "... by one or more administrations."</w:t>
        <w:br/>
        <w:t>The Joined Sections of the Court of Auditors have then clarified that the notion of "publicly controlled company" contained in the TUSPP cannot, however, be derived in the presence of a mere, fragmented, majority public participation, as a form of institutionalized coordination among the public administrations that are shareholders is also required, capable of influencing the managerial and strategic choices of the company and resulting from legal, statutory provisions or shareholders' agreements (Judgment No. 25 of July 29, 2019).</w:t>
        <w:br/>
        <w:t>From the above, it follows that multi-participated in-house companies - such as those subject to the opinion request in question - can certainly qualify as "publicly controlled companies," by virtue of the fact that the presence of joint analogous control, a necessary requirement for the very configurability of in-house, presupposes that the shareholder administrations are effectively able to influence the strategic decisions of the companies. This conclusion is also shared by the MEF, which, in the Guidelines entitled "Guidelines for Compliance with the Review and Census of Public Participation," of November 20, 2019, highlights that "Obviously, companies in-house subject to analogous control and joint analogous control, as well as companies with total public participation, are also considered publicly controlled."</w:t>
        <w:br/>
        <w:t>Clarifying the above, since "indirect participation" is understood, based on Article 2, paragraph 1, letter g), of the TUSPP, as participation in a company held through companies subject to "control" (as defined above), it must be considered that any participations held by in-house companies are undoubtedly qualifying as indirect participations held by the municipalities controlling the in-house company.</w:t>
        <w:br/>
        <w:t>Therefore, if the aforementioned in-house companies decide to establish a new company and/or to acquire a stake in an already established company and/or to increase their shareholding in a company already participated in by them, the member municipalities, acquiring indirect participations, should apply Articles 5 (which expressly refers to indirect participations), 7, and 8 of the TUSPP.</w:t>
        <w:br/>
        <w:t>In the event that the aforementioned companies were listed (for having issued financial instruments, other than shares, listed on regulated markets), the provisions of the TUSPP that have public administrations as direct addressees and not the listed companies would still apply, including the provisions of Articles 5, 7, and 8 of the TUSPP.</w:t>
        <w:br/>
        <w:t>The cited provisions would also be applicable if the indicated in-house companies decided, as hypothesized by the requesting Municipality, to submit a project finance proposal pursuant to Articles 183 et seq. of Legislative Decree No. 50 of April 18, 2016 (Public Contracts Code, or "CCP"), providing, in the event of award, for the establishment of a project company pursuant to Article 184 of the CCP. In this case, it would indeed involve the acquisition of indirect participations by the interested municipalities, according to the reconstruction illustrated above.</w:t>
        <w:br/>
        <w:t>Regarding the timing for implementing the procedures referred to in the cited Articles 5 and 7 of the TUSPP, it is believed that it is up to the entity itself to determine whether it is more appropriate to execute them before participating in the project finance procedure or only following any award. In both cases, the adoption of a resolution will be necessary, which, in accordance with Article 5 of the TUSPP, contains a complete and analytical motivation regarding the necessity of the company for pursuing the institutional purposes of the entity, highlighting, also, the reasons and purposes that justify this choice, including on the grounds of economic convenience and financial sustainability as well as direct or outsourced management of the entrusted service. The motivation must also account for the compatibility of the choice with the principles of efficiency, effectiveness, and economy of administrative action and the compatibility of the intervention with European regulations on state aid.</w:t>
        <w:br/>
        <w:t>Furthermore, if, for participation in a project finance procedure, the in-house companies mentioned above foresee resorting to a temporary grouping of enterprises pursuant to Article 48 of the CCP, with one or more private economic operators and depending on the subsequent possible establishment of the project company, it is believed that the identification of such economic operators should be carried out in a transparent and non-discriminatory manner, so as to allow potentially interested private parties to express their interest in participating in the project financing.</w:t>
        <w:br/>
        <w:t>Such operators and the related finance project would then still be subject to evaluation by the contracting administration within the project financing procedure, after which, in the event of an award, the parties may establish the related project company. It remains firm that the establishment of such a company must respect the principle of immutability of the contractor established in a grouping (so as to avoid the calling of a new tender).</w:t>
        <w:br/>
        <w:t>The establishment of the new company must, in any case, be communicated to the Authority pursuant to Article 5, paragraph 3, of the TUSPP.</w:t>
      </w:r>
    </w:p>
    <w:p>
      <w:r>
        <w:rPr>
          <w:b/>
        </w:rPr>
        <w:t>[Pages 43–45]</w:t>
      </w:r>
    </w:p>
    <w:p>
      <w:r>
        <w:t>BULLETIN NO. 50 OF DECEMBER 20, 2021 45</w:t>
        <w:br/>
        <w:t>It should finally be noted that, in order to ensure the maintenance of the requirements for in-house assignment, the aforementioned companies must first verify that any assignment of the activity subject to project financing does not undermine the requirement that over 80% of the turnover must be generated in the performance of the tasks assigned by the member municipalities (as provided for by Article 16 of the TUSPP and Article 5 of the CCP). Otherwise, it will be necessary to adopt, following the award, the measures suitable to make the supply compatible with the regulatory provisions.</w:t>
        <w:br/>
        <w:t>Moreover, it should be considered that, based on Article 16, paragraph 3-bis, of the TUSPP, the production exceeding the turnover limit of 80%, which may also be directed towards different purposes, is permitted only on the condition that it allows for achieving economies of scale or other efficiency gains on the overall main activity of the company.</w:t>
        <w:br/>
        <w:t>This opinion will be published in the Bulletin of the Italian Competition Authority. Any confidentiality needs must be communicated to the Authority within thirty days from the receipt of this opinion, specifying the reasons.</w:t>
        <w:br/>
        <w:t>THE PRESIDENT</w:t>
        <w:br/>
        <w:t>Roberto Rustichelli</w:t>
      </w:r>
    </w:p>
    <w:p>
      <w:r>
        <w:t>46 BULLETIN NO. 50 OF DECEMBER 20, 2021</w:t>
        <w:br/>
        <w:t>AS1805 - ITALY PLAN AT 1 GIGA</w:t>
        <w:br/>
        <w:t>Rome, December 3, 2021</w:t>
        <w:br/>
        <w:t>Minister for Technological Innovation and Digital Transition</w:t>
        <w:br/>
        <w:t>Minister of Economic Development</w:t>
        <w:br/>
        <w:t>The Authority, in the meeting of November 30, 2021, resolved to express an opinion pursuant to Article 22 of Law No. 287 of October 10, 1990, regarding the intervention plan "Italy at 1 Giga" in implementation of the Italian Strategy for Ultra-Broadband "Towards the Gigabit Society."</w:t>
        <w:br/>
        <w:t>Preliminarily, appreciation is expressed regarding the presence of a comprehensive intervention plan based on different pillars (support for supply, support for demand, public connectivity) that can jointly support the country's infrastructure project. This appears necessary both in light of the objectives of the European connectivity strategy for a competitive single market1 – which foresee that by 2025 all European households, in rural and urban areas, will have access to Internet connectivity offering a downlink of at least 100 Mbps, upgradeable to Gigabit speeds2 – and the new European strategic objectives stated on March 9, 20213 – according to which by 2030 all European households must be reached by Gigabit connections.</w:t>
        <w:br/>
        <w:t>Therefore, the new Government strategy, which aims to ensure a fixed network connection speed of at least 1 Gbit/s throughout the national territory by 2026, ahead of the European objectives set for 2030, can only be viewed positively.</w:t>
        <w:br/>
        <w:t>In this context, the Authority considers it necessary for the plan to be adequately structured in order to avoid risks to competition, as well as in accordance with the European Union Guidelines for the application of State aid rules in relation to the rapid development of broadband networks4.</w:t>
        <w:br/>
        <w:t>1 See Commission Communication to the European Parliament, the Council, the European Economic and Social Committee, and the Committee of the Regions, "Connectivity for a competitive digital single market: towards a European Gigabit society" (COM(2016)587).</w:t>
        <w:br/>
        <w:t>2 Gigabit connectivity refers to symmetrical and affordable Internet connectivity capable of offering a downlink and an uplink of at least 1 Gbps.</w:t>
        <w:br/>
        <w:t>3 Commission Communication to the European Parliament, the Council, the European Economic and Social Committee, and the Committee of the Regions, Digital Compass 2030: the European model for the digital decade (COM(2021) 118 final).</w:t>
        <w:br/>
        <w:t>4 See Commission Communication, European Union Guidelines for the application of State aid rules in relation to the rapid development of broadband networks (2013/C 25/01), which provides that every aid measure must satisfy the following conditions to be compatible with the internal market: i) contribution to achieving common interest objectives; ii) inability of the market to provide the service due to market failures or significant disparities; iii) adequacy of State aid as a policy instrument; iv) existence of the incentive effect; v) limitation of the aid to the minimum necessary; vi) limited negative effects; and vii) transparency.</w:t>
      </w:r>
    </w:p>
    <w:p>
      <w:r>
        <w:t>BULLETIN NO. 50 OF DECEMBER 20, 2021 47</w:t>
        <w:br/>
        <w:t>Previous experiences, in fact, lead to the belief that there is a risk of distorting competition without achieving an actual development of the country's infrastructure, while simultaneously failing to meet the requirement of a "qualitative leap"5.</w:t>
        <w:br/>
        <w:t>Therefore, the Authority considers it appropriate to make some observations regarding the proposed Italy at 1 Giga Plan and, in particular, regarding: (i) the possibility of allocating any residual resources to measures aimed at incentivizing demand for ultra-broadband connectivity or to other measures or initiatives suitable for promoting the adoption of services based on the most advanced and high-performance technology by users; (ii) the choice of the performance intervention threshold set at 300 Mbit/s stable in download and the technologies used; (iii) the number and sizing of the tender lots and the presence of any constraints on the award; (iv) the active and passive products made available by the winning operator; (v) the mechanisms deemed suitable to ensure compliance with deadlines by the awardee and for the realization of the private investments declared during mapping.</w:t>
        <w:br/>
        <w:t>Incentivization of demand</w:t>
        <w:br/>
        <w:t>Regarding the possibility of allocating any residual resources to measures aimed at incentivizing demand for ultra-broadband connectivity, the Authority highlights that it has expressed some reservations6 about the Voucher Plan, concerning the provision of a speed requirement of 30 Mbps which, due to the cost structure and the already extensive presence of connections that guaranteed such quality, would have resulted in an advantage for a single technology and for a single operator, discouraging dynamic competition based on investments7.</w:t>
        <w:br/>
        <w:t>The partial results of Phase I of the aforementioned Voucher Plan appear to confirm that the quality requirement is a decisive element, both for achieving infrastructure objectives and for determining real competition among technologies and operators, in compliance with a substantial principle of technological neutrality. In fact, according to Infratel data as of April 30, 2021, over 80% of aid funds, in order to be compatible with the internal market, must meet the following conditions: i) contribution to achieving common interest objectives; ii) inability of the market to provide the service due to market failures or significant disparities; iii) adequacy of State aid as a policy instrument; iv) existence of the incentive effect; v) limitation of the aid to the minimum necessary; vi) limited negative effects; and vii) transparency.</w:t>
        <w:br/>
        <w:t>5 See again, Commission Communication, European Union Guidelines for the application of State aid rules in relation to the rapid development of broadband networks (2013/C 25/01).</w:t>
        <w:br/>
        <w:t>6 See Report, pursuant to Article 21 of Law No. 287 of October 10, 1990, of July 1, 2020, AS1683 – Critical issues regarding the development of fixed and mobile ultra-broadband telecommunications infrastructure in Bulletin No. 28/2020; Opinion, pursuant to Article 22 of Law No. 287 of October 10, 1990, of September 1, 2020, No. AS1696 – Voucher Plan for ultra-broadband connectivity, in Bulletin No. 37/2020.</w:t>
        <w:br/>
        <w:t>7 See Opinion, pursuant to Article 22 of Law No. 287 of October 10, 1990, of September 1, 2020, No. AS1696 – Voucher Plan for ultra-broadband connectivity, in Bulletin No. 37/2020: “Generalized interventions that include solutions with speeds below 100 Mbps would risk undermining the dynamics of competition among operators – favoring entities that do not make investments and leverage their historically held position on the copper network – and would compromise the process of modernization of electronic communication networks in Italy. Indeed, the provision of economic support for connections below 100 Mbps would lead to the preferential adoption of connections with such speeds, to the detriment of faster connections that require greater investments. In fact, less performing technologies have a lower wholesale cost and, therefore, operators might favor such technologies which – at the same retail price – guarantee higher margins. This would lead consumers to adopt slower connections, as their cost will be covered by vouchers for a longer period. In this way, the inertial process currently observed in Italy will be amplified, consisting in the fact that the adoption rate of such ultra-broadband technologies is lower than the percentage of real estate units reached.”</w:t>
      </w:r>
    </w:p>
    <w:p>
      <w:r>
        <w:rPr>
          <w:b/>
        </w:rPr>
        <w:t>[Pages 46–48]</w:t>
      </w:r>
    </w:p>
    <w:p>
      <w:r>
        <w:t>48 BULLETIN NO. 50 OF DECEMBER 20, 2021</w:t>
        <w:br/>
        <w:t>provided or reserved have concerned FTTC technology. Furthermore, more than 70% of the vouchers have benefited a single operator.</w:t>
      </w:r>
    </w:p>
    <w:p>
      <w:r>
        <w:t>It is therefore hoped that any potential generalized support interventions for the demand of families and businesses will be modified to require, as a condition for access, speeds exceeding 100 Mbps or – in order to comply with the new guidelines of the Italy 1 Giga Plan – a speed exceeding 300 Mbps. The demand support measure could also provide for a differentiated amount depending on the speed (100 or 300 Mbps) to take into account the difference in costs for the provision of higher capacity networks.</w:t>
      </w:r>
    </w:p>
    <w:p>
      <w:r>
        <w:t>Still regarding demand, it is noted that another desirable intervention, which would not have any impact on public spending, relates to the reduction of barriers to user mobility: competition for customer acquisition is indeed a significant tool for increasing quality.</w:t>
      </w:r>
    </w:p>
    <w:p>
      <w:r>
        <w:t>The Authority has already hoped for a legislative intervention aimed at eliminating the effects of contractual lock-in that make customer migration extremely costly for excessively long periods, even exceeding 30-48 months, paralyzing customers with less recent technologies, by amending the current regulations, in order to prevent operators from imposing significant fees in the event of early termination by consumers.</w:t>
      </w:r>
    </w:p>
    <w:p>
      <w:r>
        <w:t>It is also considered desirable to standardize the procedures for the portability of fixed numbers, given that, in practice, some operators do not allow the migration of the telephone number and/or require users to inform the originating operator of the termination of the telephone contract.</w:t>
      </w:r>
    </w:p>
    <w:p>
      <w:r>
        <w:t>The definition of rules and certain timelines for the migration of fixed telephone numbers could lead to a reduction in administrative barriers to user mobility.</w:t>
      </w:r>
    </w:p>
    <w:p>
      <w:r>
        <w:t>8 See Report, pursuant to Article 21 of Law No. 287 of October 10, 1990, of July 1, 2020, AS1683 – Critical issues regarding the development of fixed and mobile ultra-broadband telecommunications infrastructures in Bulletin No. 28/2020.</w:t>
      </w:r>
    </w:p>
    <w:p>
      <w:r>
        <w:t>9 In particular, Article 1 of Decree-Law No. 7 of January 31, 2007, converted with amendments by Law No. 40 of April 2, 2007, first provided for "the contractor's right to withdraw from the contract or transfer the services to another operator without time constraints or unjustified delays and without costs not justified by the operator's costs." Law No. 124 of August 4, 2017 (hereinafter "Competition Law"), which integrates the regulation on termination costs initially provided for by the aforementioned decree, added a new paragraph to Article 1, paragraph 3, as well as the new paragraph 3-ter. With the Competition Law, the legislator has: i) confirmed the general principle that users cannot be charged "costs not justified by the operators' costs" (Article 1, paragraph 3); ii) specified that termination costs must be "commensurate with the value of the contract and the costs actually incurred by the company, or the costs incurred to disconnect the telephone line or transfer the service." However, according to AGCOM Resolution No. 487/18/CONS, the return of discounts in the event of termination "cannot apply (even in cases where it is technically possible, for example for devices and for the activation of the line) the principle of commensuration to the actual costs incurred by the company, as the text of the Decree shows that this principle refers exclusively to the costs incurred by the operator to disconnect the telephone line or transfer the service."</w:t>
      </w:r>
    </w:p>
    <w:p>
      <w:r>
        <w:t>10 In fact, it is noted that it is market practice to impose activation and equipment supply charges well above the actual costs incurred. These charges are then discounted and/or amortized while simultaneously imposing on consumers a contractual permanence obligation that can last up to 48 months, under penalty of applying fees to compensate for such discounts or to settle such installments. Since these activation charges do not correspond to the actual costs of providing activation services, assistance, and the necessary equipment, such tariff mechanisms effectively prevent consumers from terminating the contract without costs not justified by the operator's costs. It would therefore be appropriate to introduce a time limit (for example, 12 months) and an economic limit (for example, one month's payment) on the application of costs for the services and equipment provided with the line.</w:t>
      </w:r>
    </w:p>
    <w:p>
      <w:r>
        <w:t>BULLETIN NO. 50 OF DECEMBER 20, 2021 49</w:t>
        <w:br/>
        <w:t>Intervention Threshold</w:t>
        <w:br/>
        <w:t>Regarding the choice of the intervention threshold of the Plan, as mentioned, the new Government strategy aims to ensure by 2026 a connection speed of fixed networks of at least 1 Gbit/s across the entire national territory, ahead of the European targets set for 2030.</w:t>
      </w:r>
    </w:p>
    <w:p>
      <w:r>
        <w:t>In this regard, it should be noted that, currently, in Italy, out of 19.88 million lines, broadband and ultra-broadband accesses amount to 18.4 million. The DSL technologies represent about 25% of the total of broadband and ultra-broadband lines, while the remaining accesses are represented by FTTC lines (53%), FTTH (12%), and FWA (9%). DSL technologies have experienced a 25.5% reduction in their presence on an annual basis, while FTTH technologies have seen an increase of more than 50% in their adoption during the same period. Furthermore, as is known, a large part of the white areas is or will be covered by FTTH connections due to the public project for the infrastructure of the white areas.</w:t>
      </w:r>
    </w:p>
    <w:p>
      <w:r>
        <w:t>In light of this context and, in general, of the objectives of the aforementioned Italian Strategy, the Authority believes that the intervention threshold should be carefully evaluated to avoid favoring less performing technologies with lower resilience to the future, but at a lower cost. In fact, as observed for Phase I of the Voucher Plan, the provision of a lower speed threshold would only reward the less expensive technologies (such as FWA and mixed copper-fiber technologies) and less responsive to future changes. This circumstance, however, would frustrate dynamic competition, as it would reward entities that can leverage historical infrastructures and would also distort static competition, as it would confer an advantage to certain operators without a real benefit in terms of quality infrastructure, as such cheaper technologies would be adopted even without public intervention.</w:t>
      </w:r>
    </w:p>
    <w:p>
      <w:r>
        <w:t>The Authority therefore agrees with the identification of a performance threshold of 300 Mbps and observes that it may be, in any case, appropriate to provide, for the purposes of evaluating offers, the attribution of a technical score that rewards: i) the willingness to offer speeds exceeding 1 Gbps right away; ii) the possibility that the technology already has standards capable of supporting speeds exceeding 2.5 Gbps; iii) the degree of resilience of the network – in terms of maintaining service levels – as the density of network adoption increases.</w:t>
      </w:r>
    </w:p>
    <w:p>
      <w:r>
        <w:t>Furthermore, with specific reference to FWA technologies, the Authority hopes to achieve a high level of detail on investment plans, due to the fact that stable speed depends on various elements, such as the orographic characteristics of the territory, usage density, the frequency band used, the prevailing weather conditions in the area, and the presence of obstacles to electromagnetic transmission.</w:t>
      </w:r>
    </w:p>
    <w:p>
      <w:r>
        <w:t>Tender Lots</w:t>
        <w:br/>
        <w:t>Regarding the number and size of the tender lots, the Authority hopes for reasonable planning that takes into account the specific characteristics of the affected market (namely a concentrated market with dimensional asymmetry between the two main operators and other competitors), the configuration of the territory, and the number of housing units to be reached, identifying a number and size of lots suitable to allow the widest participation even to smaller operators, who can nonetheless express adequate investment capacity in the local territories where they are rooted.</w:t>
      </w:r>
    </w:p>
    <w:p>
      <w:r>
        <w:t>In order to encourage the widest participation in the tender, an appropriate limit could be set on the number of lots that each operator can win. This would avoid excessive fragmentation of the lots, safeguarding infrastructure competition in the areas subject to intervention.</w:t>
      </w:r>
    </w:p>
    <w:p>
      <w:r>
        <w:t>Products to be Made Available</w:t>
        <w:br/>
        <w:t>Regarding the products to be made available, it is considered useful to emphasize the importance of an end-to-end disaggregated passive access, in which operators can independently manage activation and maintenance services.</w:t>
      </w:r>
    </w:p>
    <w:p>
      <w:r>
        <w:t>It would also be appropriate that the technical and economic access conditions, once defined by the Authority for Communications Guarantees, be subject to competitive comparison in the tender, by assigning a specific technical score for the proposals of operators with the best technical-economic profile, thus allowing competition on these variables as well.</w:t>
      </w:r>
    </w:p>
    <w:p>
      <w:r>
        <w:t>Finally, it would be necessary to define a standard for the databases related to the network resources of the covered premises available for wholesale sale, to allow operators accessing the funded infrastructure to easily acquire wholesale access services uniformly, thus reducing the risks of increased administrative costs due to the presence of various awardees.</w:t>
      </w:r>
    </w:p>
    <w:p>
      <w:r>
        <w:t>Delays in the Implementation of Investment Plans</w:t>
        <w:br/>
        <w:t>In order to ensure the realization of the works provided for by the Plan, it would be advisable to include stringent penalties in the procurement contracts in the event of repeated and extensive delays (which, by way of example, affect a certain threshold of the units to be cabled) attributable to the awardee.</w:t>
      </w:r>
    </w:p>
    <w:p>
      <w:r>
        <w:t>Also in this perspective, in the aforementioned contracts, express resolutory clauses could be introduced, referring to the non-fulfillment of specific performances subject to the contract.</w:t>
      </w:r>
    </w:p>
    <w:p>
      <w:r>
        <w:t>Finally, it would be appropriate to provide in the award contracts the possibility of extending the execution of the contract to additional performances in the areas adjacent to those of the award, for a maximum of 1/5 of the units to be connected, at the same cost. With this option, it would be possible, in the event of non-fulfillment by another awardee and/or failure to implement the investment plan by the operators consulted in the public consultation, to complete the coverage without further delays attributable to the need to initiate a new procedure for the disbursement of the contributions of the Plan.</w:t>
      </w:r>
    </w:p>
    <w:p>
      <w:r>
        <w:t>In this sense, it also seems appropriate to introduce mechanisms for continuous monitoring of network infrastructures, through a standardized database in which each operator, for each registered property, constantly enters information relating, among other things, to the networks reached, the type, the planning of any new networks, and the state of realization.</w:t>
      </w:r>
    </w:p>
    <w:p>
      <w:r>
        <w:t>Indeed, a continuous and standardized flow of data would allow for easier monitoring of the status of investments and would enable timely corrective actions to be taken.</w:t>
      </w:r>
    </w:p>
    <w:p>
      <w:r>
        <w:rPr>
          <w:b/>
        </w:rPr>
        <w:t>[Pages 49–51]</w:t>
      </w:r>
    </w:p>
    <w:p>
      <w:r>
        <w:t>BULLETIN NO. 50 OF DECEMBER 20, 2021 51</w:t>
        <w:br/>
        <w:t>Moreover, these are tools for quick and easy implementation, given that the main wholesale operators already have databases suitable to be used as a model for the launch of the standardized database.</w:t>
      </w:r>
    </w:p>
    <w:p>
      <w:r>
        <w:t>With reference to the activity of surveying the investment plans of telecommunications operators, there is agreement on the use of tools that reduce the risk that such investment plans are not actually realized. In order to avoid a distorted use of the mapping process of the civic addresses subject to investment by telecommunications operators, as already occurred in the white areas, it is deemed appropriate to make the plans of telecommunications operators binding through the conclusion of framework agreements that provide for adequate penalties or through the introduction of specific regulatory provisions.</w:t>
      </w:r>
    </w:p>
    <w:p>
      <w:r>
        <w:t>Regarding the failure to implement the announced investment plans by telecommunications operators, taking into account the proposed mechanism for extending the execution of the procurement contract, a penalty for non-compliance with the investment plan indicated during mapping could be identified as an amount directly linked to the greater public economic burden incurred for covering the additional areas. The quantification of such burden could possibly be correlated to the increased expenditure resulting from the use of the extension mechanism for a maximum of 1/5 of the additional areas. Furthermore, the mechanisms for continuous monitoring of network infrastructure, as mentioned above, could constitute a significant tool for monitoring any failure to realize the investments indicated during mapping.</w:t>
      </w:r>
    </w:p>
    <w:p>
      <w:r>
        <w:t>Conclusions</w:t>
        <w:br/>
        <w:t>In conclusion, the Authority appreciates the objectives of the Italy 1 Giga Plan and hopes that the proposed corrections may provide a useful impetus to help identify the most suitable bidding strategy to ensure competitive comparison.</w:t>
      </w:r>
    </w:p>
    <w:p>
      <w:r>
        <w:t>In particular, careful definition of the intervention threshold and the technological solutions that best ensure static and dynamic competition in the telecommunications markets, both retail and wholesale, is deemed appropriate.</w:t>
      </w:r>
    </w:p>
    <w:p>
      <w:r>
        <w:t>It is also desirable to adopt measures aimed at promoting user mobility, thereby supporting technological renewal through a competitive process.</w:t>
      </w:r>
    </w:p>
    <w:p>
      <w:r>
        <w:t>This opinion will be published in the Bulletin of the Italian Competition Authority.</w:t>
      </w:r>
    </w:p>
    <w:p>
      <w:r>
        <w:t>THE PRESIDENT</w:t>
        <w:br/>
        <w:t>Roberto Rustichelli</w:t>
      </w:r>
    </w:p>
    <w:p>
      <w:r>
        <w:t>52 BULLETIN NO. 50 OF DECEMBER 20, 2021</w:t>
        <w:br/>
        <w:t>AS1806 - SUPPORT DECREES BIS/COMPETITION CRITICALITIES DERIVING FROM THE REGULATION OF PRIVATE COPY REMUNERATION IN THE AUDIO SECTOR</w:t>
        <w:br/>
        <w:t>Rome, December 13, 2021</w:t>
        <w:br/>
        <w:t>President of the Senate of the Republic</w:t>
        <w:br/>
        <w:t>President of the Chamber of Deputies</w:t>
        <w:br/>
        <w:t>President of the Council of Ministers</w:t>
        <w:br/>
        <w:t>Minister of Culture</w:t>
        <w:br/>
        <w:t>The Italian Competition Authority, in its meeting of November 25, 2021, intended to formulate some observations, pursuant to Article 21 of Law No. 287 of October 10, 1990, regarding the competition criticalities arising from the regulation of private copy remuneration in the audio sector referred to in Article 71-octies,1 of Law No. 633 of April 22, 1941 (hereinafter also referred to as "LdA"), as amended by Article 65 of Decree Law No. 73 of May 25, 2021, "Urgent measures related to the COVID-19 emergency, for businesses, work, youth, health, and local services," converted into law, with amendments, by Law No. 106 of July 23, 2021.</w:t>
      </w:r>
    </w:p>
    <w:p>
      <w:r>
        <w:t>Article 65 of Decree Law No. 73/2021, as is known, amended Article 71-octies, paragraph 1, LdA specifying that the management of private copy remuneration in the audio sector may also occur through the companies that carry out activities of intermediation of rights related to copyright as per Legislative Decree No. 35 of March 15, 2017.</w:t>
      </w:r>
    </w:p>
    <w:p>
      <w:r>
        <w:t>The Authority positively evaluates the regulatory modification introduced which – in the absence of a comprehensive reform of copyright law following the regulatory evolution triggered by the Barnier Directive, implemented in Italy precisely by Legislative Decree No. 35/2017 – helps clarify that private copy remuneration also falls within the scope of activities of the companies that carry out intermediation activities as per Legislative Decree No. 35/2017; these latter can, in fact, directly approach SIAE for the distribution of private copy remuneration in the audio sector intended for authors, producers of phonograms, and artists, interpreters, and performers who have entrusted their mandate to a specific intermediation company regularly registered in the appropriate register kept by AGCom, thus reducing the distribution times downstream of private copy remuneration to individual entitled parties and improving the quality of intermediation services offered.</w:t>
      </w:r>
    </w:p>
    <w:p>
      <w:r>
        <w:t>Although the overcoming of monopolistic regimes, first in the management of related rights and then in the management of copyright, already imposes a reinterpretation of the regulations referred to in Articles 71-sexies and following, LdA, regarding the management of private copy rights, in line with the Barnier Directive and Legislative Decree No. 35/2017 and, therefore, aimed at recognizing intermediation companies an active role also in this sector, any intervention aimed at bringing clarity, organicity, and homogeneity to the sector regulation can only yield positive effects.</w:t>
      </w:r>
    </w:p>
    <w:p>
      <w:r>
        <w:t>Moreover, Article 65 of the aforementioned decree law has acknowledged a reality already established in the market, given that the intermediation companies referred to in Legislative Decree No. 35/2017 already play a very important role in the management of private copy remuneration in the audio sector, intermediating almost all of it.</w:t>
      </w:r>
    </w:p>
    <w:p>
      <w:r>
        <w:t>In the perspective of providing a useful contribution to the pro-competitive evolution of the entire relevant sector, the Authority notes that the action of harmonization and regulatory updating of the audio sector must necessarily be extended to the regulation of private copy remuneration in the video sector, referred to in Article 71-octies, paragraph 3. At the current state, in fact, the regulatory modification referred to here facilitates erroneous interpretations of the current legislation aimed at discriminating against operators in the video sector or, on one side, the most representative trade associations already active in the market and, on the other side, the intermediation companies that struggle to find their own space due to an anachronistic set of factors.</w:t>
      </w:r>
    </w:p>
    <w:p>
      <w:r>
        <w:t>In this regard, it is worth noting that, although there are physiological differences between the audio and video sectors, the institution of private copy, precisely by virtue of its indemnity function, should be considered neutral with respect to the specific nature of the services to which it refers as well as the mechanism for its allocation: therefore, it appears unreasonable and unjustified to have a disparity of treatment between the two sectors.</w:t>
      </w:r>
    </w:p>
    <w:p>
      <w:r>
        <w:t>That said, it is therefore clear that in the current regulatory context, both European and national, the role of trade associations, a characteristic of the purely Italian context, cannot, especially after the Barnier Directive and Legislative Decree No. 35/2017, affect, limiting it, the scope of</w:t>
      </w:r>
    </w:p>
    <w:p>
      <w:r>
        <w:rPr>
          <w:b/>
        </w:rPr>
        <w:t>[Pages 52–54]</w:t>
      </w:r>
    </w:p>
    <w:p>
      <w:r>
        <w:t>54 BULLETIN NO. 50 OF DECEMBER 20, 2021</w:t>
        <w:br/>
        <w:t>activities of intermediary companies, now regulated by European Union law and with an operational scope that exceeds national borders.</w:t>
      </w:r>
    </w:p>
    <w:p>
      <w:r>
        <w:t>For the full development of competitive dynamics and for an improvement in the quality of intermediation services, it is therefore necessary that, in the video sector, as in the audio sector, authors, original producers of audiovisual works, producers of videograms, and performing artists - that is, the categories of entitled parties indicated in Article 71-octies, paragraph 3, of the Copyright Law - can freely choose the intermediation company to which to entrust the management of private copying remuneration, similarly to what has long been happening for the management of copyright and related rights, as established by the Barnier Directive and Legislative Decree No. 35/2017.</w:t>
      </w:r>
    </w:p>
    <w:p>
      <w:r>
        <w:t>Moreover, the aforementioned alignment already finds its expression in secondary legislation, since paragraph 3 of the Ministerial Decree of September 5, 2018, provides for the direct distribution to collecting societies by SIAE of the AIE share of the video private copying remuneration, without providing any threshold of representativeness on their part.</w:t>
      </w:r>
    </w:p>
    <w:p>
      <w:r>
        <w:t>The possible distortions arising from the regulatory asymmetry created between the audio sector (for which collecting societies are mentioned) and the video sector (where such explicit reference is lacking) are also aggravated and made even more limiting to competition by the provisions contained in paragraphs 3-ter and 3-quater of Article 71-octies of the Copyright Law, which assign SIAE new functions that risk undermining the competitive development of the markets for the management of audio and video private copying rights.</w:t>
      </w:r>
    </w:p>
    <w:p>
      <w:r>
        <w:t>In this regard, the Authority preliminarily expresses its competitive concerns regarding the persistence of regulatory models that reserve ex lege the performance of certain activities, such as the collection of private copying remuneration from obligated parties, to entities such as SIAE, which no longer operate under a monopoly regime, but rather in direct competition with operators active in the reference market. From this perspective, it therefore appears necessary that the performance of the aforementioned activity be entrusted to an independent and third party, to be identified following a public procurement procedure and according to selection criteria based on operational efficiency logic.</w:t>
      </w:r>
    </w:p>
    <w:p>
      <w:r>
        <w:t>That said, in light of the current market context, the creation of further positions of competitive advantage for individual entities, especially if ex-monopolists operating in a liberalized context, which are capable of altering the unfolding of competitive dynamics, is likely to lead to competitive distortions, particularly in a market such as that of managing private copying remuneration, which still struggles to evolve towards fully dynamic and competitive structures.</w:t>
      </w:r>
    </w:p>
    <w:p>
      <w:r>
        <w:t>In particular, as a result of the provisions in question, SIAE finds itself playing a dual role of controller and controlled in the markets for managing audio and video private copying rights; this grants SIAE an undue competitive advantage, particularly to the extent that it could influence the commercial and competitive conduct of its competitors.</w:t>
      </w:r>
    </w:p>
    <w:p>
      <w:r>
        <w:t>In this regard, it is recalled that the management of private copying remuneration represents the last of the three components related to the management of rights arising from creative works (namely, the management of copyright, the management of related rights, and, indeed, the management of private copying remuneration) and the compression of competitive dynamics in this area would likely have repercussions in other competitive areas related to the provision of intermediation services, negatively interfering with the overall competitive capacities of collecting societies.</w:t>
      </w:r>
    </w:p>
    <w:p>
      <w:r>
        <w:t>Moreover, the inconsistency of the role assigned to SIAE within the changes made by the Law becomes even more evident when considering that SIAE and the collecting societies operating in Italy, in order to exercise their activity in the reference market, must be registered in the appropriate list maintained by AGCOM, as they are considered, barring specific exceptions, by the legal system as entities of equal standing and in competition with each other. Additionally, Legislative Decree No. 35/2017 already identifies a series of transparency and accounting reporting obligations for collecting societies and SIAE to be submitted, on an annual basis, for review by the supervisory Authority.</w:t>
      </w:r>
    </w:p>
    <w:p>
      <w:r>
        <w:t>In conclusion, the Authority hopes that the observations made can be adequately taken into account in order to overcome the highlighted competitive issues, in particular: i) extending the regulatory clarification made to paragraph 1 of Article 71-octies of the Copyright Law regarding the management of audio private copying to the management of video private copying, through an amendment to paragraph 3 of Article 71-octies that explicitly includes the intermediation companies referred to in Legislative Decree No. 35/2017 among the entities to which SIAE can distribute the private copying remuneration collected from obligated parties, in order to distribute it to the entitled parties; ii) reformulating paragraphs 3-ter and 3-quater of Article 71-octies of the Copyright Law, in order to overcome the identified competitive issues regarding SIAE's role.</w:t>
      </w:r>
    </w:p>
    <w:p>
      <w:r>
        <w:t>This report will be published in the Bulletin referred to in Article 26 of Law No. 287/90.</w:t>
      </w:r>
    </w:p>
    <w:p>
      <w:r>
        <w:t xml:space="preserve">THE PRESIDENT </w:t>
        <w:br/>
        <w:t>Roberto Rustichelli</w:t>
      </w:r>
    </w:p>
    <w:p>
      <w:r>
        <w:rPr>
          <w:b/>
        </w:rPr>
        <w:t>[Pages 55–57]</w:t>
      </w:r>
    </w:p>
    <w:p>
      <w:r>
        <w:t>BULLETIN NO. 50 OF DECEMBER 20, 2021 57</w:t>
        <w:br/>
        <w:t>the same has been drafted with the restrictive criteria provided by the legislation prior to the amendment of 2017 and already reported by the Authority, which is no longer in force. In particular, at the time of the definition of the Table, it was provided that the number of notaries for each district should be determined taking into account also the volume of business and ensuring that, as a rule, each notarial position corresponds to a population of at least 7,000 inhabitants and an annual income, determined on the average of the last three years, of at least €50,000.00 in professional fees. Currently, such requirements have been abolished and the limit of inhabitants per notarial office has been reduced to 5,000.</w:t>
      </w:r>
    </w:p>
    <w:p>
      <w:r>
        <w:t>Considering that the failure to renew the 2013 Table is in contrast with Article 4 of the Notarial Law, which provides for its revision within a maximum period of 7 years (which has largely passed), it should be emphasized that the number of notaries in service is significantly lower than that abstractly provided by the Table, and this affects the market for notarial services by reducing the number of operators and, consequently, limiting the supply.</w:t>
      </w:r>
    </w:p>
    <w:p>
      <w:r>
        <w:t>The Authority intends, therefore, to signal the urgency of initiating new competitive procedures in order to remedy, at least in part, the significant staffing shortages highlighted above. It should be noted that, moving in this direction, to address the staffing shortages in the judiciary, Law No. 147 of October 21, 2021, which converted Decree Law No. 118/21, in Article 26-bis (Urgent measures regarding the recruitment of ordinary magistrates) has provided for extraordinary measures for the hiring of 500 ordinary magistrates.</w:t>
      </w:r>
    </w:p>
    <w:p>
      <w:r>
        <w:t>The Authority, therefore, hopes that this Ministry, in the meantime of the adjustment of the Table to the provisions of Article 4 of the Notarial Law, thus ensuring a frequency of competitive procedures that does not nullify the pro-competitive impetus underlying the redefinition of the organizational structure, will adopt as soon as possible all necessary measures to allow for the coverage of the vacant positions of the 2013 Table in use, through the announcement of new notarial competitions and the acceleration of the procedures currently underway.</w:t>
      </w:r>
    </w:p>
    <w:p>
      <w:r>
        <w:t>This communication will be published in the Bulletin of the Italian Competition Authority.</w:t>
      </w:r>
    </w:p>
    <w:p>
      <w:r>
        <w:t xml:space="preserve">THE PRESIDENT </w:t>
        <w:br/>
        <w:t>Roberto Rustichelli</w:t>
      </w:r>
    </w:p>
    <w:p>
      <w:r>
        <w:t>This Ministry has represented that, based on the current table - not yet adjusted to the provisions introduced by Law No. 124 of August 4, 2017 - the notarial offices provided are 6,270 and that 1,166 offices are vacant due to the fact that there are 5,104 notaries in practice. The current staffing is therefore lower than the existing Organizational Structure (by over 1,000 units).</w:t>
      </w:r>
    </w:p>
    <w:p>
      <w:r>
        <w:t>58 BULLETIN NO. 50 OF DECEMBER 20, 2021</w:t>
        <w:br/>
        <w:t>VARIOUS</w:t>
        <w:br/>
        <w:t>BUDGET FORECAST FOR THE FINANCIAL YEAR 2022 AND MULTIYEAR 2022-2024</w:t>
        <w:br/>
        <w:t>Measure No. 29910</w:t>
        <w:br/>
        <w:t>THE ITALIAN COMPETITION AUTHORITY</w:t>
        <w:br/>
        <w:t xml:space="preserve">IN ITS MEETING of November 25, 2021; </w:t>
        <w:br/>
        <w:t xml:space="preserve">HAVING REGARD to paragraph 7 of Article 10 of Law No. 287 of October 10, 1990; </w:t>
        <w:br/>
        <w:t xml:space="preserve">HAVING REGARD to the Regulation concerning the discipline of the accounting autonomy of the Authority published in the Special Edition of the Bulletin - supplement to No. 40/2015 of November 9, 2015, and in particular Article 17; </w:t>
        <w:br/>
        <w:t xml:space="preserve">HAVING REGARD to paragraph 7-ter of Article 10 of Law No. 287/90, introduced by paragraph 1 of Article 5-bis of Decree Law No. 1 of January 24, 2012, as amended by the conversion law of March 24, 2012, No. 27, which establishes that the burden arising from the functioning of the Italian Competition Authority is covered by a contribution equal to 0.08 per thousand of the revenue resulting from the last approved financial statements of capital companies with total revenues exceeding €50 million; </w:t>
        <w:br/>
        <w:t xml:space="preserve">HAVING REGARD to the resolution of the Authority of February 23, 2021, No. 28599, which confirmed for the year 2021, pursuant to Article 10, paragraph 7-quater of Law No. 287/90, the reduction of the contribution by 0.025 per thousand compared to the rate established by law, setting it at 0.055 per thousand of the revenue resulting from the last approved financial statements, as of the date of the same resolution, of capital companies with total revenues exceeding €50 million, without prejudice to the criteria established by paragraph 2 of Article 16 of Law No. 287/90; </w:t>
        <w:br/>
        <w:t xml:space="preserve">HAVING REGARD to the provisions for containing public spending introduced by Law No. 160 of December 27, 2019, "State budget forecast for the financial year 2020 and multiannual budget for the three-year period 2020-2022"; </w:t>
        <w:br/>
        <w:t xml:space="preserve">HAVING REGARD to Article 53, paragraph 6, letter b), of Decree Law No. 77 of May 31, 2021, concerning the Governance of the National Recovery and Resilience Plan and initial measures to strengthen administrative structures and accelerate and streamline procedures, converted into Law No. 108 of July 29, 2021, which repealed paragraphs 610, 611, 612, and 613 of Article 1 of Law No. 160 of December 27, 2019. </w:t>
        <w:br/>
        <w:t xml:space="preserve">HAVING REGARD to the draft annual budget forecast for 2022 and multiannual 2022-2024 prepared by the General Administration Directorate – Budget and Accounting Directorate and presented by the Secretary General; </w:t>
        <w:br/>
        <w:t xml:space="preserve">HAVING REGARD to the report of the Board of Auditors attached to minutes No. 217 of November 22, 2021, which expressed a favorable opinion on the approval of the draft annual budget forecast for 2022 and multiannual 2022-2024; </w:t>
        <w:br/>
        <w:t>ON THE PROPOSAL of the Secretary General;</w:t>
      </w:r>
    </w:p>
    <w:p>
      <w:r>
        <w:t>BULLETIN NO. 50 OF DECEMBER 20, 2021 59</w:t>
        <w:br/>
        <w:t xml:space="preserve">RESOLVES </w:t>
        <w:br/>
        <w:t xml:space="preserve">1. to approve the annual budget forecast for 2022 and multiannual 2022-2024 in the attached version forming an integral part of this resolution; </w:t>
        <w:br/>
        <w:t>2. to publish this resolution and the draft budget forecast for the year 2022 in the Official Gazette of the Italian Republic and on the institutional website of the Authority.</w:t>
      </w:r>
    </w:p>
    <w:p>
      <w:r>
        <w:t xml:space="preserve">THE SECRETARY GENERAL THE PRESIDENT </w:t>
        <w:br/>
        <w:t>Filippo Arena Roberto Rustichelli</w:t>
      </w:r>
    </w:p>
    <w:p>
      <w:r>
        <w:rPr>
          <w:b/>
        </w:rPr>
        <w:t>[Pages 58–58]</w:t>
      </w:r>
    </w:p>
    <w:p>
      <w:r>
        <w:t>Competition Authority Weekly Bulletin</w:t>
        <w:br/>
        <w:t>of Competition and Market Year XXXI - No. 50 - 2021</w:t>
        <w:br/>
        <w:t>Editorial Coordination Giulia Antenucci</w:t>
        <w:br/>
        <w:t>Editorial Team Valerio Ruocco, Simonetta Schettini, Manuela Villani</w:t>
        <w:br/>
        <w:t>Italian Competition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