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https://www.agcm.it/dotcmsdoc/bollettini/2024/50-24.pdf</w:t>
      </w:r>
    </w:p>
    <w:p>
      <w:r>
        <w:t>Pages translated : 22</w:t>
      </w:r>
    </w:p>
    <w:p/>
    <w:p>
      <w:r>
        <w:rPr>
          <w:b/>
        </w:rPr>
        <w:t>[Pages 1–3]</w:t>
      </w:r>
    </w:p>
    <w:p>
      <w:r>
        <w:t>Bulletin</w:t>
        <w:br/>
        <w:t>Weekly</w:t>
        <w:br/>
        <w:t>Year XXXIV - No. 50</w:t>
        <w:br/>
        <w:t>Published on the website www.agcm.it</w:t>
        <w:br/>
        <w:t>December 30, 2024</w:t>
      </w:r>
    </w:p>
    <w:p>
      <w:r>
        <w:t>SUMMARY</w:t>
        <w:br/>
        <w:t>AGREEMENTS AND ABUSE OF DOMINANT POSITION 5</w:t>
        <w:br/>
        <w:t>A568 - TRAVEL AGENCIES/RYANAIR FLIGHT BOOKINGS</w:t>
        <w:br/>
        <w:t>Decision No. 31417 5</w:t>
        <w:br/>
        <w:t>CONCENTRATION OPERATIONS 7</w:t>
        <w:br/>
        <w:t>C12655 - HONEYWELL/CIVITANAVI SYSTEMS</w:t>
        <w:br/>
        <w:t>Decision No. 31418 7</w:t>
        <w:br/>
        <w:t>C12689 - CLESSIDRA CAPITAL CREDIT SGR/SISMA</w:t>
        <w:br/>
        <w:t>Decision No. 31419 13</w:t>
        <w:br/>
        <w:t>C12691 - BANCO BPM VITA/ANIMA HOLDING</w:t>
        <w:br/>
        <w:t>Decision No. 31420 17</w:t>
        <w:br/>
        <w:t>UNFAIR TRADE PRACTICES 22</w:t>
        <w:br/>
        <w:t>PS10987B - PUBLIACQUA-BILLING ISSUES</w:t>
        <w:br/>
        <w:t>Decision No. 31421 22</w:t>
      </w:r>
    </w:p>
    <w:p>
      <w:r>
        <w:t>BULLETIN NO. 50 OF DECEMBER 30, 2024 5</w:t>
        <w:br/>
        <w:t>AGREEMENTS AND ABUSE OF DOMINANT POSITION</w:t>
        <w:br/>
        <w:t>A568 - TRAVEL AGENCIES/RYANAIR FLIGHT BOOKINGS</w:t>
        <w:br/>
        <w:t>Decision No. 31417</w:t>
        <w:br/>
        <w:t>THE ANTITRUST AUTHORITY</w:t>
        <w:br/>
        <w:t>IN ITS MEETING of December 11, 2024;</w:t>
        <w:br/>
        <w:t>HEARD the Rapporteur, Saverio Valentino;</w:t>
        <w:br/>
        <w:t>HAVING REGARD to Article 102 of the Treaty on the Functioning of the European Union (hereinafter, “TFEU”);</w:t>
        <w:br/>
        <w:t>HAVING REGARD to Regulation (EC) No. 1/2003 of the Council of December 16, 2002, concerning the application of the competition rules laid down in Articles 81 and 82 of the EC Treaty (now Articles 101 and 102 TFEU);</w:t>
        <w:br/>
        <w:t>HAVING REGARD to Law No. 287 of October 10, 1990;</w:t>
        <w:br/>
        <w:t>HAVING REGARD to the Presidential Decree No. 217 of April 30, 1998;</w:t>
        <w:br/>
        <w:t>HAVING REGARD to its resolution of September 14, 2023, No. 30772, with which an investigation was initiated, pursuant to Article 14 of Law No. 287/1990, against Ryanair DAC, the leading operator in scheduled passenger air transport on flights involving Italian airports, to ascertain a possible abuse of dominant position in violation of Article 3 of Law No. 287/1990 and/or Article 102 TFEU, consisting of preventing purchases by travel agencies, physical and/or online, of Ryanair tickets through its website and offering worse conditions through the Global Distribution System (GDS), thus hindering and/or obstructing the agencies themselves in selling the airline's tickets - which typically represent the "point of access" for the sale of additional services - in order to favor direct sales of airline tickets on its website and thereby harming the effective competition in the markets for the sale of tourism services, to the detriment of travel agencies and with negative effects on the welfare of consumers who rely on such operators;</w:t>
        <w:br/>
        <w:t>HAVING REGARD to its resolution of January 16, 2024, No. 31027, with which the procedure was subjectively extended to Ryanair Holdings Plc;</w:t>
        <w:br/>
        <w:t>HAVING REGARD to its resolution of April 3, 2024, No. 31151, with which the precautionary procedure was initiated, pursuant to Article 14-bis of Law No. 287/1990, aimed at verifying, in contradiction with the parties, the actual existence of the necessary requirements for the adoption of precautionary measures aimed at restoring and maintaining competitive conditions in the relevant market;</w:t>
        <w:br/>
        <w:t>HAVING REGARD to its resolution of May 21, 2024, No. 31203, with which the precautionary procedure was concluded, pursuant to Article 14-bis of Law No. 287/1990, without the adoption of precautionary measures;</w:t>
        <w:br/>
        <w:t>HAVING REGARD to the single-judge decree of the Lazio Regional Administrative Court of May 22, 2024, No. 2064, as well as the order of the Lazio Regional Administrative Court No. 4540 of October 9, 2024, with which the precautionary request proposed by Ryanair was accepted...</w:t>
      </w:r>
    </w:p>
    <w:p>
      <w:r>
        <w:rPr>
          <w:b/>
        </w:rPr>
        <w:t>[Pages 4–6]</w:t>
      </w:r>
    </w:p>
    <w:p>
      <w:r>
        <w:t>6 BULLETIN NO. 50 OF DECEMBER 30, 2024</w:t>
      </w:r>
    </w:p>
    <w:p>
      <w:r>
        <w:t>Dac and Ryanair Holdings Plc, thereby prohibiting, pending the merits of the case, the use and potential disclosure to third parties of the documentation acquired during the inspection;</w:t>
      </w:r>
    </w:p>
    <w:p>
      <w:r>
        <w:t>HAVING REGARD to the order of the Council of State of November 29, 2024, no. 4535, which reformed the order of the Lazio Regional Administrative Court of October 9, 2024, no. 4540, rejecting the precautionary request proposed at first instance;</w:t>
      </w:r>
    </w:p>
    <w:p>
      <w:r>
        <w:t>CONSIDERING that, pending the case in question, it was therefore not possible to access the documents acquired during the inspection;</w:t>
      </w:r>
    </w:p>
    <w:p>
      <w:r>
        <w:t>CONSIDERING the necessity to review, classify, and evaluate the documents acquired during the inspection, without prejudice to the documents allegedly covered by privilege, in order to effectively guide subsequent investigative activities;</w:t>
      </w:r>
    </w:p>
    <w:p>
      <w:r>
        <w:t>CONSIDERING that such circumstances necessitate deferring the deadline for concluding the procedure, currently set for December 31, 2024;</w:t>
      </w:r>
    </w:p>
    <w:p>
      <w:r>
        <w:t>RESOLVES</w:t>
      </w:r>
    </w:p>
    <w:p>
      <w:r>
        <w:t>to extend the deadline for concluding the procedure to December 31, 2025.</w:t>
      </w:r>
    </w:p>
    <w:p>
      <w:r>
        <w:t>This provision will be notified to the interested parties and published in the Bulletin of the Competition and Market Authority.</w:t>
      </w:r>
    </w:p>
    <w:p>
      <w:r>
        <w:t>THE SECRETARY GENERAL THE PRESIDENT</w:t>
        <w:br/>
        <w:t>Guido Stazi Roberto Rustichelli</w:t>
      </w:r>
    </w:p>
    <w:p>
      <w:r>
        <w:t>BULLETIN NO. 50 OF DECEMBER 30, 2024</w:t>
      </w:r>
    </w:p>
    <w:p>
      <w:r>
        <w:t>CONCENTRATION OPERATIONS</w:t>
        <w:br/>
        <w:t>C12655 - HONEYWELL/CIVITANAVI SYSTEMS</w:t>
        <w:br/>
        <w:t>Provision no. 31418</w:t>
      </w:r>
    </w:p>
    <w:p>
      <w:r>
        <w:t>THE COMPETITION AND MARKET AUTHORITY</w:t>
      </w:r>
    </w:p>
    <w:p>
      <w:r>
        <w:t>IN ITS MEETING of December 11, 2024;</w:t>
      </w:r>
    </w:p>
    <w:p>
      <w:r>
        <w:t>HEARD the Rapporteur, Professor Elisabetta Iossa;</w:t>
      </w:r>
    </w:p>
    <w:p>
      <w:r>
        <w:t>HAVING REGARD to Regulation (EC) no. 139/2004;</w:t>
      </w:r>
    </w:p>
    <w:p>
      <w:r>
        <w:t>HAVING REGARD to Law No. 287 of October 10, 1990;</w:t>
      </w:r>
    </w:p>
    <w:p>
      <w:r>
        <w:t>HAVING REGARD to the Presidential Decree No. 217 of April 30, 1998;</w:t>
      </w:r>
    </w:p>
    <w:p>
      <w:r>
        <w:t>HAVING REGARD to the communication from the companies Honeywell S.r.l. and Honeywell II S.r.l., received on July 15, 2024;</w:t>
      </w:r>
    </w:p>
    <w:p>
      <w:r>
        <w:t>HAVING REGARD to the request for information, sent on July 30, 2024, to the companies Honeywell S.r.l. and Honeywell II S.r.l., resulting in the suspension of deadlines pursuant to Article 5, paragraph 3, of the Presidential Decree No. 217 of April 30, 1998;</w:t>
      </w:r>
    </w:p>
    <w:p>
      <w:r>
        <w:t>HAVING REGARD to the additional information received on November 28, 2024, from the companies Honeywell S.r.l. and Honeywell II S.r.l.;</w:t>
      </w:r>
    </w:p>
    <w:p>
      <w:r>
        <w:t>HAVING REGARD to the documentation on file;</w:t>
      </w:r>
    </w:p>
    <w:p>
      <w:r>
        <w:t>CONSIDERING the following:</w:t>
      </w:r>
    </w:p>
    <w:p>
      <w:r>
        <w:t>I. THE PARTIES</w:t>
      </w:r>
    </w:p>
    <w:p>
      <w:r>
        <w:t>I.1. Honeywell</w:t>
      </w:r>
    </w:p>
    <w:p>
      <w:r>
        <w:t>1. Honeywell S.r.l. is a company engaged, inter alia, in the production, importation, exportation, installation, repair, and maintenance both in Italy and abroad, of a variety of products – intended for various industrial sectors and in particular the aerospace/aeronautical sector – consisting of measuring and control instruments, regulators, sensors for applications in plants for various purposes (heating, air conditioning, cooling). Honeywell II S.r.l. is a corporate vehicle, established exclusively for the purpose of carrying out the operation, wholly controlled by Honeywell S.r.l.</w:t>
      </w:r>
    </w:p>
    <w:p>
      <w:r>
        <w:t>2. Honeywell II S.r.l. and Honeywell S.r.l. are, in turn, indirectly controlled by Honeywell International Inc. (hereinafter, jointly, “Honeywell” or the “Honeywell Group”), a U.S. company based in North Carolina, which operates globally in various business areas: a) aerospace technologies; b) building automation; c) industrial automation; and d) energy. Honeywell is listed on the NASDAQ Stock Market and generates approximately [omitted]* of its revenue in the United States.</w:t>
      </w:r>
    </w:p>
    <w:p>
      <w:r>
        <w:t>* In this version, some data are omitted, as there are elements of confidentiality or secrecy of the information.</w:t>
      </w:r>
    </w:p>
    <w:p>
      <w:r>
        <w:t>In 2023, Honeywell achieved consolidated revenue of approximately [30-40] billion euros globally, of which [100-567] million euros at the EU level and [100-567] million euros at the national level.</w:t>
      </w:r>
    </w:p>
    <w:p>
      <w:r>
        <w:t>I.2. Civitanavi</w:t>
      </w:r>
    </w:p>
    <w:p>
      <w:r>
        <w:t>3. Civitanavi Systems S.p.A. (hereinafter, “Civitanavi” or “Target” and, jointly with Honeywell, “Parties”), founded as a start-up in 2012, is active in the design, production, and marketing of inertial sensors used in the defense, aerospace, and industrial applications sectors. Civitanavi is directly controlled by Civitanavi Systems Ltd (“Civitanavi Ltd.”), with a shareholding of 66.2% of the share capital. The remaining share capital of Civitanavi is held, in part, by Athena S.p.A. (5.09%) and, in part, is listed on the Euronext Milan market (regulated market organized and managed by Borsa Italiana S.p.A.). The share capital of the controlling company Civitanavi Ltd is, instead, held by three individuals.</w:t>
      </w:r>
    </w:p>
    <w:p>
      <w:r>
        <w:t>The Target, in 2023, achieved consolidated revenue of approximately [35-100] million euros globally, of which [10-20] million euros from sales in the European Union and [1-10] million euros generated in Italy.</w:t>
      </w:r>
    </w:p>
    <w:p>
      <w:r>
        <w:t>II. DESCRIPTION OF THE OPERATION</w:t>
      </w:r>
    </w:p>
    <w:p>
      <w:r>
        <w:t>4. The notified operation (hereinafter, “Operation”) concerns the acquisition, by Honeywell, of all the shares of Civitanavi through a voluntary public offer (hereinafter, “OPA”) promoted by Honeywell S.r.l. through Honeywell II S.r.l., a corporate vehicle established for the purpose of promoting the OPA, which acts as the offeror. Following the OPA, the shares of Civitanavi were delisted and removed from trading on Euronext Milan.</w:t>
      </w:r>
    </w:p>
    <w:p>
      <w:r>
        <w:t>III. QUALIFICATION OF THE OPERATION</w:t>
      </w:r>
    </w:p>
    <w:p>
      <w:r>
        <w:t>5. The Operation, as it involves the acquisition of exclusive control of a company, constitutes a concentration pursuant to Article 5, paragraph 1, letter b), of Law No. 287/1990.</w:t>
      </w:r>
    </w:p>
    <w:p>
      <w:r>
        <w:t>6. The Operation falls within the scope of application of Law No. 287/1990, as the conditions set out in Article 1 of Regulation EC 139/04 do not apply, and it is not subject to the obligation of prior notification provided for by Article 16, paragraph 1, of the same law, as the total revenue generated in the last financial year at the national level by at least two of the companies involved was below 35 million euros.</w:t>
      </w:r>
    </w:p>
    <w:p>
      <w:r>
        <w:t>7. However, the Operation was notified pursuant to Article 16, paragraph 1-bis, of Law No. 287/1990, as the total revenue generated in the last financial year at the national level by all the companies involved was above 567 million euros, and the Authority, by decision of June 26, 2024, requested the Parties to notify the Operation in order to ascertain the existence of any risks to competition in the national market.</w:t>
      </w:r>
    </w:p>
    <w:p>
      <w:r>
        <w:rPr>
          <w:b/>
        </w:rPr>
        <w:t>[Pages 7–9]</w:t>
      </w:r>
    </w:p>
    <w:p>
      <w:r>
        <w:t>BULLETIN NO. 50 OF DECEMBER 30, 2024</w:t>
      </w:r>
    </w:p>
    <w:p>
      <w:r>
        <w:t>IV. ASSESSMENT OF THE OPERATION</w:t>
      </w:r>
    </w:p>
    <w:p>
      <w:r>
        <w:t>IV.1. The relevant sector</w:t>
      </w:r>
    </w:p>
    <w:p>
      <w:r>
        <w:t>8. The activities of the Honeywell Group are divided into four strategic divisions:</w:t>
        <w:br/>
        <w:t>i. AEROSPACE TECHNOLOGIES: provision of products, programs, and services for aeronautical use (original equipment manufacturer, hereinafter "OEM") for commercial and defense sector customers;</w:t>
        <w:br/>
        <w:t>ii. Industrial Automation: provision of solutions for the process industry;</w:t>
        <w:br/>
        <w:t>iii. Building Automation: provision of hardware, software, sensors, and analytics for transforming buildings into integrated, secure, and more sustainable structures;</w:t>
        <w:br/>
        <w:t>iv. Energy &amp; Sustainability Solutions: provision of services for energy evolution aimed at reducing emissions.</w:t>
      </w:r>
    </w:p>
    <w:p>
      <w:r>
        <w:t>9. Civitanavi is active in the development, production, and marketing of inertial navigation and stabilization systems used in the following sectors: i) industrial, with applications in land, mining, Oil &amp; Gas, and maritime; and ii) aerospace and defense, with applications in naval, land, aeronautical, and space domains.</w:t>
      </w:r>
    </w:p>
    <w:p>
      <w:r>
        <w:t>10. In the first instance, based on the activities of the Target and the Acquirer, the Operation concerns the inertial sensors sector, namely instruments that allow monitoring the dynamics of a moving vehicle.</w:t>
      </w:r>
    </w:p>
    <w:p>
      <w:r>
        <w:t>IV.2. Inertial sensors</w:t>
      </w:r>
    </w:p>
    <w:p>
      <w:r>
        <w:t>11. Inertial sensors measure the acceleration and angular velocity of an object along three mutually perpendicular axes (which describe the three dimensions of length, width, and height). In this regard:</w:t>
        <w:br/>
        <w:t>a) an accelerometer is a device that measures the acceleration of an object across multiple axes, allowing for precise determination of changes in speed and direction;</w:t>
        <w:br/>
        <w:t>b) gyroscopes are inertial sensors that measure changes in linear or angular momentum and/or angular velocity and are, therefore, essential for detecting changes in orientation and ensuring the stability of navigation, pointing, and stabilization systems.</w:t>
      </w:r>
    </w:p>
    <w:p>
      <w:r>
        <w:t>12. Such sensors can be combined to provide more sophisticated and accurate motion detection instruments, in particular:</w:t>
        <w:br/>
        <w:t>a) Inertial measurement unit (IMU) consisting of a combination of multiple accelerometers and gyroscopes;</w:t>
        <w:br/>
        <w:t>b) Inertial navigation system (INS) consisting of a system that integrates the IMU with a geo-positioning chip via satellites and has computing capabilities to provide precise position indications.</w:t>
      </w:r>
    </w:p>
    <w:p>
      <w:r>
        <w:t>13. IMUs and INSs can then be distinguished into low-end and high-end based on the specific technical performance required, especially in terms of stability and intended use:</w:t>
        <w:br/>
        <w:t>a) the most common applications (from the automotive sector to consumer electronics) usually require inertial sensors that offer reduced performance (i.e., with a modest level of stabilization/accuracy);</w:t>
        <w:br/>
        <w:t>b) conversely, inertial sensors installed, for example, on certain means of transport (both commercial and military) require much higher performance, as they must ensure high levels of precision throughout the entire navigation phase. The category of high-end inertial sensors is therefore particularly required in the military/defense and space sectors, as well as for applications within commercial transport means and advanced industrial machinery (for example, in the mining sector).</w:t>
      </w:r>
    </w:p>
    <w:p>
      <w:r>
        <w:t>14. From a production perspective, there are several technologies available on the market to produce the aforementioned inertial sensors (IMU and INS):</w:t>
        <w:br/>
        <w:t>i. Fiber Optic Gyroscope (FOG);</w:t>
        <w:br/>
        <w:t>ii. Ring Laser Gyroscope (RLG);</w:t>
        <w:br/>
        <w:t>iii. Hemispheric Resonator Gyroscope (HRG);</w:t>
        <w:br/>
        <w:t>iv. Micro Electrical Mechanical Systems (MEMS);</w:t>
        <w:br/>
        <w:t>v. other technologies currently under development.</w:t>
      </w:r>
    </w:p>
    <w:p>
      <w:r>
        <w:t>15. It is noteworthy that Civitanavi specializes in the production of inertial sensors (IMU and INS) using FOG technology, while Honeywell specializes in the production of sensors (IMU and INS) using RLG technology (although it also markets low-end MEMS-type sensors). Therefore, for the purposes of the analysis of the operation in question, high-end sensors (IMU and INS) where both the Target and the Acquirer operate are relevant.</w:t>
      </w:r>
    </w:p>
    <w:p>
      <w:r>
        <w:t>16. It is appropriate to note that the export of defense-related products manufactured in the United States is subject to U.S. regulations on international arms trafficking, the U.S. International Traffic in Arms Regulations (ITAR), and/or those concerning the export of dual-use products, the Export Administration Regulations (EAR). Honeywell produces high-end sensors and related equipment that are subject to the aforementioned U.S. export control requirements (in particular, ITAR or EAR provisions). Civitanavi, not operating in the U.S. territory, is not subject to ITAR and EAR regulations.</w:t>
      </w:r>
    </w:p>
    <w:p>
      <w:r>
        <w:t>IV.3. The relevant market</w:t>
      </w:r>
    </w:p>
    <w:p>
      <w:r>
        <w:t>17. In light of the information provided by the Parties, the relevant product market affected by the Operation is that of the production and marketing of high-end inertial sensors (IMU and INS) (including, therefore, FOG, HRG, and RLG technologies).</w:t>
      </w:r>
    </w:p>
    <w:p>
      <w:r>
        <w:t>18. Regarding the geographical dimension, this appears to be supranational (in light of import/export flows), although the specificities required from the demand side (especially when it comes to sensors intended for defense) may lead to a more restricted delimitation at the national level. In any case, it does not seem necessary to reach an exact delimitation of the geographical scope since the assessment of the Operation would not change regardless of the perimeter used.</w:t>
      </w:r>
    </w:p>
    <w:p>
      <w:r>
        <w:t>19. This approach is confirmed by the responses of third parties consulted regarding the definition of the product and geographical market.</w:t>
      </w:r>
    </w:p>
    <w:p>
      <w:r>
        <w:t>IV.4. The effects of the Operation</w:t>
      </w:r>
    </w:p>
    <w:p>
      <w:r>
        <w:t>20. With reference to the market for the production and sale of high-end inertial sensors, the Parties, as a result of the concentration, will hold a market share:</w:t>
        <w:br/>
        <w:t>i. at the national level of approximately [5-10%], resulting from Honeywell with [1-5%] and Civitanavi with [1-5%];</w:t>
        <w:br/>
        <w:t>ii. within the European Economic Area, of [15-20%] as a result of the Acquirer's share, with a share of [15-20%], and the Target, with a share of [1-5%];</w:t>
      </w:r>
    </w:p>
    <w:p>
      <w:r>
        <w:t>BULLETIN NO. 50 OF DECEMBER 30, 2024</w:t>
      </w:r>
    </w:p>
    <w:p>
      <w:r>
        <w:t>iii. finally, on a global level, an estimated market share of [35-40%], resulting from Honeywell with [35-40%] and Civitanavi with [1-5%], shares due to Honeywell's strong presence, in terms of revenue, predominantly in the United States where Civitanavi, on the other hand, does not operate.</w:t>
      </w:r>
    </w:p>
    <w:p>
      <w:r>
        <w:t>21. Furthermore, by further segmenting the high-end inertial sensors market based on the different possible uses (military/defense on one side and industrial/commercial on the other), it is represented that, as a result of the Operation:</w:t>
        <w:br/>
        <w:t>i. at the national level, the Parties will hold a joint share of approximately [10-15%] in the defense sector and [1-5%] in the industrial/commercial sector;</w:t>
        <w:br/>
        <w:t>ii. at the EEA level, the Parties will hold a joint share of approximately [1-5%] in the defense sector and [15-20%] in the industrial/commercial sector;</w:t>
        <w:br/>
        <w:t>iii. on a global level, the Parties will hold a joint share of approximately [30-35%] in the defense sector and [20-25%] in the industrial/commercial sector.</w:t>
      </w:r>
    </w:p>
    <w:p>
      <w:r>
        <w:t>22. In addition to these elements, it is believed that Honeywell and Civitanavi are not close competitors due to the type of products and technologies used, as well as the geographical areas of operation. Furthermore, the Operation does not appear to be suitable to significantly hinder competition in terms of innovation, exclusion of relevant technologies, or hindrance to the emergence of a potential and innovative competitor.</w:t>
      </w:r>
    </w:p>
    <w:p>
      <w:r>
        <w:t>23. Therefore, regardless of the possible definitions of the market, both from a product and geographical perspective, the Operation does not generate competitive concerns that could alter the competitive context since the parties will hold joint shares that are not particularly significant (at the national level) or with marginal increases (when analyzing the global context).</w:t>
      </w:r>
    </w:p>
    <w:p>
      <w:r>
        <w:t>V. CONCLUSIONS</w:t>
      </w:r>
    </w:p>
    <w:p>
      <w:r>
        <w:t>24. In light of the above considerations, the concentration Operation under examination does not appear to significantly hinder competition in the relevant markets and does not lead to the establishment or strengthening of a dominant position.</w:t>
      </w:r>
    </w:p>
    <w:p>
      <w:r>
        <w:t>CONSIDERING, therefore, that the Operation does not significantly hinder effective competition in the relevant markets pursuant to Article 6, paragraph 1, of Law No. 287/1990 and does not entail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the Minister of Enterprises and Made in Italy.</w:t>
      </w:r>
    </w:p>
    <w:p>
      <w:r>
        <w:rPr>
          <w:b/>
        </w:rPr>
        <w:t>[Pages 10–12]</w:t>
      </w:r>
    </w:p>
    <w:p>
      <w:r>
        <w:t>12 BULLETIN NO. 50 OF DECEMBER 30, 2024</w:t>
      </w:r>
    </w:p>
    <w:p>
      <w:r>
        <w:t>This provision will be published in the Bulletin of the Competition and Market Authority.</w:t>
      </w:r>
    </w:p>
    <w:p>
      <w:r>
        <w:t>THE SECRETARY GENERAL THE PRESIDENT</w:t>
        <w:br/>
        <w:t>Guido Stazi Roberto Rustichelli</w:t>
      </w:r>
    </w:p>
    <w:p>
      <w:r>
        <w:t>BULLETIN NO. 50 OF DECEMBER 30, 2024</w:t>
      </w:r>
    </w:p>
    <w:p>
      <w:r>
        <w:t>C12689 - CLESSIDRA CAPITAL CREDIT SGR/SISMA</w:t>
        <w:br/>
        <w:t>Provision No. 31419</w:t>
        <w:br/>
        <w:t>THE COMPETITION AND MARKET AUTHORITY</w:t>
      </w:r>
    </w:p>
    <w:p>
      <w:r>
        <w:t>IN ITS MEETING of December 11, 2024;</w:t>
      </w:r>
    </w:p>
    <w:p>
      <w:r>
        <w:t>HEARD the Rapporteur, Saverio Valentino;</w:t>
      </w:r>
    </w:p>
    <w:p>
      <w:r>
        <w:t>HAVING REGARD to Regulation (EC) No. 139/2004;</w:t>
      </w:r>
    </w:p>
    <w:p>
      <w:r>
        <w:t>HAVING REGARD to Law No. 287 of October 10, 1990;</w:t>
      </w:r>
    </w:p>
    <w:p>
      <w:r>
        <w:t>HAVING REGARD to the Presidential Decree No. 217 of April 30, 1998;</w:t>
      </w:r>
    </w:p>
    <w:p>
      <w:r>
        <w:t>HAVING REGARD to the communication from Clessidra SGR S.p.A. received on November 22, 2024;</w:t>
      </w:r>
    </w:p>
    <w:p>
      <w:r>
        <w:t>HAVING REGARD to the documentation on file;</w:t>
      </w:r>
    </w:p>
    <w:p>
      <w:r>
        <w:t>CONSIDERING the following:</w:t>
      </w:r>
    </w:p>
    <w:p>
      <w:r>
        <w:t>I. THE PARTIES</w:t>
      </w:r>
    </w:p>
    <w:p>
      <w:r>
        <w:t>1. Clessidra Capital Credit SGR S.p.A. (hereinafter, "Clessidra") is an asset management company that currently manages three closed-end alternative investment funds. Clessidra is under the direct control of Clessidra Holding S.p.A. (hereinafter, "Clessidra Holding") and the indirect control of Italmobiliare S.p.A. (hereinafter, "Italmobiliare").</w:t>
      </w:r>
    </w:p>
    <w:p>
      <w:r>
        <w:t>2. Clessidra Holding is a holding company that operates through the three companies Clessidra Private Equity SGR, Clessidra Capital Credit SGR, and Clessidra Factoring (collectively, "Clessidra Group"). The Clessidra Group has progressively expanded its activities beyond the historical private equity sector to also include alternative investments, asset management, and factoring, in order to offer a wide range of products and services for institutional investors and medium-sized enterprises.</w:t>
      </w:r>
    </w:p>
    <w:p>
      <w:r>
        <w:t>3. Italmobiliare is a holding company that, in addition to its total control of the Clessidra Group, holds controlling interests in various companies active in heterogeneous economic sectors, none of which have shares listed on a stock exchange. In 2023, Italmobiliare achieved a consolidated group revenue of approximately [1-2]* billion euros worldwide, of which approximately [1-2] billion euros in the European Union and about [700-1,000] million euros in Italy.</w:t>
      </w:r>
    </w:p>
    <w:p>
      <w:r>
        <w:t>4. Sisma S.p.A. (hereinafter, "Sisma") is a company primarily active at the national level in the production and marketing sectors, through the Organized Large Distribution and Specialized Large Distribution channels, of products: (i) for personal care and hygiene (so-called personal care); (ii) para-pharmaceuticals; (iii) for home cleaning (so-called home care); and (iv) for table and party supplies (so-called food care). Sisma is currently under the joint control of Clessidra1 and, through the securitization vehicle company Gelsomino SVP S.r.l. (hereinafter, "Gelsomino SVP"), of certain investment funds (hereinafter, "Magnetar Selling Funds")2 ultimately attributable to Magnetar Financial LLC3. In 2023, Sisma achieved a worldwide revenue of nearly [35-100] million euros, of which nearly [35-100] million euros in Europe and approximately [35-100] million euros in Italy.</w:t>
      </w:r>
    </w:p>
    <w:p>
      <w:r>
        <w:t>II. DESCRIPTION OF THE OPERATION</w:t>
      </w:r>
    </w:p>
    <w:p>
      <w:r>
        <w:t>5. The communicated Operation (hereinafter, "Operation") consists of Clessidra acquiring exclusive control of Sisma, of which it already holds joint control through a 50% stake in the share capital. In particular, following an operation governed by a Framework Agreement, signed on November 19, 2024, Clessidra will acquire, in the interest and on behalf of the investment funds named "Clessidra Restructuring Fund" and "Clessidra Restructuring Parallel Fund," the remaining shares of Sisma currently owned by Gelsomino SVP. To this end, the Magnetar Selling Funds must first purchase from Gelsomino SVP the ownership of the shares of Sisma held by it (representing 50% of the capital) and then simultaneously transfer them to Clessidra. Following this Operation, Clessidra will hold 100% of the share capital of Sisma.</w:t>
      </w:r>
    </w:p>
    <w:p>
      <w:r>
        <w:t>6. The Parties have not provided for any non-competition agreement, while a non-solicitation agreement is instead provided, which the parties consider ancillary to the Operation to the extent that this restriction is necessary and proportionate to protect the acquirer, in relation to the investment made, against the outgoing (co)controlling partner. [Omitted].</w:t>
      </w:r>
    </w:p>
    <w:p>
      <w:r>
        <w:t>III. QUALIFICATION OF THE OPERATION</w:t>
      </w:r>
    </w:p>
    <w:p>
      <w:r>
        <w:t>7. The Operation constitutes a concentration, pursuant to Article 5, paragraph 1 letter b), of Law No. 287/1990, as it involves the acquisition of exclusive control of a company.</w:t>
      </w:r>
    </w:p>
    <w:p>
      <w:r>
        <w:t>8. It falls within the scope of application of Law No. 287/1990, as the conditions set out in Article 1 of Regulation (EC) No. 139/2004 do not apply, and it is subject to the obligation of prior notification provided for by Article 16, paragraph 1, of the same law, as the total revenue achieved, in the last financial year at the national level, by the group of companies involved was over 567 million euros and the total revenue achieved, in the last financial year at the national level, individually by each of the two companies involved was over 35 million euros.</w:t>
      </w:r>
    </w:p>
    <w:p>
      <w:r>
        <w:t>1 Clessidra holds control of Sisma in the interest and on behalf of the funds "Clessidra Restructuring Fund" and "Clessidra Restructuring Parallel Fund," established, organized, and managed by it.</w:t>
      </w:r>
    </w:p>
    <w:p>
      <w:r>
        <w:t>2 The Magnetar Selling Funds are: "Magnetar Constellation Master Fund Ltd," "Magnetar Constellation Fund II Ltd," "Magnetar Xing He Master Fund Ltd," "Magnetar Structured Credit Fund LP," and "Magnetar SC Fund Ltd."</w:t>
      </w:r>
    </w:p>
    <w:p>
      <w:r>
        <w:t>3 See C12286 - Clessidra SGR-Magnetar Financial/Sisma, provision No. 28181 of March 10, 2020, in Bulletin No. 13/2020, in which the operation of acquiring joint control was assessed.</w:t>
      </w:r>
    </w:p>
    <w:p>
      <w:r>
        <w:rPr>
          <w:b/>
        </w:rPr>
        <w:t>[Pages 13–15]</w:t>
      </w:r>
    </w:p>
    <w:p>
      <w:r>
        <w:t>BULLETIN NO. 50 OF DECEMBER 30, 2024</w:t>
      </w:r>
    </w:p>
    <w:p>
      <w:r>
        <w:t>9. The non-solicitation agreement signed by the parties and described in the previous paragraph can be considered accessory and necessary for the realization of the Operation, as it is functional to safeguarding the value of the acquired company.</w:t>
      </w:r>
    </w:p>
    <w:p>
      <w:r>
        <w:t>IV. ASSESSMENT OF THE OPERATION</w:t>
      </w:r>
    </w:p>
    <w:p>
      <w:r>
        <w:t>The relevant market</w:t>
      </w:r>
    </w:p>
    <w:p>
      <w:r>
        <w:t>10. From a product perspective, the sectors affected by the Operation in question are those in which the company subject to acquisition operates, which, as previously noted in an earlier decision of the Authority, correspond to the production and marketing of products: (i) for personal care and hygiene (so-called personal care), (ii) para-pharmaceuticals; (iii) for cleaning and care of the home (so-called home care) and (iv) for tableware and parties (so-called food care).</w:t>
      </w:r>
    </w:p>
    <w:p>
      <w:r>
        <w:t>11. As for the market for personal care and hygiene products, these are products intended to be rubbed, poured, sprinkled, introduced, or otherwise applied to the human body, to clean and/or beautify its appearance. Sisma, according to the information provided by the party, produces and/or markets cotton balls, absorbent cotton, ear cleaners, cotton makeup remover pads, wet wipes, body sponges, cosmetic products, and body accessories.</w:t>
      </w:r>
    </w:p>
    <w:p>
      <w:r>
        <w:t>12. Para-pharmaceutical products are products that have a supportive function in relation to pharmaceutical products and do not require a medical prescription. Sisma produces and/or markets in this market items and accessories for dressing, medical absorbent cotton, medical cotton pads, band-aids, and syringes.</w:t>
      </w:r>
    </w:p>
    <w:p>
      <w:r>
        <w:t>13. In the field of cleaning and care products for the home, Sisma produces and/or markets sponges, gloves, abrasive sponges, garbage bags, dusting and floor cloths, and home accessories.</w:t>
      </w:r>
    </w:p>
    <w:p>
      <w:r>
        <w:t>14. Food care includes tableware and other products for parties, kitchen utensils used for the preparation, cooking, and serving of food. In this market, Sisma produces and/or markets toothpicks, skewers, straws, candles, freezer bags, individually wrapped wet wipes, and decor accessories.</w:t>
      </w:r>
    </w:p>
    <w:p>
      <w:r>
        <w:t>15. With reference to all the aforementioned markets, which according to the Authority's practice have a national dimension, although it is not possible to exclude potential segmentations for the purpose of identifying possible sub-markets, for the purposes of the Operation under examination, it does not appear necessary to reach an exact product and geographic delimitation of the markets since, as more fully illustrated below, this would not affect its assessment.</w:t>
      </w:r>
    </w:p>
    <w:p>
      <w:r>
        <w:t>The effects of the Operation</w:t>
      </w:r>
    </w:p>
    <w:p>
      <w:r>
        <w:t>16. Based on the information provided by the party, the Operation will not result in restrictive effects from a competitive perspective, determining the transition from a joint control structure to one of exclusive control by the acquiring company; moreover, there are no horizontal overlaps or vertical relationships, contiguities, or significant connections between the economic activities of Sisma on one side and those of the portfolio companies of the Clessidra group.</w:t>
      </w:r>
    </w:p>
    <w:p>
      <w:r>
        <w:t>17. In fact, it is noted that the acquisition of joint control of Sisma by Clessidra has already been assessed by the Authority with decision no. 28181 of March 10, 2020, and the competitive assessments regarding the absence of restrictions arising from any horizontal and vertical effects of the concentration remain unchanged.</w:t>
      </w:r>
    </w:p>
    <w:p>
      <w:r>
        <w:t>18. In light of the above considerations, the Operation does not appear to significantly hinder effective competition in the relevant market or to create or strengthen a dominant position.</w:t>
      </w:r>
    </w:p>
    <w:p>
      <w:r>
        <w:t>THEREFORE, it is deemed that the Operation under examination does not significantly hinder effective competition in the relevant markets pursuant to Article 6, paragraph 1, of Law No. 287/1990 and does not result in the creation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decision will be published in the Bulletin of the Antitrust Authority.</w:t>
      </w:r>
    </w:p>
    <w:p>
      <w:r>
        <w:t>THE SECRETARY GENERAL THE PRESIDENT</w:t>
        <w:br/>
        <w:t>Guido Stazi Roberto Rustichelli</w:t>
      </w:r>
    </w:p>
    <w:p>
      <w:r>
        <w:t>BULLETIN NO. 50 OF DECEMBER 30, 2024</w:t>
      </w:r>
    </w:p>
    <w:p>
      <w:r>
        <w:t>C12691 - BANCO BPM VITA/ANIMA HOLDING</w:t>
      </w:r>
    </w:p>
    <w:p>
      <w:r>
        <w:t>Decision No. 31420</w:t>
      </w:r>
    </w:p>
    <w:p>
      <w:r>
        <w:t>THE ANTITRUST AUTHORITY</w:t>
      </w:r>
    </w:p>
    <w:p>
      <w:r>
        <w:t>IN ITS MEETING of December 11, 2024;</w:t>
      </w:r>
    </w:p>
    <w:p>
      <w:r>
        <w:t>HEARD the Rapporteur, Professor Elisabetta Iossa;</w:t>
      </w:r>
    </w:p>
    <w:p>
      <w:r>
        <w:t>HAVING REGARD to Regulation (EC) No. 139/2004;</w:t>
      </w:r>
    </w:p>
    <w:p>
      <w:r>
        <w:t>HAVING REGARD to Law No. 287 of October 10, 1990;</w:t>
      </w:r>
    </w:p>
    <w:p>
      <w:r>
        <w:t>HAVING REGARD to the D.P.R. No. 217 of April 30, 1998;</w:t>
      </w:r>
    </w:p>
    <w:p>
      <w:r>
        <w:t>HAVING REGARD to the communication from Banco BPM S.p.A., received on November 26, 2024;</w:t>
      </w:r>
    </w:p>
    <w:p>
      <w:r>
        <w:t>HAVING REGARD to the documentation on file;</w:t>
      </w:r>
    </w:p>
    <w:p>
      <w:r>
        <w:t>CONSIDERING the following:</w:t>
      </w:r>
    </w:p>
    <w:p>
      <w:r>
        <w:t>I. THE PARTIES</w:t>
      </w:r>
    </w:p>
    <w:p>
      <w:r>
        <w:t>1. Banco BPM S.p.A. (hereinafter, "BBPM") is a bank at the head of the eponymous banking group, active in offering, primarily directed at private clients and small and medium-sized enterprises, banking services and products (savings collection and credit provision), financial (investment service provision, including with products from third-party companies), and insurance (through the subsidiary BBPM Vita S.p.A., hereinafter "BBPM Vita"). The BBPM group operates nationwide with approximately 1,400 branches.</w:t>
      </w:r>
    </w:p>
    <w:p>
      <w:r>
        <w:t>BBPM is a publicly traded company on the Euronext Milan market, with a dispersed shareholding: no shareholder holds more than 10% of its share capital.</w:t>
      </w:r>
    </w:p>
    <w:p>
      <w:r>
        <w:t>The consolidated revenue generated in Italy by the BBPM Group in 2023 was approximately [8-9]* billion euros.</w:t>
      </w:r>
    </w:p>
    <w:p>
      <w:r>
        <w:t>2. Anima Holding S.p.A. (hereinafter, "Anima"), an Italian law company listed on the Euronext Milan market, is the holding company at the head of the Anima group, active in the field of asset management and, in particular, in the management of individual assets, mutual investment funds, and open pension funds.</w:t>
      </w:r>
    </w:p>
    <w:p>
      <w:r>
        <w:t>Anima is a publicly traded company, with its main shareholders being BBPM (holding approximately 22% of the capital), the Ministry of Economy and Finance through Poste Italiane S.p.A. (approximately 12%), and the company FSI SGR S.p.A. (approximately 10%).</w:t>
      </w:r>
    </w:p>
    <w:p>
      <w:r>
        <w:t>The Anima group generated consolidated revenue in Italy of [1-2] billion euros in 2023.</w:t>
      </w:r>
    </w:p>
    <w:p>
      <w:r>
        <w:t>* In this version, some data is omitted, as it was deemed that there were elements of confidentiality or secrecy of the information.</w:t>
      </w:r>
    </w:p>
    <w:p>
      <w:r>
        <w:rPr>
          <w:b/>
        </w:rPr>
        <w:t>[Pages 16–18]</w:t>
      </w:r>
    </w:p>
    <w:p>
      <w:r>
        <w:t>18 BULLETIN NO. 50 OF DECEMBER 30, 2024</w:t>
      </w:r>
    </w:p>
    <w:p>
      <w:r>
        <w:t>II. DESCRIPTION OF THE OPERATION</w:t>
      </w:r>
    </w:p>
    <w:p>
      <w:r>
        <w:t>3. The communicated operation (hereinafter, "Operation") consists of a public purchase offer (hereinafter, "OPA"), announced by BBPM Vita pursuant to and for the purposes of Articles 102, paragraph 1, and 106, paragraph 4, of Legislative Decree No. 58 of February 24, 1998 (containing "Consolidated Law on Financial Intermediation") and the related implementing provisions contained in Consob Regulation No. 11971/1999 (so-called "Issuers Regulation"), aimed at acquiring all ordinary shares of Anima (excluding the shares already held by BBPM, but including the treasury shares held from time to time by Anima, as well as any new ordinary shares that Anima may issue by the end of the acceptance period for the OPA within the existing compensation plans based on financial instruments) and obtaining the delisting of Anima's shares from Euronext Milan.</w:t>
      </w:r>
    </w:p>
    <w:p>
      <w:r>
        <w:t>4. The OPA is conditioned, among other things, on reaching a total shareholding in Anima of at least 66.67%, including the shares already held by BBPM. In the event of a positive outcome of the OPA, Banco BPM will acquire, through BBPM Vita, exclusive control of Anima.</w:t>
      </w:r>
    </w:p>
    <w:p>
      <w:r>
        <w:t>5. The Operation is primarily aimed at strengthening the business model of BBPM Vita, which will extend its scope of activity to asset management, transforming into an integrated "product factory."</w:t>
      </w:r>
    </w:p>
    <w:p>
      <w:r>
        <w:t>III. QUALIFICATION OF THE OPERATION</w:t>
      </w:r>
    </w:p>
    <w:p>
      <w:r>
        <w:t>6. The Operation, as it involves the acquisition of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exceeded 567 million euros and the total revenue generated, in the last financial year at the national level, individually by at least two of the companies involved exceeded 35 million euros.</w:t>
      </w:r>
    </w:p>
    <w:p>
      <w:r>
        <w:t>IV. ASSESSMENT</w:t>
      </w:r>
    </w:p>
    <w:p>
      <w:r>
        <w:t>a) Relevant markets</w:t>
      </w:r>
    </w:p>
    <w:p>
      <w:r>
        <w:t>7. The Operation primarily concerns the asset management sector, which includes various activities corresponding to distinct product markets, namely: i) the market for the management of mutual investment funds; ii) the market for the individual management of financial assets (GPM) and in funds (GPF); iii) the market for the management of complementary pension products; and iv) the market for administered savings.</w:t>
      </w:r>
    </w:p>
    <w:p>
      <w:r>
        <w:t>i) Market for the management of mutual investment funds</w:t>
      </w:r>
    </w:p>
    <w:p>
      <w:r>
        <w:t>8. With reference to the activity of managing mutual investment funds - noting that a fund is an autonomous asset, divided into shares belonging to multiple participants, managed collectively at the top - it is possible to make a product distinction between open-end funds (which allow for the subscription of shares or requests for redemption at any time) and closed-end funds (in which the assets are fixed and contributed at the time of their establishment and cannot be redeemed early). For mutual investment funds, both open and closed, a further distinction can be made based on the main types of assets in which the fund invests; in this regard, a first distinction can, for example, be made between equity funds and real estate funds.</w:t>
      </w:r>
    </w:p>
    <w:p>
      <w:r>
        <w:t>ii) Market for the individual management of financial assets (GPM) and in funds (GPF)</w:t>
      </w:r>
    </w:p>
    <w:p>
      <w:r>
        <w:t>9. The activity of portfolio management, as provided for in Article 1(5), letter d), of the TUF, constitutes an investment service carried out by banks, investment firms, and asset management companies, based on a mandate conferred by the client. This service consists of the discretionary and individualized management of investment portfolios that include one or more financial instruments within the framework of a mandate conferred by clients. The investment activity includes that in securities (GPM) and that in funds (GPF).</w:t>
      </w:r>
    </w:p>
    <w:p>
      <w:r>
        <w:t>iii) Market for the management of complementary pension products</w:t>
      </w:r>
    </w:p>
    <w:p>
      <w:r>
        <w:t>10. Complementary pension schemes aim to meet the income needs of workers during their retirement phase. This objective is pursued in Italy through a pension structure based on two different modes of intervention: (a) mandatory pension and (b) complementary pension, realized through the use of contractual (or closed) pension funds, open pension funds, and individual pension policies.</w:t>
      </w:r>
    </w:p>
    <w:p>
      <w:r>
        <w:t>11. The services offered in the context of asset management related to the three markets described above typically have an upstream management/production phase and a downstream distribution phase, each of which leads to the identification of distinct markets along the supply chain, both in geographical and product terms. The production phase, according to the Authority's consistent practice, has a national geographical dimension, being normally centralized and homogeneous throughout the Italian territory. For the distribution phase, however, considering the limited mobility of demand, the geographical dimension has generally been defined by the Authority at the local level, in the first approximation provincial.</w:t>
      </w:r>
    </w:p>
    <w:p>
      <w:r>
        <w:t>12. According to the Parties, although the Authority has generally considered that the markets for the distribution of asset management services have a local geographical dimension, in the assessment of the present Operation it would be more appropriate to lean towards a national dimension, due to the type of clientele served (corporate and institutional), as already noted by the Authority in some of its previous decisions specifically related to Anima.</w:t>
      </w:r>
    </w:p>
    <w:p>
      <w:r>
        <w:t>13. In this case, it does not appear necessary to arrive at an exact definition of the market, as the competitive assessment of the Operation would not change, due to the particularly small size of the distribution network belonging to Anima.</w:t>
      </w:r>
    </w:p>
    <w:p>
      <w:r>
        <w:t>iv) Market for administered savings</w:t>
      </w:r>
    </w:p>
    <w:p>
      <w:r>
        <w:t>14. The services of administered savings include the activity of collecting, transmitting, and negotiating orders in financial instruments on behalf of an investor who has made the conferment of individual orders to the same intermediaries. The provision of services related to the administered savings market is closely linked to traditional banking activity and, in particular, to the banking collection market, considering the high correlation between holding a current account and a securities account at the same banking institution. The administered savings market has a local dimension (in the first approximation provincial), given the limited willingness to move on the part of the end clientele.</w:t>
      </w:r>
    </w:p>
    <w:p>
      <w:r>
        <w:t>b) Effects of the Operation</w:t>
      </w:r>
    </w:p>
    <w:p>
      <w:r>
        <w:t>15. The Operation, based on the data and information provided by the Parties, does not appear to be likely to create competitive concerns.</w:t>
      </w:r>
    </w:p>
    <w:p>
      <w:r>
        <w:t>16. Regarding the market for the management of mutual investment funds, Anima is active in the upstream phase of producing open and closed mutual equity funds as well as closed real estate mutual funds, with a share, even considering all possible market segmentations, always below 10%; BBPM is not active in this phase. Therefore, there are no horizontal overlaps concerning the market for the production of mutual investment funds.</w:t>
      </w:r>
    </w:p>
    <w:p>
      <w:r>
        <w:t>At the distribution level, there are no significant horizontal overlaps. In fact, at the national level, BBPM's share, calculated using direct banking collection as a proxy, amounts to [5-10%] while Anima's share is below 1%. Even considering a local geographical dimension, horizontal overlaps are minimal because Anima is active in direct distribution, albeit to a very marginal extent, in the financial market of Milan and in the secondary offices of Rome and Turin, provinces where BBPM holds a market share below [5-10%].</w:t>
      </w:r>
    </w:p>
    <w:p>
      <w:r>
        <w:t>17. With reference to the individual management of financial assets (GPM) and in funds (GPF), according to the data provided by the Parties, regarding production, BBPM holds a national market share, in terms of managed assets, below [1%], while Anima holds a share of approximately [5-10%]. The aggregated share of the Parties will therefore be below 10%, with a negligible increase, in light of the presence of numerous competing banking groups capable of exerting considerable competitive pressure, even with market shares higher than that of Anima.</w:t>
      </w:r>
    </w:p>
    <w:p>
      <w:r>
        <w:rPr>
          <w:b/>
        </w:rPr>
        <w:t>[Pages 19–21]</w:t>
      </w:r>
    </w:p>
    <w:p>
      <w:r>
        <w:t>BULLETIN NO. 50 OF DECEMBER 30, 2024</w:t>
      </w:r>
    </w:p>
    <w:p>
      <w:r>
        <w:t>21. of the post-merger entity. At the distribution level, the same considerations made regarding the market for the management of mutual funds apply.</w:t>
      </w:r>
    </w:p>
    <w:p>
      <w:r>
        <w:t>18. In relation to the market for the production of supplementary pension products, Anima is primarily active through its own open pension fund and management mandates for some category pension funds, achieving a share of approximately [5-10%], while BBPM is not present in this market. The Operation is therefore neutral from a competitive standpoint. Regarding the distribution market, in this case, reference is also made to what has already been observed for the previous markets regarding the irrelevance of horizontal overlaps between the Parties, given the marginality of Anima's distribution activities, both at the national and local levels.</w:t>
      </w:r>
    </w:p>
    <w:p>
      <w:r>
        <w:t>19. Finally, regarding the market for administered savings, Anima holds very limited market shares, estimated at [less than 1%] in the province of Milan, [less than 1%] in the province of Rome, and [1-5%] in the province of Turin; BBPM is active through its network of bank branches with contained market shares of [5-10%] in the province of Milan, [1-5%] in the province of Rome, and [1-5%] in the province of Turin. In all the local markets considered, therefore, the post-merger entity will reach a share of less than 10%.</w:t>
      </w:r>
    </w:p>
    <w:p>
      <w:r>
        <w:t>20. Precisely because of the small market shares of the Parties, there are also no competitive concerns from the perspective of possible vertical effects arising from the Operation in question.</w:t>
      </w:r>
    </w:p>
    <w:p>
      <w:r>
        <w:t>21. In light of the above considerations, given the absence of substantial horizontal overlaps and possible vertical competitive concerns, the Operation does not appear to cause significant alterations in the competitive structure of the affected markets.</w:t>
      </w:r>
    </w:p>
    <w:p>
      <w:r>
        <w:t>CONSIDERED, that the Operation does not significantly impede effective competition in the affected markets pursuant to Article 6, paragraph 1, of Law No. 287/1990 and does not result in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br/>
        <w:t>Guido Stazi Roberto Rustichelli</w:t>
      </w:r>
    </w:p>
    <w:p>
      <w:r>
        <w:t>BULLETIN NO. 50 OF DECEMBER 30, 2024</w:t>
      </w:r>
    </w:p>
    <w:p>
      <w:r>
        <w:t>UNFAIR TRADE PRACTICES</w:t>
      </w:r>
    </w:p>
    <w:p>
      <w:r>
        <w:t>PS10987B - PUBLIACQUA-BILLING ISSUES</w:t>
      </w:r>
    </w:p>
    <w:p>
      <w:r>
        <w:t>Provision No. 31421</w:t>
      </w:r>
    </w:p>
    <w:p>
      <w:r>
        <w:t>THE ANTITRUST AUTHORITY</w:t>
      </w:r>
    </w:p>
    <w:p>
      <w:r>
        <w:t>IN ITS MEETING of December 11, 2024;</w:t>
      </w:r>
    </w:p>
    <w:p>
      <w:r>
        <w:t>HEARD the Rapporteur, Saverio Valentino;</w:t>
      </w:r>
    </w:p>
    <w:p>
      <w:r>
        <w:t>HAVING REGARD to Legislative Decree No. 206 of September 6, 2005, and subsequent amendments (hereinafter, Consumer Code) and, in particular, Part II, Title III of said Code;</w:t>
      </w:r>
    </w:p>
    <w:p>
      <w:r>
        <w:t>HAVING REGARD to the "Regulation on investigative procedures in matters of consumer protection and misleading and comparative advertising" (hereinafter, Regulation), adopted by the Authority with resolution No. 31356 of November 5, 2024;</w:t>
      </w:r>
    </w:p>
    <w:p>
      <w:r>
        <w:t>HAVING REGARD to the communication initiating procedure PS10987 of December 6, 2018, which contested the violation of Articles 20, 24, and 25 of the Consumer Code by Publiacqua S.p.A.;</w:t>
      </w:r>
    </w:p>
    <w:p>
      <w:r>
        <w:t>HAVING REGARD to the acts of the procedure and, in particular, the provision of June 12, 2019, No. 27812, which determined that the commercial practice described in point II of the aforementioned provision, carried out by Publiacqua S.p.A., constitutes an unfair commercial practice pursuant to Articles 20, 24, and 25 of the Consumer Code, its dissemination or repetition was prohibited, and an administrative pecuniary sanction of €2,000,000 (two million euros) was imposed on Publiacqua S.p.A.;</w:t>
      </w:r>
    </w:p>
    <w:p>
      <w:r>
        <w:t>HAVING REGARD to the ruling of the Council of State of June 28, 2024, No. 5716, which, reforming the ruling of the Regional Administrative Tribunal for Lazio No. 7720/2021, annulled the aforementioned provision of June 12, 2019, No. 27812, due to the illegitimacy of the "Regulation on the investigative procedures of the AGCM as per resolution No. 25411 of April 1, 2015, in the part in which it does not provide for the 'substantial' obligation of the hearing before the deciding College in proceedings concerning sanctions that must be recognized as 'afflictive', at least where the interested party - exposed to an objectively burdensome sanction - makes an explicit request (this especially considering the lack of a formal so-called CRI contestation present instead in antitrust sanctioning procedures)";</w:t>
      </w:r>
    </w:p>
    <w:p>
      <w:r>
        <w:t>CONSIDERED that, in light of the aforementioned ruling, the conforming effect of the decision of the Council of State "translates into the obligation for the AGCM to renew the investigation, then evaluating whether to introduce measures in the Regulation for the future that would eliminate the established cause of illegitimacy";</w:t>
      </w:r>
    </w:p>
    <w:p>
      <w:r>
        <w:t>CONSIDERED that, according to the Council of State, it can "also abstractly admit a possible excuse, for error regarding the lawfulness of the act, of the appellant's conduct, which will need to be evaluated by the Authority in this regard in the continuation of the administrative action," as the correct interpretation of the relevant regulatory provisions "requires specific legal expertise, not necessarily present in the corporate structure of the service manager (but on this point an investigation could be conducted)";</w:t>
      </w:r>
    </w:p>
    <w:p>
      <w:r>
        <w:t>CONSIDERED, furthermore, that according to the aforementioned ruling, the Authority must take these considerations into account for the determination of the sanction;</w:t>
      </w:r>
    </w:p>
    <w:p>
      <w:r>
        <w:t>CONSIDERED that pursuant to Article 17, paragraph 1, of the Regulation adopted by the Authority with resolution No. 31356 of November 5, 2024, "the person responsible for the procedure, when he deems the case sufficiently instructed, transmits to the parties the communication of the charges and indicates a term, not less than twenty days, within which they can present written counterarguments to the charges";</w:t>
      </w:r>
    </w:p>
    <w:p>
      <w:r>
        <w:t>CONSIDERED, therefore, it appropriate to proceed with the reopening of the aforementioned procedure PS10987 against Publiacqua S.p.A., starting from the investigative phase, without prejudice to the procedural acts already carried out;</w:t>
      </w:r>
    </w:p>
    <w:p>
      <w:r>
        <w:t>RESOLVES</w:t>
      </w:r>
    </w:p>
    <w:p>
      <w:r>
        <w:t>a) to reopen the procedure PS10987 initiated on December 6, 2018, against Publiacqua S.p.A.;</w:t>
      </w:r>
    </w:p>
    <w:p>
      <w:r>
        <w:t>b) that the procedure must be concluded within 210 days from the date of notification of this provision, pursuant to Article 8 of the Regulation;</w:t>
      </w:r>
    </w:p>
    <w:p>
      <w:r>
        <w:t>c) that the person responsible for the procedure is Dr. Fabio Di Fonzo;</w:t>
      </w:r>
    </w:p>
    <w:p>
      <w:r>
        <w:t>d) that the person responsible for the procedure will transmit, pursuant to Article 17, paragraph 1, of the Regulation, the communication of the charges;</w:t>
      </w:r>
    </w:p>
    <w:p>
      <w:r>
        <w:t>e) that the person responsible for the procedure will request the opinion from the Regulatory Authority for Energy Networks and Environment (ARERA), pursuant to Article 27, paragraph 1-bis, of the Consumer Code, transmitting the acts of the procedure to that Authority;</w:t>
      </w:r>
    </w:p>
    <w:p>
      <w:r>
        <w:t>f) that the acts of the procedure can be viewed at the Transport Energy and Environment Directorate of the Consumer Protection Department of this Authority by the legal representatives of the Party, as well as by a person delegated by it.</w:t>
      </w:r>
    </w:p>
    <w:p>
      <w:r>
        <w:t>This provision will be notified to the interested parties and published in the Bulletin of the Antitrust Authority.</w:t>
      </w:r>
    </w:p>
    <w:p>
      <w:r>
        <w:t>THE SECRETARY GENERAL THE PRESIDENT</w:t>
        <w:br/>
        <w:t>Guido Stazi Roberto Rustichelli</w:t>
      </w:r>
    </w:p>
    <w:p>
      <w:r>
        <w:rPr>
          <w:b/>
        </w:rPr>
        <w:t>[Pages 22–22]</w:t>
      </w:r>
    </w:p>
    <w:p>
      <w:r>
        <w:t>Antitrust Authority Weekly Bulletin</w:t>
        <w:br/>
        <w:t>of Competition and the Market Year XXXIV - No. 50 - 2024</w:t>
        <w:br/>
        <w:t>Editorial Coordination Giulia Antenucci</w:t>
        <w:br/>
        <w:t>Editorial Staff Angela D’Auria, Valerio Ruocco, Manuela Villani</w:t>
        <w:br/>
        <w:t>Antitrust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