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https://www.agcm.it/dotcmsdoc/bollettini/2019/51-19.pdf</w:t>
      </w:r>
    </w:p>
    <w:p>
      <w:r>
        <w:t>Pages translated : 30</w:t>
      </w:r>
    </w:p>
    <w:p/>
    <w:p>
      <w:r>
        <w:rPr>
          <w:b/>
        </w:rPr>
        <w:t>[Pages 1–3]</w:t>
      </w:r>
    </w:p>
    <w:p>
      <w:r>
        <w:t>Bulletin</w:t>
        <w:br/>
        <w:t>Weekly</w:t>
        <w:br/>
        <w:t>Year XXIX - No. 51</w:t>
        <w:br/>
        <w:t>Published on the website www.agcm.it</w:t>
        <w:br/>
        <w:t>December 23, 2019</w:t>
      </w:r>
    </w:p>
    <w:p>
      <w:r>
        <w:t>SUMMARY</w:t>
        <w:br/>
        <w:t>AGREEMENTS AND ABUSE OF DOMINANT POSITION 5</w:t>
        <w:br/>
        <w:t>I836 - DRIVING SCHOOL FEES IN THE PROVINCE OF COSENZA</w:t>
        <w:br/>
        <w:t>Provision No. 28029 5</w:t>
        <w:br/>
        <w:t>CONCENTRATION OPERATIONS 9</w:t>
        <w:br/>
        <w:t>C12264 - CAISSE DES DÉPÔTS ET CONSIGNATIONS/LA POSTE- CNP ASSURANCES</w:t>
        <w:br/>
        <w:t>Provision No. 28028 9</w:t>
        <w:br/>
        <w:t>REPORTING AND CONSULTATIVE ACTIVITIES 15</w:t>
        <w:br/>
        <w:t>AS1631 - CONSIP - TENDER FOR THE SUPPLY OF LAPTOPS AND 2 IN 1 TABLETS FOR</w:t>
        <w:br/>
        <w:t>15</w:t>
        <w:br/>
        <w:t>PUBLIC ADMINISTRATIONS</w:t>
        <w:br/>
        <w:t>AS1632 - CONSIP - TENDER FOR THE RENTAL OF MID-RANGE MULTIFUNCTION DEVICES FOR SCANNING, COPYING, AND PRINTING FOR PUBLIC</w:t>
        <w:br/>
        <w:t>17</w:t>
        <w:br/>
        <w:t>ADMINISTRATIONS</w:t>
        <w:br/>
        <w:t>AS1633 – PUBLICATION OF TENDER NOTICES FOR THE AWARDING OF THE NATURAL GAS DISTRIBUTION SERVICE</w:t>
        <w:br/>
        <w:t>21</w:t>
        <w:br/>
        <w:t>AS1634 - COMPETITION CRITICALITIES IN THE RECYCLING OF POLYETHYLENE GOODS</w:t>
        <w:br/>
        <w:t>UNFAIR TRADE PRACTICES 26</w:t>
        <w:br/>
        <w:t>PS11332 – SIXTHCONTINENT - FAILURE TO RECOGNIZE CREDITS</w:t>
        <w:br/>
        <w:t>Notice of initiation of investigative proceedings 26</w:t>
        <w:br/>
        <w:t>PAYMENT ACCESSIBILITY - CONSUMER PROTECTION 28</w:t>
        <w:br/>
        <w:t>PV8 - AMA - CHARGES ON FOREIGN IBAN</w:t>
        <w:br/>
        <w:t>Provision No. 28032 28</w:t>
      </w:r>
    </w:p>
    <w:p>
      <w:r>
        <w:t>BULLETIN NO. 51 OF DECEMBER 23, 2019 5</w:t>
        <w:br/>
        <w:t>AGREEMENTS AND ABUSE OF DOMINANT POSITION</w:t>
        <w:br/>
        <w:t>I836 - DRIVING SCHOOL FEES IN THE PROVINCE OF COSENZA</w:t>
        <w:br/>
        <w:t>Provision No. 28029</w:t>
        <w:br/>
        <w:t>THE ANTITRUST AUTHORITY</w:t>
        <w:br/>
        <w:t>IN ITS MEETING of December 3, 2019;</w:t>
        <w:br/>
        <w:t>HEARD the Rapporteur Professor Ainis;</w:t>
        <w:br/>
        <w:t>HAVING REGARD to Law No. 287 of October 10, 1990;</w:t>
        <w:br/>
        <w:t>HAVING REGARD to D.P.R. No. 217 of April 30, 1998;</w:t>
        <w:br/>
        <w:t>HAVING REGARD to the documentation on file, which particularly accounts for the existence of a tariff, containing minimum prices for driving school services, which the interested driving schools are required to apply;</w:t>
        <w:br/>
        <w:t>CONSIDERED the following:</w:t>
        <w:br/>
        <w:t>I. THE PARTY</w:t>
        <w:br/>
        <w:t>1. The Consortium of Driving Schools “Calabria 1” (hereinafter CA1 or also Consortium) is a consortium of driving schools established in 1992 that currently groups approximately 35 driving schools in the province of Cosenza, and whose corporate purpose is to promote the development and rationalization of the services provided by the driving schools that are part of it.</w:t>
        <w:br/>
        <w:t>2. In particular, the activity of the Consortium is carried out in the interest of its members and concerns: the purchase of instrumental goods and technologies; the provision of assistance and technical consultancy; the management of accounting data processing centers or other common services; financial assistance and consultancy; the acquisition, establishment, and management of equipped areas.</w:t>
        <w:br/>
        <w:t>II. THE TARIFF</w:t>
        <w:br/>
        <w:t>3. It is recorded in the documents the existence of a price list prepared by CA1 and titled “MINIMUM FEES TO BE APPLIED IN THE DRIVING SCHOOLS BELONGING TO THE CALABRIA 1 CONSORTIUM STARTING FROM 15/02/2018”.</w:t>
        <w:br/>
        <w:t>4. Specifically, this tariff lists the details of the minimum prices to be charged for each individual driving school service rendered to customers, in the following terms: “LICENSE AM: €250; LICENSE A1: €350; LICENSE B: €500; LICENSE C1: €600”, and so on for all possible categories of driving licenses.</w:t>
        <w:br/>
        <w:t>5. The tariff also specifies, at the conclusion of the list of the prices provided, that “FOR ALL LICENSE OR CQC [Driver Qualification Card]1 OBTAINMENTS, THE PRICE</w:t>
        <w:br/>
        <w:t>1 The Driver Qualification Card (CQC) is a qualification title certifying the professional capabilities of individuals already holding a higher category driving license, allowing them to perform professional activities related to</w:t>
      </w:r>
    </w:p>
    <w:p>
      <w:r>
        <w:rPr>
          <w:b/>
        </w:rPr>
        <w:t>[Pages 4–6]</w:t>
      </w:r>
    </w:p>
    <w:p>
      <w:r>
        <w:t>6 BULLETIN NO. 51 OF DECEMBER 23, 2019</w:t>
      </w:r>
    </w:p>
    <w:p>
      <w:r>
        <w:t>ESTABLISHED DOES NOT INCLUDE THE MEDICAL EXAMINATION AND THE CURRENT ACCOUNTS WHICH REMAIN AT THE EXPENSE OF THE CLIENT.</w:t>
      </w:r>
    </w:p>
    <w:p>
      <w:r>
        <w:t>III. EVALUATIONS</w:t>
      </w:r>
    </w:p>
    <w:p>
      <w:r>
        <w:t>a) The relevant market</w:t>
      </w:r>
    </w:p>
    <w:p>
      <w:r>
        <w:t>6. It is preliminarily noted that, in the investigations related to agreements, the definition of the relevant market is essentially aimed at identifying the characteristics of the economic and legal context in which the agreement or the practice agreed upon between enterprises is situated. As clarified by the consistent jurisprudential orientation regarding agreements, this definition is therefore functional to delineating the scope within which the agreement can restrict or distort the competitive mechanism and, also, to deciphering its degree of offensiveness.</w:t>
      </w:r>
    </w:p>
    <w:p>
      <w:r>
        <w:t>7. In this case, the agreement concerns the definition of a minimum tariff adopted by a consortium to which a significant number of driving school enterprises located in the province of Cosenza adhere.</w:t>
      </w:r>
    </w:p>
    <w:p>
      <w:r>
        <w:t>8. The commodity area affected by the agreement in question can therefore be identified with the professional provision of driving school services, which typically includes all services related to obtaining and renewing driving licenses for the various categories (A1, B, C1, C, etc.). By their nature, driving school services have a geographical dimension limited to a local area; in this case, the Consortium groups driving school enterprises located in the province of Cosenza which, therefore, represents the geographical context of reference for the evaluation of the case.</w:t>
      </w:r>
    </w:p>
    <w:p>
      <w:r>
        <w:t>b) The qualification of the case</w:t>
      </w:r>
    </w:p>
    <w:p>
      <w:r>
        <w:t>9. In accordance with established community and national jurisprudence, the notion of enterprise, relevant for the application of competition protection regulations, encompasses any entity that carries out an economic activity, regardless of its legal status or the related financing methods. Thus, it must be considered that driving schools, being entities that provide services of an economic nature on a stable basis, for a fee, and independently, constitute enterprises under antitrust law.</w:t>
      </w:r>
    </w:p>
    <w:p>
      <w:r>
        <w:t>10. Consequently, CA1, qualifying as a consortium to which various independent driving schools adhere, is also configured as an association of enterprises.</w:t>
      </w:r>
    </w:p>
    <w:p>
      <w:r>
        <w:t>In this sense, the acts adopted by it constitute resolutions of consortia or associations of enterprises and, therefore, agreements for the purposes of the application of Article 2 of Law No. 287/904.</w:t>
      </w:r>
    </w:p>
    <w:p>
      <w:r>
        <w:t>11. The case under examination consists of the adoption, by CA1, of a tariff aimed at predetermining the minimum remunerations due to the driving schools adhering in the province of Cosenza, as compensation for the provision of their services. The tariff in question appears particularly detailed, precisely articulating the types of services (for obtaining and renewing licenses), divided according to the category of license concerned, to which the corresponding (minimum) predetermined compensations apply.</w:t>
      </w:r>
    </w:p>
    <w:p>
      <w:r>
        <w:t>12. In this regard, it is necessary to consider how the horizontal fixing of prices for the provision of services is likely to cause a significant restriction of competition by its very nature. It represents, in particular, a particularly serious violation of antitrust regulations, as it aims to eliminate competition among operators regarding a particularly relevant economic variable, such as price. The resolutions of consortia through which tariffs are set (in this case, moreover, minimum) are, therefore, by their very nature, agreements capable of altering, significantly compressing, the play of competition, pursuant to Article 2, paragraph 2, letter a), of Law No. 287/905.</w:t>
      </w:r>
    </w:p>
    <w:p>
      <w:r>
        <w:t>13. Furthermore, it is useful to consider how the anticompetitive nature of agreements concerning minimum tariffs must be found regardless of whether the price indications contained therein are binding or not, since the latter are nonetheless likely to perform a function of guiding the behavior of operators and consequently determine an artificial homogenization of market conditions.</w:t>
      </w:r>
    </w:p>
    <w:p>
      <w:r>
        <w:t>CONSIDERING, therefore, that the establishment, by CA1, of a minimum tariff for the provision of driving school services may constitute a restrictive agreement of competition, pursuant to Article 2 of Law No. 287/90;</w:t>
      </w:r>
    </w:p>
    <w:p>
      <w:r>
        <w:t>RESOLVES</w:t>
      </w:r>
    </w:p>
    <w:p>
      <w:r>
        <w:t>a) to initiate the investigation, pursuant to Article 14 of Law No. 287/90, against the Consortium of Driving Schools "Calabria 1", to ascertain the existence of violations of Article 2 of Law 287/90;</w:t>
      </w:r>
    </w:p>
    <w:p>
      <w:r>
        <w:t>b) to set a deadline of sixty days, starting from the date of notification of this Provision, for the exercise by the legal representatives of the Party, or by persons delegated by them, of the right to be heard, specifying that the request for a hearing must be received by the Manufacturing and Services Directorate of the Directorate General for Competition of this Authority at least fifteen days before the expiration of the aforementioned deadline;</w:t>
      </w:r>
    </w:p>
    <w:p>
      <w:r>
        <w:t>c) that the Responsible for the Procedure is Dr. Gianluca Oliva;</w:t>
      </w:r>
    </w:p>
    <w:p>
      <w:r>
        <w:t>d) that the acts of the Procedure can be viewed at the Manufacturing and Services Directorate of the Directorate General for Competition of this Authority by the legal representatives of the Party, as well as by persons delegated by them;</w:t>
      </w:r>
    </w:p>
    <w:p>
      <w:r>
        <w:t>e) that the Procedure must be concluded by July 31, 2020.</w:t>
      </w:r>
    </w:p>
    <w:p>
      <w:r>
        <w:t>This Provision will be notified to the interested parties and published in the Bulletin of the Antitrust Authority.</w:t>
      </w:r>
    </w:p>
    <w:p>
      <w:r>
        <w:t>THE SECRETARY GENERAL THE PRESIDENT</w:t>
      </w:r>
    </w:p>
    <w:p>
      <w:r>
        <w:t>Filippo Arena Roberto Rustichelli</w:t>
      </w:r>
    </w:p>
    <w:p>
      <w:r>
        <w:rPr>
          <w:b/>
        </w:rPr>
        <w:t>[Pages 7–9]</w:t>
      </w:r>
    </w:p>
    <w:p>
      <w:r>
        <w:t>BULLETIN NO. 51 OF DECEMBER 23, 2019 9</w:t>
        <w:br/>
        <w:t>CONCENTRATION OPERATIONS</w:t>
        <w:br/>
        <w:t>C12264 - CAISSE DES DÉPÔTS ET CONSIGNATIONS/LA POSTE- CNP ASSURANCES</w:t>
        <w:br/>
        <w:t>Provision No. 28028</w:t>
        <w:br/>
        <w:t>THE ANTITRUST AUTHORITY</w:t>
        <w:br/>
        <w:t>IN ITS MEETING of December 3, 2019;</w:t>
        <w:br/>
        <w:t>HEARD the Rapporteur Dr. Gabriella Muscolo;</w:t>
        <w:br/>
        <w:t>HAVING REGARD TO Regulation (EC) No. 139/2004;</w:t>
        <w:br/>
        <w:t>HAVING REGARD TO Law No. 287 of October 10, 1990;</w:t>
        <w:br/>
        <w:t>HAVING REGARD TO Presidential Decree No. 217 of April 30, 1998;</w:t>
        <w:br/>
        <w:t>HAVING REGARD TO the communication from Caisse des Dépôts et Consignations, received on October 21, 2019;</w:t>
        <w:br/>
        <w:t>HAVING REGARD TO the opinion of IVASS, received on November 20, 2019;</w:t>
        <w:br/>
        <w:t>HAVING REGARD TO the documentation on file;</w:t>
        <w:br/>
        <w:t>CONSIDERING the following:</w:t>
        <w:br/>
        <w:t>I. THE PARTIES</w:t>
        <w:br/>
        <w:t>1. Caisse des Dépôts et Consignations (hereinafter, “CDC”) is a French public entity with holdings in various sectors worldwide. More precisely, CDC is a public institution with a special legal status, governed by Articles L.518-2 and following of the “Code Monétaire et Financier” (French Monetary and Financial Code) (“CMF”) and is the parent company of the so-called CDC Group of companies. In Italy, CDC, through controlled companies, is active in various fields, including the management of containerized maritime transport and port terminals (through Bpifrance and its subsidiary CMA-CGM) and digital marketing consulting (through Qualium and its subsidiary Labelium). In 2018, CDC achieved a consolidated worldwide turnover of approximately [20,000-30,000]* million euros, of which approximately [10,000-20,000] million euros were generated in Europe and approximately [30-100] million euros in Italy.</w:t>
        <w:br/>
        <w:t>2. La Poste S.A. is a company governed by French law (hereinafter, “La Poste”), jointly controlled by the French State and CDC, and is the holding company of the La Poste Group (hereinafter, “GLP”). GLP operates through 5 business units: (i) Service-Mail-Parcels, (ii) GeoPost, (iii) La Poste Network, consisting of 17,126 “contact points” of La Poste, i.e., offices that distribute postal, financial, and telephone products and services to the public in France, (iv) Digital, which develops and markets GLP's digital solutions and services in the field of digital transformation, digital marketing, desktop publishing, and digital trust, and (v) La Banque Postale S.A. (“LBP”), which operates in the banking and insurance sector. In Italy, GLP is primarily active in Service-Mail-Parcels through La Poste and the following controlled companies:</w:t>
        <w:br/>
        <w:t>- Asendia, controlled by La Poste Global Mail, active in the delivery of small packages and the international distribution of mail and print as well as integrated logistics services;</w:t>
        <w:br/>
        <w:t>- EShopWorld, a subsidiary of Asendia within the La Poste Global Mail branch, which provides customized e-commerce solutions (based on information technology) to professionals selling their products on online platforms;</w:t>
        <w:br/>
        <w:t>- MediaPost, active in Italy through three subsidiaries Cassiop, Sogec Gestion, and MediaPost Espagne SL, which carry out direct and promotional marketing activities. At the national level, GLP also operates through GeoPost, 100% controlled by La Poste, which handles La Poste's express courier activities in France and internationally. In Italy, GeoPost is particularly active in the distribution of small packages through its subsidiaries Group DPD and BRT S.p.A. Furthermore, GeoPost's subsidiaries Tigers and Lenton are active in Italy in the shipping of goods, including the organization of transport and other related services. LBP is not active in Italy, either in the banking or insurance sector. In 2018, La Poste achieved a consolidated worldwide turnover of approximately [20,000-30,000] million euros, of which approximately [20,000-30,000] million euros were generated in Europe and approximately [30-100] million euros in Italy.</w:t>
        <w:br/>
        <w:t>3. CNP Assurances S.A. (hereinafter, “CNP”) is a company governed by French law at the head of the eponymous CNP group, which develops, provides, and manages various insurance products worldwide. CNP primarily operates in the provision of individual and collective life and health insurance products. Its products are mainly distributed through its bancassurance partners, i.e., LBP and Banques Populaires et des Caisses d'Epargne (hereinafter, “BPCE”). CNP operates, in fact, only marginally in the provision of non-life insurance products, such as accident insurance and payment protection insurance. In Italy, CNP is active in the production of life and non-life insurance products. With regard to life insurance products, it is particularly involved in:</w:t>
        <w:br/>
        <w:t>2 It should be noted that GeoPost notified, on November 19, 2019, the European Commission of a concentration project whereby it will move from joint control to exclusive control of BRT S.p.A. (See Notice of preventive notification of concentration (Case M.9618 – La Poste/BRT) in the Official Journal of the European Union C 401 “Communications and Information” of November 27, 2019).</w:t>
        <w:br/>
        <w:t>3 Furthermore, CNP has limited activities in the distribution of insurance on behalf of third parties and is involved in the reinsurance of certain personal risk products, health insurance, and credit insurance. Finally, CNP also carries out some ancillary activities related to its insurance sector activities.</w:t>
      </w:r>
    </w:p>
    <w:p>
      <w:r>
        <w:t>BULLETIN NO. 51 OF DECEMBER 23, 2019 11</w:t>
        <w:br/>
        <w:t>1. insurance related to the duration of human life (Branch I), marriage, and childbirth (Branch II) whose main benefits are directly linked to the value of shares of an OICVM (collective investment organizations in transferable securities), or an internal fund, or an index, or other benchmarks (Branch III);</w:t>
        <w:br/>
        <w:t>2. health insurance and insurance against the risk of loss of autonomy (Branch IV). With regard to non-life insurance products, it operates in the following branches:</w:t>
        <w:br/>
        <w:t>1. Accidents (Branch 1);</w:t>
        <w:br/>
        <w:t>2. Illness (Branch 2);</w:t>
        <w:br/>
        <w:t>3. Various types of financial losses (Branch 16). CNP also distributes life insurance products in Italy. In 2018, CNP achieved a consolidated worldwide turnover of approximately [30,000-40,000] million euros, of which approximately [20,000-30,000] million euros were generated in Europe and approximately [3,000-4,000] million euros in Italy.</w:t>
        <w:br/>
        <w:t>II. DESCRIPTION OF THE OPERATION</w:t>
        <w:br/>
        <w:t>4. The communication under examination concerns the acquisition of exclusive control of La Poste and CNP by CDC.</w:t>
        <w:br/>
        <w:t>5. La Poste is currently jointly controlled by the French State ([70-75%]) and CDC ([25-30%]). In fact, while the French State holds the majority of voting rights, CDC has veto rights regarding certain strategic decisions related to the adoption of the budget and the business plan.</w:t>
        <w:br/>
        <w:t>6. The share capital of CNP is currently held by CDC ([40-45%]), the French State ([1-5%]), and Sopassure ([35-40%]). The latter is jointly controlled by LBP (through a subsidiary controlled at [95-100%], called SF2) and the Groupe des Banques Populaires et des Caisses d'Epargne ("BPCE Group") (through a subsidiary controlled at [95-100%], called Holassure). The remaining [20-25%] of the share capital is held by the public, as it is a listed company. Since none of the shareholders benefit from the majority of voting rights or veto rights, CNP is not currently controlled by any enterprise.</w:t>
        <w:br/>
        <w:t xml:space="preserve">7. With the operation in question, CDC will acquire direct exclusive control of La Poste, the holding company of GLP, and, through LBP, 100% controlled by La Poste, indirect exclusive control of CNP. In detail, the operation will be structured in four interconnected phases, as they are related, both de jure and de facto, since none of them would take place without the other. In fact, although they comprise distinct operations, they can be treated as a single concentration as they are interdependent, i.e., one operation would not have been carried out without the other. </w:t>
        <w:br/>
        <w:t>4 Moreover, Recital 20 of Regulation (EC) No. 139/2004 expressly states that it is appropriate: “To treat as a single concentration operations that are closely linked to each other with conditional ties or take the form of a series of operations on transferable securities concluded within a reasonably short period of time.”</w:t>
      </w:r>
    </w:p>
    <w:p>
      <w:r>
        <w:rPr>
          <w:b/>
        </w:rPr>
        <w:t>[Pages 10–12]</w:t>
      </w:r>
    </w:p>
    <w:p>
      <w:r>
        <w:t>12 BULLETIN NO. 51 OF DECEMBER 23, 2019</w:t>
      </w:r>
    </w:p>
    <w:p>
      <w:r>
        <w:t>III. QUALIFICATION OF THE TRANSACTION</w:t>
      </w:r>
    </w:p>
    <w:p>
      <w:r>
        <w:t>8. The notified transaction, as it involves the acquisition of control over companies, constitutes a concentration pursuant to Article 5, paragraph 1, letter b), of Law No. 287/90. It falls within the scope of application of Law No. 287/90, as the conditions set out in Article 1 of Regulation (EC) No. 139/20045 are not met, and it is subject to the obligation of prior notification provided for by Article 16, paragraph 1, of the same law, as the total turnover achieved in the last financial year at the national level by the group of companies concerned was over 498 million euros and the total turnover achieved, in the last financial year at the national level, individually by at least two of the companies concerned was over 30 million euros6.</w:t>
      </w:r>
    </w:p>
    <w:p>
      <w:r>
        <w:t>IV. THE OPINION OF IVASS</w:t>
      </w:r>
    </w:p>
    <w:p>
      <w:r>
        <w:t>9. In an opinion received on November 20, 2019, IVASS did not highlight in the transaction the existence of elements capable of altering the competitive balance in the Italian domestic insurance market.</w:t>
      </w:r>
    </w:p>
    <w:p>
      <w:r>
        <w:t>V. EVALUATION OF THE CONCENTRATION</w:t>
      </w:r>
    </w:p>
    <w:p>
      <w:r>
        <w:t>10. The concentration operation under examination concerns:</w:t>
        <w:br/>
        <w:t>i. from the perspective of the acquisition of exclusive direct control of La Poste by CDC, the market for the shipping of goods, the market for integrated logistics services, and the market for marketing services for communications, in which both CDC and La Poste operate in Italy through controlled companies, and for the profiles of possible vertical interaction, also the market for small parcel delivery services and the market for container shipping;</w:t>
        <w:br/>
        <w:t>ii. from the perspective of the acquisition of exclusive indirect control of CNP - through LBP - by CDC, the markets for the production of insurance products and their distribution, limited to life products7.</w:t>
      </w:r>
    </w:p>
    <w:p>
      <w:r>
        <w:t>11. As for the first profile i), as highlighted above, in Italy, the activities of La Poste/GLP and CDC overlap horizontally only in the market for the shipping of goods, the market for integrated logistics services, and the market for marketing services for communications.</w:t>
      </w:r>
    </w:p>
    <w:p>
      <w:r>
        <w:t>5 The transaction does not have a European dimension as the thresholds set out in Article 1 of Regulation (EC) No. 139/2004 are not met. In particular, in the last completed financial year, CDC, La Poste, and CNP each generated more than two-thirds of their individual turnover at the European level within a single Member State, namely France.</w:t>
      </w:r>
    </w:p>
    <w:p>
      <w:r>
        <w:t>6 Authority Provision No. 27591 of March 20, 2019 “Reevaluation of turnover thresholds pursuant to Article 16, paragraph 1, of Law No. 287/90”.</w:t>
      </w:r>
    </w:p>
    <w:p>
      <w:r>
        <w:t>7 The consolidated orientation of the Authority considers each branch of the life and non-life insurance sectors as a distinct product market. This distinction regarding individual insurance branches is primarily based on the object of the service provided, the risks assumed, and the insurance coverage objective expressed by the demand for each individual branch. Furthermore, the non-life and life insurance markets are distinct, each between the production phase, which has a national geographical dimension, and the distribution phase, which is characterized by its local dimension, considered in the first approximation at the provincial level according to the Authority's practice.</w:t>
      </w:r>
    </w:p>
    <w:p>
      <w:r>
        <w:t>BULLETIN NO. 51 OF DECEMBER 23, 2019 13</w:t>
      </w:r>
    </w:p>
    <w:p>
      <w:r>
        <w:t>In particular, La Poste/GLP has a marginal presence: in the market for the shipping of goods through Tigers, a subsidiary of the DPD Group, and Lenton (which are in turn controlled by Geopost), with an overall share of less than 1%; in the market for integrated logistics services, through BRT S.p.A. and Asendia, with a share of less than 5%; and in the market for marketing services for communications, through its subsidiary Mediapost, with a share of less than 1%.</w:t>
      </w:r>
    </w:p>
    <w:p>
      <w:r>
        <w:t>CDC operates instead in the markets for the shipping of goods and integrated logistics services, through CMA-CGM, with a share of approximately [1-5%] and [5-10%] respectively, and in marketing services for communications, through its subsidiary Labelium, with a share of less than 1%.</w:t>
      </w:r>
    </w:p>
    <w:p>
      <w:r>
        <w:t>Following the transaction, therefore, the market share of the Parties in the market for the shipping of goods will be [1-5%], in the market for integrated logistics services will be [10-15%], and in the market for marketing services for communications will be [1-5%]. It is therefore not believed that it will produce tangible or significant horizontal effects in these markets.</w:t>
      </w:r>
    </w:p>
    <w:p>
      <w:r>
        <w:t>Some activities of CDC and La Poste/GLP are then vertically linked, specifically:</w:t>
        <w:br/>
        <w:t>a) the integrated logistics services in which CMA-CGM, controlled by CDC, is active and the small parcel delivery services where La Poste and its subsidiaries GeoPost and Asendia operate;</w:t>
        <w:br/>
        <w:t>b) the container shipping services, where CMA-CGM, controlled by CDC, operates, and the shipping of goods in which Tigers is active.</w:t>
      </w:r>
    </w:p>
    <w:p>
      <w:r>
        <w:t>On the contrary, there does not seem to be any vertical link between the shipping of goods and integrated logistics services.</w:t>
      </w:r>
    </w:p>
    <w:p>
      <w:r>
        <w:t>In any case, with reference to point sub a), the market shares held by the Parties are de minimis and such that the transaction does not appear likely to produce any vertical foreclosure effect in the markets in question. CMA-CGM holds - through CEVA - in the market for integrated logistics services a share of [5-10%] in Italy, and GLP operates in the market for small parcel delivery services through La Poste and its subsidiaries such as Asendia, LPMM, the companies of the DPD Group, and BRT S.p.A., with a share of approximately [20-25%] in Italy. It should also be noted that this vertical relationship already existed prior to the Transaction, which will therefore not change the existing market scenario.</w:t>
      </w:r>
    </w:p>
    <w:p>
      <w:r>
        <w:t>Regarding point sub b), in the market for container shipping services, only CDC operates through CMA-CGM with a share of approximately [30-35%] for certain markets8, but in the downstream market for the shipping of goods, CMA-CGM holds [1-5%] in Italy and [1-5%] globally, and GLP, through its subsidiaries Tigers and Lenton, holds less than 1% in Italy and less than 1% globally. It should also be noted that many other carriers provide container shipping services in the SEE and there are no switching costs for customers who decide to change carriers. In other words, all companies active in the market for the shipping of goods benefit from a varied offer to turn to for container shipping services.</w:t>
      </w:r>
    </w:p>
    <w:p>
      <w:r>
        <w:t>Finally, CNP does not operate in any of the aforementioned markets.</w:t>
      </w:r>
    </w:p>
    <w:p>
      <w:r>
        <w:t>12. As for the second profile ii), it should be noted that LBP, which distributes CNP's insurance products, does not operate in Italy and that, therefore, neither CDC nor La Poste are active at the national level in the markets for the production and distribution of insurance products.</w:t>
      </w:r>
    </w:p>
    <w:p>
      <w:r>
        <w:t>8 Specifically referring to the Mediterranean - Central America and Caribbean route, both for the outbound and inbound route.</w:t>
      </w:r>
    </w:p>
    <w:p>
      <w:r>
        <w:t>14 BULLETIN NO. 51 OF DECEMBER 23, 2019</w:t>
      </w:r>
    </w:p>
    <w:p>
      <w:r>
        <w:t>It follows that there are no horizontal overlaps in relation to these markets and the transaction under examination is essentially neutral in relation to them. Furthermore, considering that CNP in Italy controls the company CNP UniCredit Vita S.p.A., which offers life insurance products in Italy, the concentration operation in question does not appear to produce any significant vertical competitive effects in the markets in question, given that there is no vertical relationship between the activities carried out by CDC and those of any company active in Italy controlled by CNP.</w:t>
      </w:r>
    </w:p>
    <w:p>
      <w:r>
        <w:t>13. In light of the entirety of the foregoing considerations, given the absence of substantial overlaps of a horizontal nature, as well as possible competitive issues of a vertical nature, the transaction does not appear to produce significant alterations in the competitive structure of all the affected markets.</w:t>
      </w:r>
    </w:p>
    <w:p>
      <w:r>
        <w:t>THEREFORE, IT IS CONSIDERED that the transaction under examination does not entail, pursuant to Article 6, paragraph 1, of Law No. 287/90,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concerned and to the Minister of Economic Development.</w:t>
      </w:r>
    </w:p>
    <w:p>
      <w:r>
        <w:t>This provision will be published in the Bulletin of the Antitrust Authority.</w:t>
      </w:r>
    </w:p>
    <w:p>
      <w:r>
        <w:t>THE SECRETARY GENERAL THE PRESIDENT</w:t>
      </w:r>
    </w:p>
    <w:p>
      <w:r>
        <w:t>Filippo Arena Roberto Rustichelli</w:t>
      </w:r>
    </w:p>
    <w:p>
      <w:r>
        <w:rPr>
          <w:b/>
        </w:rPr>
        <w:t>[Pages 13–15]</w:t>
      </w:r>
    </w:p>
    <w:p>
      <w:r>
        <w:t>BULLETIN NO. 51 OF DECEMBER 23, 2019 15</w:t>
      </w:r>
    </w:p>
    <w:p>
      <w:r>
        <w:t>ACTIVITY OF REPORTING AND CONSULTATION</w:t>
        <w:br/>
        <w:t>AS1631 - CONSIP - TENDER FOR THE SUPPLY OF LAPTOPS AND 2 IN 1 TABLETS FOR PUBLIC ADMINISTRATIONS</w:t>
        <w:br/>
        <w:t>Rome, October 7, 2019</w:t>
        <w:br/>
        <w:t>Ministry of Economy and Finance</w:t>
        <w:br/>
        <w:t>With reference to the request for an opinion, formulated by the Ministry of Economy and Finance, concerning the draft of the “Tender for the purchase supply of Laptops and 2 in 1 Tablets and related and optional services (transport, delivery and installation; On-site assistance and maintenance service for 12 or 36 months; Collection for disposal of used equipment; Reporting; Call center; Software pre-installation) for Public Administrations ID SIGeF 2191 - Edition No. 4”, the Competition Authority, in its meeting of September 25, 2019, resolved to carry out, pursuant to Article 22 of Law No. 287 of October 10, 1990, the considerations set forth below.</w:t>
      </w:r>
    </w:p>
    <w:p>
      <w:r>
        <w:t>Preliminarily, it is noted that the production chain of laptops and tablets is characterized by a significant number of internationally relevant producers, who, however, do not participate directly in open tenders but rely on the intermediation of distributors and resellers. From the analysis of previous tenders, the participation of few competing entities is highlighted, despite the existence of favorable factors for the configuration of contestable lots.</w:t>
      </w:r>
    </w:p>
    <w:p>
      <w:r>
        <w:t>Regarding the introduction of a participation ban for “overabundant” temporary groupings of enterprises, it is recalled that the imposition of automatic exclusion clauses does not appear to be in line with the indications of the Authority contained in the “Communication regarding the exclusion of groupings” disseminated on the institutional website since December 23, 2014, and with the indications already provided to Consip on several occasions.</w:t>
      </w:r>
    </w:p>
    <w:p>
      <w:r>
        <w:t>In particular, it is recalled that the Authority has clarified that “the possible inclusion of a clause for the exclusion of the ‘overabundant’ RTI, as well as its application by the contracting authority, [must be based on] the principle of proportionality, recognizing the possibility of excluding the grouping only where it presents characteristics in the specific case that can be considered macroscopically anti-competitive and, therefore, in contrast with Article 101 TFEU and/or Article 2, Law No. 287/90.”</w:t>
      </w:r>
    </w:p>
    <w:p>
      <w:r>
        <w:t xml:space="preserve">In the cited Communication, the Authority also highlighted that “in order to ensure a correct balance between the principles imposed by Union law to protect free competition, on the one hand, and to guarantee the widest participation in public tenders, on the other […] the inclusion in tender notices of clauses excluding the participation of ‘overabundant’ RTIs is legitimate only where the clause: </w:t>
        <w:br/>
        <w:t xml:space="preserve">1) specifies the reasons for the possible exclusion in relation to the needs of the specific case, such as the nature of the service and/or the structure of the relevant market; </w:t>
        <w:br/>
        <w:t xml:space="preserve">2) provides that the exclusion of the RTI cannot be automatic, as the contracting authority is required to demonstrate the existence of concrete and current risks of collusion among the participating companies in the grouping; </w:t>
        <w:br/>
        <w:t>3) stipulates that the evaluation of the contracting authority, regarding the existence of possible anti-competitive profiles in the formation of the grouping, takes into account the justifications – in terms of managerial and industrial efficiency, in light of the value, size, or type of service requested – that the participating companies in the RTI provide at the time of submitting the application or at the request of the contracting authority.”</w:t>
      </w:r>
    </w:p>
    <w:p>
      <w:r>
        <w:t>Indeed, according to established jurisprudential orientation “The associative agreement for such RTIs, like any relationship between private parties, is in fact neutral and, as such, is subject to the ordinary rules on the legality and merit of the cause and cannot be said to be contrary to the competitive comparison typical of public evidence…”3, without prejudice to the possibility for the contracting authority to evaluate the existence of possible anti-competitive profiles in the formation of the grouping.</w:t>
      </w:r>
    </w:p>
    <w:p>
      <w:r>
        <w:t>In this regard, it must take into account any justifications – in terms of managerial and industrial efficiency, in light of the value, size, or type of service requested – that the participating companies in the RTI must provide at the time of submitting the application or at the request of the contracting authority.</w:t>
      </w:r>
    </w:p>
    <w:p>
      <w:r>
        <w:t>The Authority hopes that the considerations outlined above may be useful in the definition of the tender for the supply of the services in question.</w:t>
      </w:r>
    </w:p>
    <w:p>
      <w:r>
        <w:t>In any case, the Authority reserves the right to evaluate the published tender as well as the outcomes of the tender, should elements emerge during its conduct that could configure anti-competitive offenses.</w:t>
      </w:r>
    </w:p>
    <w:p>
      <w:r>
        <w:t>This opinion will be published in the bulletin referred to in Article 26 of Law No. 287/1990, following the publication of the tender.</w:t>
      </w:r>
    </w:p>
    <w:p>
      <w:r>
        <w:t>THE PRESIDENT</w:t>
        <w:br/>
        <w:t>Roberto Rustichelli</w:t>
      </w:r>
    </w:p>
    <w:p>
      <w:r>
        <w:t>3 See, among others, Council of State, Section III, October 5, 2016, (hearing 07/07/2016, deposited 05/10/2016), No. 4115 and Council of State, Section III, June 11, 2012, No. 3402.</w:t>
      </w:r>
    </w:p>
    <w:p>
      <w:r>
        <w:t>BULLETIN NO. 51 OF DECEMBER 23, 2019 17</w:t>
      </w:r>
    </w:p>
    <w:p>
      <w:r>
        <w:t>AS1632 - CONSIP - TENDER FOR THE RENTAL SUPPLY OF MID-RANGE MULTIFUNCTION DEVICES FOR SCANNING, COPYING, AND PRINTING FOR PUBLIC ADMINISTRATIONS</w:t>
        <w:br/>
        <w:t>Rome, October 15, 2019</w:t>
        <w:br/>
        <w:t>Ministry of Economy and Finance</w:t>
        <w:br/>
        <w:t>With reference to the request for an opinion, formulated by the Ministry of Economy and Finance, concerning the draft of the “Tender for the stipulation of Agreements for the rental supply of mid-range multifunction devices for scanning, copying, and printing and related services for PA - Edition No. 32 - Lots No. 5 (ID SIGeF 2141)”, the Competition Authority, in its meeting of October 8, 2019, resolved to carry out, pursuant to Article 22 of Law No. 287 of October 10, 1990, the considerations set forth below.</w:t>
      </w:r>
    </w:p>
    <w:p>
      <w:r>
        <w:t>Preliminarily, it is noted that the production chain of multifunction devices is characterized by a significant number of internationally relevant producers, who often participate directly in open tenders, without the intermediation of distributors and resellers. In some cases, they also rely on national resellers.</w:t>
      </w:r>
    </w:p>
    <w:p>
      <w:r>
        <w:t>From the observation of previous tenders, the systematic participation of a limited number of competitors is highlighted, despite the existence of favorable market conditions for the configuration of contestable lots.</w:t>
      </w:r>
    </w:p>
    <w:p>
      <w:r>
        <w:t>In this regard, the Authority notes that a different definition of the tender procedures could help overcome this outcome. In fact, the financial requirements underlying participation could constitute barriers to entry, reducing the number of competitors and favoring possible restrictive agreements on competition.</w:t>
      </w:r>
    </w:p>
    <w:p>
      <w:r>
        <w:t>In particular, it is noted that the identification and precise analysis of the commodity markets is necessary to outline the type of entities operating on the supply side and thus prepare tender lots characterized by financial participation conditions that allow a wider number of international producers and national distributors to participate, in order to ensure the widest participation in the tender.</w:t>
      </w:r>
    </w:p>
    <w:p>
      <w:r>
        <w:t>In the specific case of the multifunction devices market, which, as is known, is highly standardized, revenue requirements are not necessary to select companies with proven capacity in the sector. That said, the revenue thresholds currently provided for individual lots appear suitable to exclude from competitive comparison even companies with proven experience in the sector.</w:t>
      </w:r>
    </w:p>
    <w:p>
      <w:r>
        <w:rPr>
          <w:b/>
        </w:rPr>
        <w:t>[Pages 16–18]</w:t>
      </w:r>
    </w:p>
    <w:p>
      <w:r>
        <w:t>18 BULLETIN NO. 51 OF DECEMBER 23, 2019</w:t>
      </w:r>
    </w:p>
    <w:p>
      <w:r>
        <w:t>such market and which are ordinarily suppliers to the Public Administration in the main ICT markets.</w:t>
      </w:r>
    </w:p>
    <w:p>
      <w:r>
        <w:t>It is therefore recommended to reduce the minimum amount of specific turnover, including in the calculation the turnover achieved on other products that are part of the ICT sector.</w:t>
      </w:r>
    </w:p>
    <w:p>
      <w:r>
        <w:t>Furthermore, in order to expand the possibility of participation in the tenders in question, particular attention is recommended to the forms of cooperation between companies provided for in the Consip tender.</w:t>
      </w:r>
    </w:p>
    <w:p>
      <w:r>
        <w:t>Firstly, regarding the introduction of a prohibition of participation for "overabundant" temporary groupings of companies, it is noted that the imposition of automatic exclusion clauses does not appear to be in line with the Authority's indications contained in the "Communication regarding the exclusion of groupings" published on the institutional website on December 23, 2014, and with the indications already provided to Consip on several occasions.</w:t>
      </w:r>
    </w:p>
    <w:p>
      <w:r>
        <w:t>In particular, it is recalled that the Authority has clarified that "the possible inclusion of a clause for the exclusion of the 'overabundant' RTI, as well as its application by the contracting authority, [must be based on] the principle of proportionality, recognizing the possibility of excluding the grouping only where it presents characteristics that can be considered macroscopically anticompetitive and, therefore, in contrast with Article 101 TFEU and/or Article 2, Law No. 287/90."</w:t>
      </w:r>
    </w:p>
    <w:p>
      <w:r>
        <w:t xml:space="preserve">In the aforementioned Communication, the Authority also highlighted that "in order to ensure a correct balance between the principles imposed by Union law to protect free competition, on the one hand, and to guarantee the widest participation in public tenders, on the other [...] the inclusion in the tender notices of clauses excluding the participation of 'overabundant' RTIs is legitimate only where the clause: </w:t>
        <w:br/>
        <w:t xml:space="preserve">1) specifies the reasons for the possible exclusion in relation to the needs of the specific case, such as the nature of the service and/or the structure of the relevant market; </w:t>
        <w:br/>
        <w:t xml:space="preserve">2) provides that the exclusion of the RTI cannot be automatic, as the contracting authority is required to demonstrate the existence of concrete and current risks of collusion among the participating companies in the grouping; </w:t>
        <w:br/>
        <w:t>3) stipulates that the assessment of the contracting authority regarding the existence of possible anticompetitive profiles in the formation of the grouping takes into account the justifications – in terms of managerial and industrial efficiency, in light of the value, size, or type of service requested – that the participating companies in the RTI provide at the time of submitting the application or at the request of the contracting authority."</w:t>
      </w:r>
    </w:p>
    <w:p>
      <w:r>
        <w:t>Indeed, according to established jurisprudential orientation, "[the] associative agreement for such RTIs, like any relationship between private parties, is in fact neutral and, as such, is subject to the ordinary rules on the legality and merit of the cause and cannot be said to be contrary to the competitive comparison typical of public procurement..." remaining the possibility for the contracting authority to assess the existence of possible anticompetitive profiles in the formation of the grouping.</w:t>
      </w:r>
    </w:p>
    <w:p>
      <w:r>
        <w:t>In this regard, it must take into account any justifications – in terms of managerial and industrial efficiency, in light of the value, size, or type of service requested – that the participating companies in the RTI must provide at the time of submitting the application or at the request of the contracting authority.</w:t>
      </w:r>
    </w:p>
    <w:p>
      <w:r>
        <w:t>Secondly, in the specific case of tenders related to hardware and software products included in the ICT sector, including multifunction devices, it is recommended to pay particular attention to the role of vendors in direct or indirect participation in the tender, in the latter case resorting to partnerships with resellers, even without adopting typical forms of cooperative participation provided for by the procurement code.</w:t>
      </w:r>
    </w:p>
    <w:p>
      <w:r>
        <w:t>In particular, the provision that allows for the possibility of changing the awarded product - due to technological evolution or the cessation of production of multifunction devices - may create a secondary market capable of disincentivizing both the participation of smaller producers and the formulation of offers at the lowest price for the public administration. This is because producers will always be able to negotiate with the awardees supplies different from those resulting from the outcomes of the tender procedure, albeit in compliance with the technical and economic requirements.</w:t>
      </w:r>
    </w:p>
    <w:p>
      <w:r>
        <w:t>Therefore, it is recommended to provide in the tender that the supply of products different from those subject to the award may be offered exclusively in exceptional cases defined in advance and cannot in any case be attributable to vendors whose products have been offered in the same tender.</w:t>
      </w:r>
    </w:p>
    <w:p>
      <w:r>
        <w:t>Finally, regarding the relevance of previous assessments by the Authority for the purpose of evaluating the possible exclusion of a participant from the tender pursuant to Article 80, paragraph 5, letter c), of the Public Contracts Code, it is noted, in line with the orientation indicated also by the National Anti-Corruption Authority in the proposed amendment to Guidelines No. 6, which received a favorable opinion from the Council of State, that such exclusion can only be traced back to the existence of an unchallengeable provision or confirmed by a definitive ruling from the competent judicial authority.</w:t>
      </w:r>
    </w:p>
    <w:p>
      <w:r>
        <w:t>As for the indications regarding the relevance of a previous conviction for unfair commercial practices for the possible exclusion of an operator, reference is made to what the Authority has observed in previous opinions and reports, according to which it does not appear to be in line with what is provided in the aforementioned primary norm to include convictions for unfair commercial practices within the scope of professional offenses that could constitute grounds for exclusion from participation in tenders. This is because such a type of violation cannot be configured as a professional offense related to public contracting, given that the conduct carried out by the economic operator in the phase of participating in a tender is evidently not framed in any way within the scope of a consumer relationship.</w:t>
      </w:r>
    </w:p>
    <w:p>
      <w:r>
        <w:t>The Authority trusts that the considerations outlined above may be useful in defining the tender for the provision of the services in question.</w:t>
      </w:r>
    </w:p>
    <w:p>
      <w:r>
        <w:t>In any case, the Authority reserves the right to evaluate the published tender as well as the outcomes of the tender, should elements capable of configuring anticompetitive offenses emerge during its conduct.</w:t>
      </w:r>
    </w:p>
    <w:p>
      <w:r>
        <w:t>This opinion will be published in the bulletin referred to in Article 26 of Law No. 287/1990, following the publication of the tender.</w:t>
      </w:r>
    </w:p>
    <w:p>
      <w:r>
        <w:t xml:space="preserve">THE PRESIDENT </w:t>
        <w:br/>
        <w:t>Roberto Rustichelli</w:t>
      </w:r>
    </w:p>
    <w:p>
      <w:r>
        <w:rPr>
          <w:b/>
        </w:rPr>
        <w:t>[Pages 19–21]</w:t>
      </w:r>
    </w:p>
    <w:p>
      <w:r>
        <w:t xml:space="preserve">BULLETIN NO. 51 OF DECEMBER 23, 2019 21  </w:t>
        <w:br/>
        <w:t xml:space="preserve">AS1633 – PUBLICATION OF TENDER NOTICES FOR THE AWARDING OF THE NATURAL GAS DISTRIBUTION SERVICE  </w:t>
        <w:br/>
        <w:t xml:space="preserve">Rome, November 19, 2019  </w:t>
        <w:br/>
        <w:t xml:space="preserve">Ministry of Economic Development  </w:t>
        <w:br/>
        <w:t xml:space="preserve">The Authority, in its meeting of November 12, 2019, deemed it appropriate to make the following considerations, pursuant to Article 22 of Law No. 287/1990, regarding the power granted, by Article 4, paragraph 2, of Decree-Law No. 69/20131, to the Ministry of Economic Development to initiate, through the appointment of a commissioner ad acta, the tender for the concession of the natural gas distribution service in the Minimum Territorial Areas (ATEM) in relation to which the contracting authorities have not proceeded with the initiation of the respective awarding procedure within the established terms.  </w:t>
        <w:br/>
        <w:t xml:space="preserve">As is known, in fact, the decree of the Ministry of Economic Development of November 12, 2011, No. 2262 (so-called Criteria Decree) provided that, in the event of failure to publish by the contracting authority the tender notice within the terms established by the same Decree, “the competent Region for the area grants an additional six months to comply, after which it initiates the tender procedure by appointing a commissioner ad acta.” The subsequent Decree-Law No. 69/2013 and subsequent amendments, in turn, provided that “two months after the expiration of this term [of six months] without the competent Region having proceeded to appoint the commissioner ad acta, the Ministry of Economic Development, having consulted the Region, intervenes to initiate the tender by appointing a commissioner ad acta.”  </w:t>
        <w:br/>
        <w:t xml:space="preserve">In this regard, the Authority has already had the opportunity to critically note the chronic failure to exercise the so-called substitute power for the initiation of tenders for the concession of the natural gas distribution service, primarily by the Regions, and, secondarily, by the MISE3. This substitute intervention appears, instead, to be an appropriate tool to effectively counter the serious delay in the awarding of the so-called ATEM tenders and, therefore, in the realization of an efficient and competitive organization of the natural gas distribution market, as envisaged by European and national legislation.  </w:t>
        <w:br/>
        <w:t xml:space="preserve">The liberalization process of the sector has, in fact, identified precisely in the competitive comparison of the offers presented by the largest possible number of operators the adequate means to ensure the best selection, from a technical and economic perspective, of the service manager, concerning a territorial perimeter identified based on assessments aimed at maximizing the efficiency, effectiveness, and cost-effectiveness of management (i.e., the ATEM), and for a duration consistent with the value and organizational complexity of the concession itself (i.e., twelve years).  </w:t>
        <w:br/>
        <w:t xml:space="preserve">Currently, on the other hand, only twenty-eight tender notices have been published out of a total of one hundred seventy-seven ATEM4. Of all those carried out, only two ATEM tenders have been awarded, despite the fact that the terms for activating the so-called substitute power of the competent Region have long since expired for almost all one hundred seventy-seven ATEM5, as well as the two months after which the Ministry of Economic Development must “having consulted the Region, intervene to initiate the tender by appointing a commissioner ad acta.”  </w:t>
        <w:br/>
        <w:t xml:space="preserve">In conclusion, therefore, the Authority hopes that, considering the serious competitive harm produced in the offer of the natural gas distribution service due to the failure to activate the competitive mechanism for the assignment of the related concessions provided by law, the Ministry of Economic Development does not further delay the implementation of the necessary measures to fulfill the legal obligation to activate its so-called substitute power for the purpose of initiating tenders for the awarding of the natural gas distribution service in all territorial areas.  </w:t>
        <w:br/>
        <w:t xml:space="preserve">This opinion will be published in the bulletin referred to in Article 26 of Law No. 287/1990.  </w:t>
        <w:br/>
        <w:t xml:space="preserve">THE PRESIDENT  </w:t>
        <w:br/>
        <w:t xml:space="preserve">Roberto Rustichelli  </w:t>
        <w:br/>
        <w:t xml:space="preserve">4 These tenders concern a total of twenty-nine ATEM, since ATEM Florence 1 and ATEM Florence 2 have decided to jointly manage the tender procedure relating to the two Areas.  </w:t>
        <w:br/>
        <w:t>5 The number of ATEM was identified by the Minister of Economic Development with the Decree of January 19, 2011, entitled “Determination of the territorial areas in the natural gas distribution sector” (so-called Areas Decree). The number of municipalities included in each ATEM was established by the Decree of the Minister of Economic Development of October 18, 2011, entitled “Determination of the municipalities belonging to each territorial area of the natural gas distribution sector” (so-called Municipalities Decree).</w:t>
      </w:r>
    </w:p>
    <w:p>
      <w:r>
        <w:t xml:space="preserve">BULLETIN NO. 51 OF DECEMBER 23, 2019 23  </w:t>
        <w:br/>
        <w:t xml:space="preserve">AS1634 - COMPETITIVE CRITICALITIES IN THE RECYCLING OF POLYETHYLENE GOODS  </w:t>
        <w:br/>
        <w:t xml:space="preserve">Rome, December 6, 2019  </w:t>
        <w:br/>
        <w:t xml:space="preserve">President of the Senate of the Republic  </w:t>
        <w:br/>
        <w:t xml:space="preserve">President of the Chamber of Deputies  </w:t>
        <w:br/>
        <w:t xml:space="preserve">President of the Council of Ministers  </w:t>
        <w:br/>
        <w:t xml:space="preserve">Ministry of the Environment and Protection of Land and Sea  </w:t>
        <w:br/>
        <w:t xml:space="preserve">In exercising the advisory powers referred to in Article 22 of Law No. 287 of October 10, 1990, in its meeting of November 27, 2019, the Authority intended to formulate some considerations regarding the competitive criticalities arising from the absence in Legislative Decree No. 152 of April 3, 2006, entitled “Environmental Regulations” (hereinafter also TUA), and in particular Article 234, titled “National Consortium for the Recycling of Polyethylene Goods” (hereinafter also Polieco), of a specific regulation aimed at defining the waste of polyethylene goods, the management of which is entrusted to Polieco. This, in particular, differs from what is provided concerning packaging, for which the current regulatory framework outlines the characteristics and also assigns to the National Packaging Consortium (hereinafter also Conai) a management reserve1.  </w:t>
        <w:br/>
        <w:t xml:space="preserve">On this point, it is noted that Article 234, paragraph 1, of the TUA, only provides for the establishment of Polieco, which, as mentioned, is assigned the function of managing the collection and treatment of waste from polyethylene goods, but does not provide a precise definition of said goods (and therefore of the waste of polyethylene goods). The norm merely states that those that are not packaging within the meaning of Article 218, paragraph 1, of the TUA, or that are not goods and related electrical and electronic waste, healthcare waste, and end-of-life vehicles, pursuant to Article 227, paragraph 1, letters a), b), and c), are considered as such. Similarly, the subsequent paragraph 8 establishes that the Consortium has as its primary objective to promote the withdrawal of goods “based on polyethylene.”  </w:t>
        <w:br/>
        <w:t xml:space="preserve">In the past, however, indications regarding the identification of polyethylene goods could be inferred from the provision of paragraph 2 of Article 234 of the TUA, now repealed.  </w:t>
        <w:br/>
        <w:t xml:space="preserve">The norm, as is known, has undergone several changes over time, all characterized by the provision that the identification of polyethylene goods should be entrusted to a decree of the Ministry of the Environment and Protection of Land and Sea in agreement with the Minister of Productive Activities. In previous versions, moreover, polyethylene goods were considered as now “the goods  </w:t>
        <w:br/>
        <w:t>1 See in this regard Article 218, paragraphs 1, letters a) to d) and 2 of the TUA, as well as the Ministerial Decree of April 22, 2014, entitled “Implementation of Directive 2013/2/EU amending Annex 1 of Directive 94/62/EC of the European Parliament and of the Council on Packaging and Packaging Waste.”</w:t>
      </w:r>
    </w:p>
    <w:p>
      <w:r>
        <w:rPr>
          <w:b/>
        </w:rPr>
        <w:t>[Pages 22–24]</w:t>
      </w:r>
    </w:p>
    <w:p>
      <w:r>
        <w:t>24 BULLETIN NO. 51 OF DECEMBER 23, 2019</w:t>
      </w:r>
    </w:p>
    <w:p>
      <w:r>
        <w:t>durable goods,” then those that “by characteristics and uses can be considered long-lasting goods” and, lastly, “goods composed entirely of polyethylene” such as, by way of example, “tarps and nets for agricultural use such as films for covering greenhouses and tunnels, films for covering vineyards and orchards, films for mulching, films for silage, films for the protection of tools and agricultural products, films for chicken coops, shading nets, covering and protection nets”2.</w:t>
      </w:r>
    </w:p>
    <w:p>
      <w:r>
        <w:t>Furthermore, at the time of the first application of the regulation, a Ministerial Decree was issued on May 2, 2006, titled “Identification of the types of polyethylene goods falling within the scope of Article 234 of Legislative Decree No. 152 of April 3, 2006,” whose Article 1 identified certain types of polyethylene goods and provided that the list of such goods should be verified every three years by the Ministry of the Environment and Protection of Land and Sea, in agreement with the Ministry of Productive Activities, based on the results achieved in terms of collection and recycling of the waste from the aforementioned goods as well as the environmental impacts generated by them. However, as is known, this Decree has never been implemented in the Italian legal system, having never been sent to the Court of Auditors for the necessary prior control and not having obtained the registration required by law.</w:t>
      </w:r>
    </w:p>
    <w:p>
      <w:r>
        <w:t>It follows that, at present, there are no indications in either the TUA or the derived provisions that allow for the delineation of the characteristics of polyethylene goods, nor is there a list of them, even if not exhaustive, in order to clearly define the operational scope of Polieco.</w:t>
      </w:r>
    </w:p>
    <w:p>
      <w:r>
        <w:t>Having said that, the Authority observes that the described regulatory gap, which has not allowed for a precise demarcation between the areas of intervention of Polieco and Conai, accompanied by often contradictory judicial rulings, developed in the context of a long-standing and recurring litigation regarding the qualification of products as either packaging or polyethylene goods, risks producing distortive effects on competition. This is considering that the producers of polyethylene goods compete among themselves by practicing prices that are burdened by the environmental contribution, the value of which in this case appears to be widely diversified depending on the consortium used to fulfill EPR obligations.</w:t>
      </w:r>
    </w:p>
    <w:p>
      <w:r>
        <w:t>The lack of clarity regarding the qualification of the produced good as a “polyethylene good” rather than “packaging” creates uncertainties regarding the applicability of one or the other contribution, with consequent evident effects of competitive advantage for some operators over others, which, however, do not find justification in a difference in production costs incurred, or in different efficiencies displayed, but rather in the decision to associate with one consortium rather than another. It is, therefore, evident that the absence of an exact identification of the perimeter and characteristics of the polyethylene goods entrusted to the management of Polieco is abstractly susceptible to favoring certain operators to the detriment of others.</w:t>
      </w:r>
    </w:p>
    <w:p>
      <w:r>
        <w:t>Therefore, in order to resolve the highlighted issues, the Authority hopes that the addressed bodies will take due consideration of the formulated considerations and, in particular, evaluate the opportunity for primary legislation to include, as has already happened in the past, an additional paragraph to Article 234, aimed at clarifying the operational perimeter of the Consortium, delegating also to a Decree of the Ministry of the Environment – legislatively responsible for controlling the activities and management results of the Consortia established by the TUA – the exact identification of the categories of polyethylene goods falling within this perimeter.</w:t>
      </w:r>
    </w:p>
    <w:p>
      <w:r>
        <w:t>The Authority invites communication, within a period of forty-five days from the receipt of this opinion, of the determinations taken regarding the highlighted matters.</w:t>
      </w:r>
    </w:p>
    <w:p>
      <w:r>
        <w:t>This opinion will be published in the Bulletin referred to in Article 26 of Law No. 287/90.</w:t>
      </w:r>
    </w:p>
    <w:p>
      <w:r>
        <w:t>THE PRESIDENT</w:t>
        <w:br/>
        <w:t>Roberto Rustichelli</w:t>
      </w:r>
    </w:p>
    <w:p>
      <w:r>
        <w:t>26 BULLETIN NO. 51 OF DECEMBER 23, 2019</w:t>
      </w:r>
    </w:p>
    <w:p>
      <w:r>
        <w:t>UNFAIR TRADE PRACTICES</w:t>
        <w:br/>
        <w:t>PS11332 – SIXTHCONTINENT – FAILURE TO RECOGNIZE CREDITS</w:t>
        <w:br/>
        <w:t>Notice of initiation of investigative proceedings</w:t>
      </w:r>
    </w:p>
    <w:p>
      <w:r>
        <w:t>THE ANTITRUST AUTHORITY</w:t>
      </w:r>
    </w:p>
    <w:p>
      <w:r>
        <w:t>Notice of the initiation of the investigation, due to the high number of intervention requests received, pursuant to Article 6, paragraph 2, of the Regulation on investigative procedures concerning misleading and comparative advertising, unfair trade practices, violation of consumer rights in contracts, violation of the prohibition of discrimination and unfair clauses (hereinafter, Regulation), adopted by the Authority with resolution of April 1, 2015, in relation to the procedure PS11332.</w:t>
      </w:r>
    </w:p>
    <w:p>
      <w:r>
        <w:t>I. THE PARTY</w:t>
      </w:r>
    </w:p>
    <w:p>
      <w:r>
        <w:t>The company Sixthcontinent Europe S.r.l. engages in the sale of shopping cards through the website www.sixthcontinent.com (hereinafter also referred to as the Site) upon registration of the members and creation of a specific account. Access to the system through this personal profile is essential to carry out all activities related to participation in the Community.</w:t>
      </w:r>
    </w:p>
    <w:p>
      <w:r>
        <w:t>II. THE TRADE PRACTICE</w:t>
      </w:r>
    </w:p>
    <w:p>
      <w:r>
        <w:t>The company Sixthcontinent Europe S.r.l., in the exercise of its activity, would have engaged in an unfair trade practice consisting of blocking consumer accounts, which were essential for using the purchased Shopping Cards and benefiting from the points and credits accrued. Such blocking would be justified by the refusal to provide personal data and the purchase of Shopping Cards issued by an operator other than SixthCo.</w:t>
      </w:r>
    </w:p>
    <w:p>
      <w:r>
        <w:t>Furthermore, reports received indicate that, upon account closure, there would be no reimbursement of the amounts paid, the credits accrued, and other benefits derived from participation in the SixtCo community.</w:t>
      </w:r>
    </w:p>
    <w:p>
      <w:r>
        <w:rPr>
          <w:b/>
        </w:rPr>
        <w:t>[Pages 25–27]</w:t>
      </w:r>
    </w:p>
    <w:p>
      <w:r>
        <w:t>BULLETIN NO. 51 OF DECEMBER 23, 2019 27</w:t>
      </w:r>
    </w:p>
    <w:p>
      <w:r>
        <w:t>II. NOTICE</w:t>
      </w:r>
    </w:p>
    <w:p>
      <w:r>
        <w:t>By this notice, interested parties who have submitted a request for intervention pursuant to Article 4 of the Regulation are informed that, with communication dated December 3, 2019, Prot. No. 77433, an investigative procedure has been initiated against the Professional, aimed at ascertaining any violation of Articles 20, 21, 22, 24, 25 of the Consumer Code.</w:t>
      </w:r>
    </w:p>
    <w:p>
      <w:r>
        <w:t>It is also informed that interested parties have the right to intervene in the ongoing procedure by submitting a specific act, duly signed, containing the elements indicated in Article 10 of the Regulation.</w:t>
      </w:r>
    </w:p>
    <w:p>
      <w:r>
        <w:t>For any communication addressed to the Authority regarding the procedure in question, please refer to Directorate A of the Directorate General for Consumer Protection and the reference PS11332.</w:t>
      </w:r>
    </w:p>
    <w:p>
      <w:r>
        <w:t>THE PERSON IN CHARGE OF THE PROCEDURE</w:t>
      </w:r>
    </w:p>
    <w:p>
      <w:r>
        <w:t>28 BULLETIN NO. 51 OF DECEMBER 23, 2019</w:t>
      </w:r>
    </w:p>
    <w:p>
      <w:r>
        <w:t>ACCESSIBILITY OF PAYMENT - CONSUMER PROTECTION</w:t>
      </w:r>
    </w:p>
    <w:p>
      <w:r>
        <w:t>PV8 - AMA - CHARGES ON FOREIGN IBAN</w:t>
      </w:r>
    </w:p>
    <w:p>
      <w:r>
        <w:t>Provision No. 28032</w:t>
      </w:r>
    </w:p>
    <w:p>
      <w:r>
        <w:t>THE ANTITRUST AUTHORITY</w:t>
      </w:r>
    </w:p>
    <w:p>
      <w:r>
        <w:t>IN ITS MEETING of December 3, 2019;</w:t>
      </w:r>
    </w:p>
    <w:p>
      <w:r>
        <w:t>HEARD the Rapporteur Dr. Gabriella Muscolo;</w:t>
      </w:r>
    </w:p>
    <w:p>
      <w:r>
        <w:t>HAVING REGARD TO Articles 9 of Regulation (EU) No. 260/2012 and 5 of Regulation (EU) No. 2018/302;</w:t>
      </w:r>
    </w:p>
    <w:p>
      <w:r>
        <w:t>HAVING REGARD TO Articles 3, paragraph 3, of Legislative Decree No. 135 of 2015 and 144-bis, paragraph 9-bis, of the Consumer Code;</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HAVING REGARD TO its provision of September 18, 2019, which ordered the inspection, pursuant to Article 27, paragraphs 2 and 3, of the Consumer Code, at AMA S.p.A.;</w:t>
      </w:r>
    </w:p>
    <w:p>
      <w:r>
        <w:t>HAVING REGARD TO the acts of the procedure;</w:t>
      </w:r>
    </w:p>
    <w:p>
      <w:r>
        <w:t>I. THE PARTY</w:t>
      </w:r>
    </w:p>
    <w:p>
      <w:r>
        <w:t>1. AMA S.p.A. (hereinafter AMA), a company active in the collection, treatment, and disposal of urban waste on behalf of the Municipality of Rome, which holds its entire share capital.</w:t>
      </w:r>
    </w:p>
    <w:p>
      <w:r>
        <w:t>II. THE CONDUCT SUBJECT TO THE PROCEDURE</w:t>
      </w:r>
    </w:p>
    <w:p>
      <w:r>
        <w:t>2. The procedure concerns the behavior of the professional, consisting of the possibility of payment for such treatment and disposal services of urban waste through bank domiciliation on current accounts opened at banks located in European Union countries other than Italy and, therefore, with IBANs not characterized by the national initials "IT".</w:t>
      </w:r>
    </w:p>
    <w:p>
      <w:r>
        <w:t>BULLETIN NO. 51 OF DECEMBER 23, 2019 29</w:t>
      </w:r>
    </w:p>
    <w:p>
      <w:r>
        <w:t>III. THE FINDINGS OF THE PROCEDURE</w:t>
      </w:r>
    </w:p>
    <w:p>
      <w:r>
        <w:t>1) The procedure process</w:t>
      </w:r>
    </w:p>
    <w:p>
      <w:r>
        <w:t>Pre-investigative activity</w:t>
      </w:r>
    </w:p>
    <w:p>
      <w:r>
        <w:t>3. As part of a generalized activity of acquiring information regarding the application of the relevant regulations by professionals operating in the sector, a letter dated March 8, 20191 was sent to AMA requesting information regarding the possibility for users to use domiciliation on foreign accounts for the payment of waste tax and fees for any other services provided. The company did not provide any response to the aforementioned letter. Due to the silence of the professional, a subsequent letter dated May 14, 20192 was sent to urge a response from the company. This further request also went unanswered.</w:t>
      </w:r>
    </w:p>
    <w:p>
      <w:r>
        <w:t>Investigative activity</w:t>
      </w:r>
    </w:p>
    <w:p>
      <w:r>
        <w:t>4. In relation to the conduct described above, on September 18, 2019, the Party was informed of the initiation of investigative procedure No. PV8 for the alleged violation of Article 9 of Regulation (EU) No. 260/2012, pursuant to which: "The beneficiary who accepts a transfer or receives funds by direct debit from a payer holding a payment account within the Union does not specify the Member State in which such payment account is located, provided that the payment account is reachable in accordance with Article 3" and Article 5 of Regulation (EU) No. 2018/302 which provides that an operator "may not, within the means of payment accepted by it, apply different conditions to a payment transaction for reasons related (...) to the location of the payment account, the place of establishment of the payment service provider or the place of issuance of the payment instrument within the Union if: a) the payment transaction is carried out through an electronic transaction by means of a transfer, direct debit or a payment instrument based on a card having the same payment brand and belonging to the same category (...)".</w:t>
      </w:r>
    </w:p>
    <w:p>
      <w:r>
        <w:t>5. On September 20, 2019, an inspection was conducted at the AMA headquarters.</w:t>
      </w:r>
    </w:p>
    <w:p>
      <w:r>
        <w:t>6. On September 27, 2019, the professional responded to the request for information made at the start and sent documentation regarding the acceptance of an IBAN linked to a bank not located in Italy as a payment method.</w:t>
      </w:r>
    </w:p>
    <w:p>
      <w:r>
        <w:t>7. On October 29, 2019, the Parties were informed of the conclusion date of the investigative phase pursuant to Article 16, paragraph 1, of the Regulation.</w:t>
      </w:r>
    </w:p>
    <w:p>
      <w:r>
        <w:t>2) The evidence acquired</w:t>
      </w:r>
    </w:p>
    <w:p>
      <w:r>
        <w:t>8. The documentation acquired during the inspection indicates, first of all, that the users residing abroad, to whom the request for payment of the waste tax is sent, correspond to 10 non-domestic users and 408 domestic users3.</w:t>
      </w:r>
    </w:p>
    <w:p>
      <w:r>
        <w:t>9. The main payment channels for the waste tax are banks, post offices, and bank domiciliation4.</w:t>
      </w:r>
    </w:p>
    <w:p>
      <w:r>
        <w:t>1 Cf. Prot. No. 22822 of March 8, 2019.</w:t>
        <w:br/>
        <w:t>2 Cf. Prot. No. 36109 of May 14, 2019.</w:t>
        <w:br/>
        <w:t>3 Cf. Doc. No. 7 index of the inspection file.</w:t>
        <w:br/>
        <w:t>4 Cf. Response to the request for information Prot. No. 6329 of September 27, 2019.</w:t>
      </w:r>
    </w:p>
    <w:p>
      <w:r>
        <w:rPr>
          <w:b/>
        </w:rPr>
        <w:t>[Pages 28–30]</w:t>
      </w:r>
    </w:p>
    <w:p>
      <w:r>
        <w:t>30 BULLETIN NO. 51 OF DECEMBER 23, 2019</w:t>
      </w:r>
    </w:p>
    <w:p>
      <w:r>
        <w:t>10. The form used by AMA for the request for bank domiciliation, sent to users attached to the submission of the documentation for the payment of the waste tax, includes at the bottom the request for the SWIFT/BIC code in the case of foreign bank accounts, as shown in the image below, extracted from the AMA 614/015 form.</w:t>
      </w:r>
    </w:p>
    <w:p>
      <w:r>
        <w:t>11. From the examination of the inspection documents, there are no complaints from consumers regarding the non-recognition of bank domiciliation on a foreign account.</w:t>
      </w:r>
    </w:p>
    <w:p>
      <w:r>
        <w:t>3) The Defensive Arguments of the Party</w:t>
      </w:r>
    </w:p>
    <w:p>
      <w:r>
        <w:t>12. The company, during the proceedings, clarified that it allows payment through bank domiciliation at a foreign institution. In particular, it indicated that it has never instructed the Bank, which carries out treasury activities on behalf of AMA itself, not to accept bank domiciliation on foreign accounts. On the contrary, it is established that these domiciliations are, in addition to being accepted, also expressly provided for in the model 614/01 that AMA uses for the request for bank domiciliation of the waste tax by users.</w:t>
      </w:r>
    </w:p>
    <w:p>
      <w:r>
        <w:t>IV. CONCLUDING EVALUATIONS</w:t>
      </w:r>
    </w:p>
    <w:p>
      <w:r>
        <w:t>13. The conduct contested at the outset has not been confirmed by the investigative findings. The latter have, in fact, demonstrated that AMA allows the use of a foreign IBAN to carry out the bank domiciliation for the payment of the urban waste tax. The documentation submitted by the company during the investigation also demonstrates the actual recognition of a foreign IBAN as an accepted payment method.</w:t>
      </w:r>
    </w:p>
    <w:p>
      <w:r>
        <w:t>14. Despite the lack of response to the request for information during the pre-investigation phase, which would have clarified the behavior of the company in advance, the evidence collected indicates that the professional allows users to use bank domiciliation with a foreign IBAN for the payment of the urban waste tax.</w:t>
      </w:r>
    </w:p>
    <w:p>
      <w:r>
        <w:t>15. Therefore, the company Ama cannot be attributed a conduct in violation of the regulation concerning IBAN discrimination.</w:t>
      </w:r>
    </w:p>
    <w:p>
      <w:r>
        <w:t>CONSIDERED, therefore, on the basis and within the limits of the considerations set forth above, that the conduct in question does not constitute, with respect to the aspects under evaluation, a violation of the prohibition established by Article 9 of Regulation (EU) No. 260/2012;</w:t>
      </w:r>
    </w:p>
    <w:p>
      <w:r>
        <w:t>RESOLVES</w:t>
      </w:r>
    </w:p>
    <w:p>
      <w:r>
        <w:t>that the conduct described in point II of this provision, carried out by AMA S.p.A., does not constitute, with respect to the aspects under evaluation, a violation of the prohibition established by Article 9 of Regulation (EU) No. 260/2012, for the reasons and within the limits set forth in the motivation.</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r>
    </w:p>
    <w:p>
      <w:r>
        <w:t>Filippo Arena Roberto Rustichelli</w:t>
      </w:r>
    </w:p>
    <w:p>
      <w:r>
        <w:t>Antitrust Authority Weekly Bulletin of Competition and Market Year XXIX - No. 51 - 2019</w:t>
      </w:r>
    </w:p>
    <w:p>
      <w:r>
        <w:t>Editorial Coordination Giulia Antenucci</w:t>
      </w:r>
    </w:p>
    <w:p>
      <w:r>
        <w:t>Editorial Staff Sandro Cini, Valerio Ruocco, Simonetta Schettini, Manuela Villani</w:t>
      </w:r>
    </w:p>
    <w:p>
      <w:r>
        <w:t>Antitrust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