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https://www.agcm.it/dotcmsdoc/bollettini/2019/52-19.pdf</w:t>
      </w:r>
    </w:p>
    <w:p>
      <w:r>
        <w:t>Pages translated : 156</w:t>
      </w:r>
    </w:p>
    <w:p/>
    <w:p>
      <w:r>
        <w:rPr>
          <w:b/>
        </w:rPr>
        <w:t>[Pages 1–3]</w:t>
      </w:r>
    </w:p>
    <w:p>
      <w:r>
        <w:t>Bulletin</w:t>
        <w:br/>
        <w:t>Weekly</w:t>
        <w:br/>
        <w:t>Year XXIX - No. 52</w:t>
        <w:br/>
        <w:t>Published on the website www.agcm.it</w:t>
        <w:br/>
        <w:t>December 30, 2019</w:t>
      </w:r>
    </w:p>
    <w:p>
      <w:r>
        <w:t>SUMMARY</w:t>
        <w:br/>
        <w:t>AGREEMENTS AND ABUSE OF DOMINANT POSITION 5</w:t>
        <w:br/>
        <w:t>I723C - AGREEMENT IN THE MARKET OF ROAD BARRIERS - REDETERMINATION OF THE</w:t>
        <w:br/>
        <w:t>PENALTY METALMECCANICA FRACASSO IN LIQUIDATION</w:t>
        <w:br/>
        <w:t>Decision No. 28009 5</w:t>
        <w:br/>
        <w:t>A517 - MAINTENANCE MARKETS FOR DIAGNOSTIC DEVICES</w:t>
        <w:br/>
        <w:t>Decision No. 28034 11</w:t>
        <w:br/>
        <w:t>CONCENTRATION OPERATIONS 13</w:t>
        <w:br/>
        <w:t>C12247 - BDC ITALIA-CONAD/AUCHAN</w:t>
        <w:br/>
        <w:t>Decision No. 28035 13</w:t>
        <w:br/>
        <w:t>C12246 - FRATELLI ARENA/BRANCHES OF SMA - DISTRIBUTION CAMBRIA-ROBERTO</w:t>
        <w:br/>
        <w:t>ABATE</w:t>
        <w:br/>
        <w:t>Decision No. 28038 15</w:t>
        <w:br/>
        <w:t>C12247 - BDC ITALIA-CONAD/AUCHAN</w:t>
        <w:br/>
        <w:t>Decision No. 28039 63</w:t>
        <w:br/>
        <w:t>ACTIVITIES OF REPORTING AND CONSULTATION 65</w:t>
        <w:br/>
        <w:t>AS1635 – REGION OF PUGLIA - SCHEMES OF TENDER REGULATIONS AND TECHNICAL SPECIFICATIONS FOR</w:t>
        <w:br/>
        <w:t>THE ASSIGNMENT OF LOCAL PUBLIC TRANSPORT SERVICES 65</w:t>
        <w:br/>
        <w:t>UNFAIR COMMERCIAL PRACTICES 69</w:t>
        <w:br/>
        <w:t>PS8161 - ASUS ITALIA - FAILURE TO PROVIDE WARRANTY</w:t>
        <w:br/>
        <w:t>Decision No. 28010 69</w:t>
        <w:br/>
        <w:t>PS11198 - COMPASS - COMBINED POLICIES</w:t>
        <w:br/>
        <w:t>Decision No. 28011 107</w:t>
        <w:br/>
        <w:t>PS11410 - MSC CRUISES - SALES CONDITIONS</w:t>
        <w:br/>
        <w:t>Decision No. 28036 134</w:t>
        <w:br/>
        <w:t>PS11462 - STRIKE SHOP ITALIA - CONTRACTUAL ISSUES</w:t>
        <w:br/>
        <w:t>Decision No. 28037 142</w:t>
        <w:br/>
        <w:t>UNFAIR CLAUSES 150</w:t>
        <w:br/>
        <w:t>CV192 - ITAS - IRREGULAR ARBITRATION CLAUSES</w:t>
        <w:br/>
        <w:t>Decision No. 28008 150</w:t>
      </w:r>
    </w:p>
    <w:p>
      <w:r>
        <w:t>BULLETIN NO. 52 OF DECEMBER 30, 2019 5</w:t>
        <w:br/>
        <w:t>AGREEMENTS AND ABUSE OF DOMINANT POSITION</w:t>
        <w:br/>
        <w:t>I723C - AGREEMENT IN THE MARKET OF ROAD BARRIERS - REDETERMINATION OF THE PENALTY METALMECCANICA FRACASSO IN LIQUIDATION</w:t>
        <w:br/>
        <w:t>Decision No. 28009</w:t>
        <w:br/>
        <w:t>THE ANTITRUST AUTHORITY</w:t>
        <w:br/>
        <w:t>IN ITS MEETING of November 27, 2019;</w:t>
        <w:br/>
        <w:t>HEARD the Rapporteur Dr. Gabriella Muscolo;</w:t>
        <w:br/>
        <w:t>HAVING REGARD to Law No. 287 of October 10, 1990;</w:t>
        <w:br/>
        <w:t>HAVING REGARD to Article 101 of the Treaty on the Functioning of the European Union (TFEU);</w:t>
        <w:br/>
        <w:t>HAVING REGARD to its Decision of September 28, 2012, No. 23931, closing the investigation I723 - Market of road barriers, with which it was decided that the companies Car Segnaletica Stradale S.r.l., Ilva Pali Dalmine S.p.A. in extraordinary administration, Ilva Pali Dalmine Industries S.r.l. (formerly S.p.A.), Industria Meccanica Varricchio – I.Me.Va. S.p.A., Marcegaglia S.p.A., Metalmeccanica Fracasso S.p.A., San Marco S.p.A. – Industria Costruzioni Meccaniche in liquidation and Tubosider S.p.A. have engaged in a restrictive agreement of competition contrary to Article 101 of the Treaty on the Functioning of the European Union (TFEU), consisting of a single and complex practice agreed upon over time, aimed at significantly distorting the competitive comparison mechanisms in the national market for metal safety devices;</w:t>
        <w:br/>
        <w:t>CONSIDERING that for the aforementioned violation, due to the severity and duration of the infringement, an administrative pecuniary penalty of €11,013,165.40 was imposed on the company Metalmeccanica Fracasso S.p.A. (now in liquidation, hereinafter Fracasso);</w:t>
        <w:br/>
        <w:t>HAVING REGARD to its Decision of December 22, 2015, No. 25796, closing Procedure I723 B – Market of road barriers: redetermination of the penalty Fracasso, with which, in compliance with the ruling of the Council of State, Section VI, of July 2, 2015, No. 3291, and following the contradictory with the Party, the original penalty was redetermined to the amount of €7,714,083.04, applying, in particular, a reduction of the penalty of 30% to the base amount (corresponding to a 15% for the lesser "contribution" to the agreement and a 15% for the lesser advantage in terms of "effectiveness of the revenues obtained"), thus arriving at a value significantly below the maximum legal limit;</w:t>
        <w:br/>
        <w:t>HAVING REGARD to the subsequent ruling of the Council of State, Section VI, of June 25, 2019, No. 4335, which accepted the appeal filed by Fracasso for the reform of the ruling of the TAR of Lazio, Section I, of February 1, 2017, No. 1618, (which had deemed Fracasso's appeal regarding the amount of the penalty as redetermined by the Authority to be unfounded);</w:t>
        <w:br/>
        <w:t>CONSIDERING, in particular, that the Council of State has entrusted the Authority with recalculating the penalty imposed on Fracasso, "applying a reasonable reduction for the reduced contributory capacity of the company";</w:t>
      </w:r>
    </w:p>
    <w:p>
      <w:r>
        <w:rPr>
          <w:b/>
        </w:rPr>
        <w:t>[Pages 4–6]</w:t>
      </w:r>
    </w:p>
    <w:p>
      <w:r>
        <w:t>6 BULLETIN NO. 52 OF DECEMBER 30, 2019</w:t>
      </w:r>
    </w:p>
    <w:p>
      <w:r>
        <w:t>HAVING REGARD to its provision of July 17, 2019, no. 27848, with which the Authority initiated a new proceeding, in contradiction with the Party, for the recalculation of the sanction to be imposed on Fracasso, for the violation established by the aforementioned provision of September 28, 2012, no. 23931, in compliance with the decision of the Council of State of June 25, 2019, no. 4335;</w:t>
      </w:r>
    </w:p>
    <w:p>
      <w:r>
        <w:t>HAVING REGARD to all the acts of the Proceeding;</w:t>
      </w:r>
    </w:p>
    <w:p>
      <w:r>
        <w:t>CONSIDERING the following:</w:t>
      </w:r>
    </w:p>
    <w:p>
      <w:r>
        <w:t>I. THE PARTY</w:t>
      </w:r>
    </w:p>
    <w:p>
      <w:r>
        <w:t>1. Metalmeccanica Fracasso S.p.A. in liquidation (hereinafter Fracasso), under Italian law, is a company belonging to the Fracasso group, active in the production and sale of road safety systems (metal safety devices) and other products (such as noise barriers, metal conduits, and scaffolding, etc.).</w:t>
      </w:r>
    </w:p>
    <w:p>
      <w:r>
        <w:t>2. In December 2007, Fracasso transferred its business, industrial, and commercial branch to the newly established Fracasso S.p.A., wholly controlled. In March 2013, Fracasso initiated dissolution and liquidation procedures, registering, in October of the same year, for the preventive agreement procedure, the provision of which was adopted by the Court of Venice in April 2014.</w:t>
      </w:r>
    </w:p>
    <w:p>
      <w:r>
        <w:t>3. The total revenue achieved by Fracasso S.p.A. during the 2011 financial year (the last financial year closed prior to the notification of the warning referred to in the provision of September 28, 2012, no. 23931) was equal to 119.1 million euros. The corresponding figure for the last approved financial statement (for the 2017 financial year) is equal to 756 thousand euros.</w:t>
      </w:r>
    </w:p>
    <w:p>
      <w:r>
        <w:t>II. THE PROCEEDING I723 – MARKET OF ROAD BARRIERS</w:t>
      </w:r>
    </w:p>
    <w:p>
      <w:r>
        <w:t>4. With Provision of September 28, 2012, no. 23931, closing the proceeding I723 – Market of road barriers, the Authority found that several companies, including Fracasso, had engaged in a restrictive agreement of competition in the national market for metal road safety devices, in violation of Article 101 of the Treaty on the Functioning of the European Union (TFEU).</w:t>
      </w:r>
    </w:p>
    <w:p>
      <w:r>
        <w:t>5. Specifically, it was a horizontal agreement implemented throughout the national territory among almost all the manufacturing companies of metal safety devices. This resulted in serious restrictions on competition arising from the alteration of the physiological market mechanisms and the correct competitive comparison, leading to significant mutual conditioning of the individual commercial policies and strategic positioning of the cartel members.</w:t>
      </w:r>
    </w:p>
    <w:p>
      <w:r>
        <w:t>6. In detail, the case in question consisted of a unique and complex agreed practice, based on an articulated conduct, continued over time (i.e., during the period from January 2003 to May 2007), and concerning the market allocation and the setting of reference prices, also achieved through exchanges of strategic and sensitive information.</w:t>
      </w:r>
    </w:p>
    <w:p>
      <w:r>
        <w:t>7. In consideration of the aforementioned conduct, the Authority ordered, with Provision of September 28, 2012, no. 23931, against the company Fracasso, the application of an administrative pecuniary sanction equal to 11,013,165.40 euros, adopting, according to the prevailing practice at the time, the methods and calculation criteria indicated in the relevant community guidelines, and in compliance with the legal limit of 10% of the total turnover of the company provided for by Article 15, paragraph 1, of Law no. 287/90.</w:t>
      </w:r>
    </w:p>
    <w:p>
      <w:r>
        <w:t>III. THE JUDGMENT OF THE COUNCIL OF STATE NO. 4335/2019</w:t>
      </w:r>
    </w:p>
    <w:p>
      <w:r>
        <w:t>8. With judgment no. 4335/2019, the Council of State, recalling extensive case law of the Court of Justice of the EU, preliminarily ruled that “in the case at hand, the reference financial year for the calculation of the sanction is covered by res judicata; this circumstance excludes that this element can be called into question, even if hypothetically in potential conflict with community law.” In any case, according to the Judge, “European case law has also clarified that the reference to the last closed financial year [prior to the notification of the warning] is imperative,” and “in doing so, it refers to the decision that contains the finding of the infringement which is ‘title’, and therefore reason, for imposing the fine itself.” Consequently, the Council of State concluded on this point: “The reference is therefore always to the decision adopted at the conclusion of the investigation, namely that containing the finding of the unlawful act” (emphasis added).</w:t>
      </w:r>
    </w:p>
    <w:p>
      <w:r>
        <w:t>9. Then, moving on to analyze the further grounds of complaint of the appellant company, related to the lack of contributory capacity pursuant to Article 11 of Law 689/81 and the violation of the principle of proportionality (given that the sanction recalculated in 2015 of 7.7 million euros would be disproportionate compared to the turnover of 2.6 million achieved by Fracasso in 2014), the appellate Judge partially upheld Fracasso's appeal. In particular, the Council of State ruled that “in light of the objective elements represented by the appellant, a different assessment must be reached, in the peculiar case at hand, compared to that of the first instance Judge, since a failure to consider the actual contributory capacity of the appellant could, moreover, result in an actual violation of the principle of proportionality.”</w:t>
      </w:r>
    </w:p>
    <w:p>
      <w:r>
        <w:t>10. By virtue of the above, the Council of State thus established that “although it must be reiterated that the reference financial year for determining revenues was correctly identified as 2011 for the reasons already highlighted, for the specific reduction invoked by the appellant, given the peculiarity of the case at hand and the considerable time elapsed since the imposition of the original sanction, the current situation in which the sanctioned company finds itself cannot be disregarded.” (emphasis added).</w:t>
      </w:r>
    </w:p>
    <w:p>
      <w:r>
        <w:t>11. In conclusion, therefore, the Judge ordered that “For the reasons stated, the appeal must be upheld, and the Authority must be tasked with recalculating the sanction, applying a reasonable reduction for the reduced contributory capacity of the company” (emphasis added).</w:t>
      </w:r>
    </w:p>
    <w:p>
      <w:r>
        <w:t>12. The position of the Party was illustrated to the Offices first during the hearing held on November 7, 2019, and subsequently reiterated with a final memorandum sent on November 14, 2019.</w:t>
      </w:r>
    </w:p>
    <w:p>
      <w:r>
        <w:t>13. According to the Party, “as indicated in the appeal proceeding from which the aforementioned judgment of the Council of State arose, the reduction in the contributory capacity experienced by the Company is well represented by the revenue figure for the year 2014, which, considering the item of ‘Total value of production’ in the financial statement, is equal to 2,601,786 euros.” According to Fracasso, therefore, “the recalculated value of the sanction should be set at an amount equal to 10% of the aforementioned revenue figure, as an expression of the contributory capacity of the Company itself.”</w:t>
      </w:r>
    </w:p>
    <w:p>
      <w:r>
        <w:t>14. In the final memorandum, the Party referred to the Communication of the EU Commission 2206/C/210/02 - Guidelines for the calculation of fines to support the fact that the sanction should be recalculated to “260 thousand euros,” as it is equal to 10% (maximum legal limit) of the revenue achieved by Fracasso in 2014 (equal, as also reported in the judgment of the Council of State, to 2.6 million euros), that is, the year prior to the adoption of the first recalculation Provision (I-723 B, adopted as seen on December 22, 2015). It follows that “It therefore appears reasonable, in relation to the ruling of the judge and the reality of the situation of the company, that the new sanction remains set at 260 thousand euros, with reference to the 2014 revenue.” The Party also, starting from the assumption that “the moment in which the contributory capacity must be considered is that in which the determination (or recalculation) of the sanction is imposed” (emphasis added), goes so far as to argue that the revenue equal to zero resulting in 2018, the year prior to the adoption of this Provision (2019), could also be taken into consideration, and that, therefore, the sanction to be imposed would also be equal to zero.</w:t>
      </w:r>
    </w:p>
    <w:p>
      <w:r>
        <w:t>15. Finally, considering the deterrent effect of the sanction, the Party pointed out that “the application of this principle would make no sense in the face of a company that has now exited the market.”</w:t>
      </w:r>
    </w:p>
    <w:p>
      <w:r>
        <w:t>V. EVALUATIONS AND REDETERMINATION OF THE SANCTION</w:t>
      </w:r>
    </w:p>
    <w:p>
      <w:r>
        <w:t>16. The arguments of the Party regarding the necessity to calculate the new amount of the sanction by referring for the maximum legal limit to a specific year (2014 or even 2018), subsequent to 2011 (the last financial year closed prior to the notification of the warning, which occurred in 2012 at the time of the closure of Proceeding I-723 for the finding of the infringement), cannot be accepted, as they are evidently in contrast with the judgment of the Council of State no. 4335/2019 from which the I-723 C investigative proceeding and this Provision originated.</w:t>
      </w:r>
    </w:p>
    <w:p>
      <w:r>
        <w:t>17. As seen, in fact, the Judge clearly indicated that the reference year for the maximum legal limit is that preceding the adoption of the provision for the finding of the antitrust infringement (in this case, 2011, as the finding occurred with the aforementioned Provision no. 23931 of September 28, 2012, closing the I723 investigation – Market of road barriers), and not.</w:t>
      </w:r>
    </w:p>
    <w:p>
      <w:r>
        <w:rPr>
          <w:b/>
        </w:rPr>
        <w:t>[Pages 7–9]</w:t>
      </w:r>
    </w:p>
    <w:p>
      <w:r>
        <w:t>BULLETIN NO. 52 OF DECEMBER 30, 2019</w:t>
      </w:r>
    </w:p>
    <w:p>
      <w:r>
        <w:t>9 that preceding the adoption of a subsequent re-determination order. This ruling was then clearly reiterated by the Judge in the concluding part of the judgment in question, where it was expressly indicated that "it must be reaffirmed that the reference year for the determination of revenues has been correctly identified as 2011 for the reasons already highlighted."</w:t>
      </w:r>
    </w:p>
    <w:p>
      <w:r>
        <w:t>18. That said, there is also a difficult economic-financial and asset situation concerning Fracasso, as highlighted in particular by the significant contraction recorded in revenue during the period 2011-2017 (latest available data). The exceptional nature of the situation in question, as recognized by the Council of State, therefore justifies a considerable percentage reduction of the sanction, which had already been previously reduced, in accordance with what is also provided for in point 34 of the Authority's Sanctions Guidelines.</w:t>
      </w:r>
    </w:p>
    <w:p>
      <w:r>
        <w:t>19. In light of the above, and taking into account the previous re-determination (subject of the judgment of the Council of State no. 4335/2019) which led to an initial reduction of the sanction of approximately 30%, in order to implement the judgment in question, a 'reasonable' and proportionate value of reduction of the sanction can be identified at 80% of the amount already previously reduced (i.e., an 80% reduction of the sanction already previously re-determined to €7,714,083.04).</w:t>
      </w:r>
    </w:p>
    <w:p>
      <w:r>
        <w:t>20. The above means that the amount of the sanction against Fracasso is re-determined to €1,542,816.61, significantly lower than the maximum penalty of €11.9 million (equal to 10% of the revenue generated in 2011). Considering the original amount of the sanction (€11,013,165.40), the overall reduction amounts to 86%.</w:t>
      </w:r>
    </w:p>
    <w:p>
      <w:r>
        <w:t>21. The amount of the sanction, as re-determined above, also takes into account the fact that the Party could well have set aside the sums necessary for the payment of a sanction imposed in 2012, and also considers the need not to deprive the sanction of the necessary deterrent effect. In this regard, the arguments of the Party that the application of the deterrence principle "would make no sense in the face of a company that has now exited the market" cannot be accepted. This is because such a principle evidently has a general value, extended to all operators in all markets, and is not (only) specifically linked to the sanctioned company in the case at hand.</w:t>
      </w:r>
    </w:p>
    <w:p>
      <w:r>
        <w:t>All of this having been stated and considered,</w:t>
      </w:r>
    </w:p>
    <w:p>
      <w:r>
        <w:t>4 As mentioned above, in fact, "European case law has also clarified that the reference to the last closed financial year [prior to the notification of the warning] is imperative," and "in doing so refers to the decision that contains the finding of the infringement which is the 'title', and thus the reason, for imposing the fine itself." Consequently, the Council of State concluded on this point, "The reference is therefore always to the decision adopted at the conclusion of the investigation, namely that containing the finding of the infringement" (emphasis added).</w:t>
      </w:r>
    </w:p>
    <w:p>
      <w:r>
        <w:t>5 According to which, in particular: "The specific circumstances of the concrete case may justify motivated deviations from the application of these Guidelines, which are expressly accounted for in the Provision."</w:t>
      </w:r>
    </w:p>
    <w:p>
      <w:r>
        <w:t>10 BULLETIN NO. 52 OF DECEMBER 30, 2019</w:t>
      </w:r>
    </w:p>
    <w:p>
      <w:r>
        <w:t>RESOLUTION</w:t>
      </w:r>
    </w:p>
    <w:p>
      <w:r>
        <w:t>that the administrative pecuniary sanction to be applied to the company Metalmeccanica Fracasso S.p.A. in liquidation, for the behaviors attributed to it in the Authority's provision no. 23931 of September 28, 2012, and in compliance with the judgment of the Council of State, section VI, of June 25, 2019, no. 4335, is re-determined to the amount of €1,542,816.61.</w:t>
      </w:r>
    </w:p>
    <w:p>
      <w:r>
        <w:t>The above administrative pecuniary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online services of the Revenue Agency, available on the website www.agenziaentrate.gov.it.</w:t>
      </w:r>
    </w:p>
    <w:p>
      <w:r>
        <w:t>Immediate communication of the payment must be given to the Authority, by sending a copy of the model certifying the payment made.</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t>BULLETIN NO. 52 OF DECEMBER 30, 2019</w:t>
      </w:r>
    </w:p>
    <w:p>
      <w:r>
        <w:t>A517 - MAINTENANCE MARKETS FOR DIAGNOSTIC DEVICES</w:t>
      </w:r>
    </w:p>
    <w:p>
      <w:r>
        <w:t>Provision no. 28034</w:t>
      </w:r>
    </w:p>
    <w:p>
      <w:r>
        <w:t>THE COMPETITION AND MARKET AUTHORITY</w:t>
      </w:r>
    </w:p>
    <w:p>
      <w:r>
        <w:t>IN ITS MEETING of December 10, 2019;</w:t>
      </w:r>
    </w:p>
    <w:p>
      <w:r>
        <w:t>HEARD the Rapporteur Dr. Gabriella Muscolo;</w:t>
      </w:r>
    </w:p>
    <w:p>
      <w:r>
        <w:t>HAVING REGARD to Article 102 of the Treaty on the Functioning of the European Union (TFEU);</w:t>
      </w:r>
    </w:p>
    <w:p>
      <w:r>
        <w:t>HAVING REGARD to Regulation (EC) no. 1/2003 of the Council of December 16, 2002, concerning the application of the competition rules laid down in Articles 81 and 82 of the EC Treaty (now Articles 101 and 102 TFEU);</w:t>
      </w:r>
    </w:p>
    <w:p>
      <w:r>
        <w:t>HAVING REGARD to Law no. 287 of October 10, 1990;</w:t>
      </w:r>
    </w:p>
    <w:p>
      <w:r>
        <w:t>HAVING REGARD to the D.P.R. no. 217 of April 30, 1998;</w:t>
      </w:r>
    </w:p>
    <w:p>
      <w:r>
        <w:t>HAVING REGARD to its resolution adopted on January 31, 2018, which initiated, pursuant to Article 14 of Law no. 287/90, an investigation against the companies GE Medical Systems Italia S.p.A. and its parent companies GE Healthcare Italia S.r.l. and GE Italia Holding S.r.l.; Siemens Healthcare S.r.l. and its parent company Siemens Healthineers Holding III B.V.; Philips S.p.A. and its parent companies Philips SAECO S.p.A. and Koninklijke Philips N.V. for alleged violations of Article 102 TFEU;</w:t>
      </w:r>
    </w:p>
    <w:p>
      <w:r>
        <w:t>HAVING REGARD to its resolutions adopted on July 20, 2018, rejecting the commitments presented by GE Medical Systems Italia S.p.A., GE Healthcare Italia S.r.l. and GE Italia Holding S.r.l., Philips S.p.A. and Koninklijke Philips N.V. and Siemens Healthcare S.r.l.;</w:t>
      </w:r>
    </w:p>
    <w:p>
      <w:r>
        <w:t>HAVING REGARD to its resolution adopted on August 8, 2018, by which the investigative procedure was subjectively expanded, pursuant to Article 14 of Law no. 287/90, against the companies Philips Medical System Nederland B.V., Siemens AG, Siemens Healthcare GmbH, GE Medical System S.C.S., General Electric Co.;</w:t>
      </w:r>
    </w:p>
    <w:p>
      <w:r>
        <w:t>HAVING REGARD to its resolution adopted on November 29, 2018, which extended the deadline for the conclusion of the procedure to July 31, 2019;</w:t>
      </w:r>
    </w:p>
    <w:p>
      <w:r>
        <w:t>HAVING REGARD to its resolution adopted on February 20, 2019, rejecting the commitments presented by Philips Medical System Nederland B.V.;</w:t>
      </w:r>
    </w:p>
    <w:p>
      <w:r>
        <w:t>HAVING REGARD to its resolution adopted on June 27, 2019, which extended the deadline for the conclusion of the procedure to December 31, 2019;</w:t>
      </w:r>
    </w:p>
    <w:p>
      <w:r>
        <w:t>HAVING REGARD to all the acts of the procedure;</w:t>
      </w:r>
    </w:p>
    <w:p>
      <w:r>
        <w:t>CONSIDERING the complexity of the cases subject to investigation and the abundant documentation on file, as well as the need to carry out a thorough analysis of the evidence collected, some of which were only recently acquired;</w:t>
      </w:r>
    </w:p>
    <w:p>
      <w:r>
        <w:t>CONSIDERING the need to ensure the Parties the widest exercise of their rights of defense and contradiction;</w:t>
      </w:r>
    </w:p>
    <w:p>
      <w:r>
        <w:rPr>
          <w:b/>
        </w:rPr>
        <w:t>[Pages 10–12]</w:t>
      </w:r>
    </w:p>
    <w:p>
      <w:r>
        <w:t>12 BULLETIN NO. 52 OF DECEMBER 30, 2019</w:t>
      </w:r>
    </w:p>
    <w:p>
      <w:r>
        <w:t>CONSIDERING it necessary, for the purposes of ascertaining the aspects subject to the proceedings and the full exercise of the rights of defense, to defer the deadline for the conclusion of the proceedings, currently set for December 31, 2019;</w:t>
      </w:r>
    </w:p>
    <w:p>
      <w:r>
        <w:t>RESOLVES</w:t>
      </w:r>
    </w:p>
    <w:p>
      <w:r>
        <w:t>to extend the deadline for the conclusion of the proceedings to September 30, 2020.</w:t>
      </w:r>
    </w:p>
    <w:p>
      <w:r>
        <w:t>This provision will be notified to the interested parties and published in the Bulletin of the Competition and Market Authority.</w:t>
      </w:r>
    </w:p>
    <w:p>
      <w:r>
        <w:t>THE SECRETARY GENERAL THE PRESIDENT</w:t>
        <w:br/>
        <w:t>Filippo Arena Roberto Rustichelli</w:t>
      </w:r>
    </w:p>
    <w:p>
      <w:r>
        <w:t>BULLETIN NO. 52 OF DECEMBER 30, 2019</w:t>
      </w:r>
    </w:p>
    <w:p>
      <w:r>
        <w:t>13</w:t>
      </w:r>
    </w:p>
    <w:p>
      <w:r>
        <w:t>CONCENTRATION OPERATIONS</w:t>
      </w:r>
    </w:p>
    <w:p>
      <w:r>
        <w:t>C12247 - BDC ITALIA-CONAD/AUCHAN</w:t>
      </w:r>
    </w:p>
    <w:p>
      <w:r>
        <w:t>Provision No. 28035</w:t>
      </w:r>
    </w:p>
    <w:p>
      <w:r>
        <w:t>THE COMPETITION AND MARKET AUTHORITY</w:t>
      </w:r>
    </w:p>
    <w:p>
      <w:r>
        <w:t>IN ITS MEETING of December 10, 2019;</w:t>
      </w:r>
    </w:p>
    <w:p>
      <w:r>
        <w:t>HEARD the Rapporteur Professor Michele Ainis;</w:t>
      </w:r>
    </w:p>
    <w:p>
      <w:r>
        <w:t>HAVING REGARD to Law No. 287 of October 10, 1990, and in particular, Article 16, paragraph 8, which governs the extension of the deadline for the conclusion of the investigation initiated in relation to a concentration operation;</w:t>
      </w:r>
    </w:p>
    <w:p>
      <w:r>
        <w:t>HAVING REGARD to the Presidential Decree No. 217 of April 30, 1998;</w:t>
      </w:r>
    </w:p>
    <w:p>
      <w:r>
        <w:t>HAVING REGARD to its resolution of November 5, 2019, by which an investigation was initiated pursuant to Article 16, paragraph 4, of Law No. 287/90, against the companies BDC Italia S.p.A., CONAD National Retail Consortium Soc. Coop., Pac2000A Soc. Coop., Conad Nord Ovest Soc. Coop., Independent Associated Traders Soc. Coop., Conad Centro Nord Soc. Coop., Conad Adriatico Soc. Coop., Conad Sicilia Soc. Coop.;</w:t>
      </w:r>
    </w:p>
    <w:p>
      <w:r>
        <w:t>HAVING REGARD to its communication of December 5, 2019, in which it requested the notifying parties, pursuant to Article 14, paragraph 2, of Law No. 287/90 and Article 9, paragraph 1, of Presidential Decree No. 217/98, the information necessary for the evaluation of the concentration operation, to be transmitted by December 6, 2019;</w:t>
      </w:r>
    </w:p>
    <w:p>
      <w:r>
        <w:t>HAVING REGARD to the request received on December 6, 2019, in which the notifying parties, considering the impossibility of providing the requested information within the aforementioned deadlines, requested, pursuant to Article 16, paragraph 8, of Law No. 287/90, to extend the deadline for the conclusion of the proceedings by thirty days;</w:t>
      </w:r>
    </w:p>
    <w:p>
      <w:r>
        <w:t>CONSIDERING that the requested information, necessary for the evaluation of the case, cannot be acquired within the established deadlines and, therefore, cannot be fully evaluated within the current deadline for the conclusion of the proceedings;</w:t>
      </w:r>
    </w:p>
    <w:p>
      <w:r>
        <w:t>CONSIDERING it necessary, therefore, to extend the deadline for the conclusion of the proceedings pursuant to Article 16, paragraph 8, of Law No. 287/90;</w:t>
      </w:r>
    </w:p>
    <w:p>
      <w:r>
        <w:t>RESOLVES</w:t>
      </w:r>
    </w:p>
    <w:p>
      <w:r>
        <w:t>to extend the deadline for the conclusion of the proceedings to January 20, 2020.</w:t>
      </w:r>
    </w:p>
    <w:p>
      <w:r>
        <w:t>14 BULLETIN NO. 52 OF DECEMBER 30, 2019</w:t>
      </w:r>
    </w:p>
    <w:p>
      <w:r>
        <w:t>This provision will be notified to the interested parties pursuant to Article 16, paragraph 3, of Presidential Decree No. 217/1998 and published in the Bulletin of the Competition and Market Authority.</w:t>
      </w:r>
    </w:p>
    <w:p>
      <w:r>
        <w:t>THE SECRETARY GENERAL THE PRESIDENT</w:t>
        <w:br/>
        <w:t>Filippo Arena Roberto Rustichelli</w:t>
      </w:r>
    </w:p>
    <w:p>
      <w:r>
        <w:rPr>
          <w:b/>
        </w:rPr>
        <w:t>[Pages 13–15]</w:t>
      </w:r>
    </w:p>
    <w:p>
      <w:r>
        <w:t>BULLETIN NO. 52 OF DECEMBER 30, 2019</w:t>
      </w:r>
    </w:p>
    <w:p>
      <w:r>
        <w:t>C12246 - FRATELLI ARENA/BRANCHES OF SMA - DISTRIBUTION CAMBRIA-ROBERTO ABATE</w:t>
      </w:r>
    </w:p>
    <w:p>
      <w:r>
        <w:t>Provision No. 28038</w:t>
      </w:r>
    </w:p>
    <w:p>
      <w:r>
        <w:t>THE ANTITRUST AUTHORITY</w:t>
      </w:r>
    </w:p>
    <w:p>
      <w:r>
        <w:t>IN ITS MEETING of December 20, 2019;</w:t>
      </w:r>
    </w:p>
    <w:p>
      <w:r>
        <w:t>HEARD the Rapporteur Professor Michele Ainis;</w:t>
      </w:r>
    </w:p>
    <w:p>
      <w:r>
        <w:t>SEEN Regulation (EC) No. 139/2004;</w:t>
      </w:r>
    </w:p>
    <w:p>
      <w:r>
        <w:t>SEEN Law No. 287 of October 10, 1990;</w:t>
      </w:r>
    </w:p>
    <w:p>
      <w:r>
        <w:t>SEEN the communication from Fratelli Arena S.r.l., received on July 12, 2019;</w:t>
      </w:r>
    </w:p>
    <w:p>
      <w:r>
        <w:t>SEEN the request for information sent on August 1, 2019, with consequent interruption of the deadlines pursuant to Article 5, paragraph 3, of the D.P.R. No. 217 of April 30, 1998;</w:t>
      </w:r>
    </w:p>
    <w:p>
      <w:r>
        <w:t>SEEN the additional information sent by Fratelli Arena S.r.l. received on August 27, 2019, and supplemented on September 9 and 19; October 9 and 31; November 13, 19, 25, 28; December 4 and 6, 2019;</w:t>
      </w:r>
    </w:p>
    <w:p>
      <w:r>
        <w:t>SEEN its resolution of October 15, 2019, No. 27949, with which it initiated, pursuant to Article 16, paragraph 4, of Law No. 287/90, the proceedings against Fratelli Arena S.r.l.;</w:t>
      </w:r>
    </w:p>
    <w:p>
      <w:r>
        <w:t>SEEN its resolution of November 27, 2019, which extended the deadline for closing the proceedings to December 30, 2019;</w:t>
      </w:r>
    </w:p>
    <w:p>
      <w:r>
        <w:t>SEEN the Communication of Investigative Results transmitted on December 3, 2019;</w:t>
      </w:r>
    </w:p>
    <w:p>
      <w:r>
        <w:t>SEEN the final submissions presented by Fratelli Arena S.r.l. and the final hearing before the College, held on December 10, 2019;</w:t>
      </w:r>
    </w:p>
    <w:p>
      <w:r>
        <w:t>SEEN the communication of December 6, 2019, in which Fratelli Arena S.r.l. presented corrective measures, supplemented on December 11, 13, 16, and 17, 2019, aimed at addressing the competitive concerns highlighted in the Communication of Investigative Results;</w:t>
      </w:r>
    </w:p>
    <w:p>
      <w:r>
        <w:t>SEEN the acts of the proceedings and the documentation acquired during the investigation;</w:t>
      </w:r>
    </w:p>
    <w:p>
      <w:r>
        <w:t>CONSIDERED the following:</w:t>
      </w:r>
    </w:p>
    <w:p>
      <w:r>
        <w:t>I. THE PARTIES</w:t>
      </w:r>
    </w:p>
    <w:p>
      <w:r>
        <w:t>1. Fratelli Arena S.r.l. (hereinafter also "Fratelli Arena") is a company subject to the direction and coordination of Gruppo Arena S.p.A. (hereinafter also "Gruppo Arena"), which holds its entire share capital. Gruppo Arena, in turn controlled by individuals, operates in the Organized Large Distribution (hereinafter also "GDO") almost exclusively in the Sicily region, through approximately 140 points of sale (hereinafter also "pv") belonging to the traditional channel, under the brands Decò, IperConveniente, SuperConveniente, and NonSoloCash. Gruppo Arena is part of the Végé Group, a cooperative company of the GDO with purchasing center functions, which also offers its members IT and data processing services. Gruppo Arena achieved a turnover of approximately 509 million euros in 2018, entirely developed in the national territory.</w:t>
      </w:r>
    </w:p>
    <w:p>
      <w:r>
        <w:t>2. The first group of branches of the business subject to acquisition consists of 33 pvs (31 supermarkets and 2 hypermarkets) of the GDO belonging to the traditional channel operated by SMA S.p.A. (hereinafter also "Branches of SMA" and "SMA"), a company at the time of the concentration operation subject to the control of Auchan S.p.A., operating under the Simply brand in the Sicily region, particularly in the provinces of Catania, Messina, Palermo, and Syracuse. In 2018, the turnover generated in Italy by the Branches of SMA was approximately [100-498] million euros.</w:t>
      </w:r>
    </w:p>
    <w:p>
      <w:r>
        <w:t>3. The second group of branches of the business subject to acquisition consists of 9 pvs (7 supermarkets and 2 hypermarkets) of the GDO, belonging to the traditional channel, operated by Distribuzione Cambria S.r.l. (hereinafter also "Branches of Cambria" and "Cambria"), which operate under the Iperspaccio and Superspaccio Alimentare brands in the Sicily region and, in particular, in the provinces of Catania, Messina, Palermo, and Syracuse. In 2018, the turnover generated in Italy by the Branches of Cambria was approximately [30-100] million euros.</w:t>
      </w:r>
    </w:p>
    <w:p>
      <w:r>
        <w:t>4. The third group of branches of the business subject to acquisition consists of 11 pvs (9 supermarkets and 2 hypermarkets) of the GDO, belonging to the traditional channel, previously operated by Roberto Abate S.p.A., a company in liquidation (hereinafter also "Branches of Abate" and "Abate"), under the A&amp;O, Iperfamila, and Famila brands in the Sicily region and, in particular, in the provinces of Catania and Syracuse. In 2018, the turnover generated in Italy by the Branches of Abate was approximately [30-100] million euros.</w:t>
      </w:r>
    </w:p>
    <w:p>
      <w:r>
        <w:t>II. DESCRIPTION OF THE OPERATION</w:t>
      </w:r>
    </w:p>
    <w:p>
      <w:r>
        <w:t>5. The operation in question consists of the acquisition by Fratelli Arena of exclusive control over three groups of branches of the business, respectively composed of: i) 33 branches operated by SMA (hereinafter also "Acquisition SMA"); ii) 8 branches operated by Cambria (hereinafter also "Acquisition Cambria"); iii) 11 branches operated by Abate ("Acquisition Abate"). All 52 branches acquired are points of sale of the GDO located in the Sicily Region. The three acquisitions constitute a single concentration operation due to the same economic, geographical, and temporal context in which they are situated, making a unitary examination of the effects they will produce on the relevant markets necessary.</w:t>
      </w:r>
    </w:p>
    <w:p>
      <w:r>
        <w:t>6. The Acquisition SMA was carried out through the transfer by SMA to four special purpose companies, wholly owned by it (named Supermercati Messina S.r.l., Supermercati Palermo S.r.l., Supermercati City S.r.l., and Supermercati Retail S.r.l.), of the 33 Branches of SMA, specifically:</w:t>
        <w:br/>
        <w:t>- 32 owned pvs;</w:t>
        <w:br/>
        <w:t>- 1 lease contract related to the non-owned pv;</w:t>
        <w:br/>
        <w:t>- the active personnel at the identified pvs;</w:t>
        <w:br/>
        <w:t>- all contracts related to the exercise of the commercial activity carried out at the 33 identified pvs.</w:t>
      </w:r>
    </w:p>
    <w:p>
      <w:r>
        <w:t>7. At the conclusion of the operation, the share capital of the aforementioned special purpose companies was entirely transferred to Fratelli Arena. In turn, Fratelli Arena transferred, on the same date of acquisition, the ownership of the shares of Supermercati City S.r.l. to NEW FDM S.p.A. (hereinafter "NEW FDM"), a company controlled by Radenza Group S.r.l. (hereinafter "Radenza"), which carries out, among other activities, retail trade of food and non-food products through a network of owned and franchised points of sale under the CRAI brand. The transfer to NEW FDM concerns only the branches of the business that flowed into the special purpose company Supermercati City S.r.l., namely 14 points of sale out of the 33 acquired from SMA.</w:t>
      </w:r>
    </w:p>
    <w:p>
      <w:r>
        <w:t>8. The Acquisition Cambria consists of the purchase by Fratelli Arena, through the controlled Sviluppo Arena S.r.l., of the 8 Branches of Cambria. It was carried out through the signing of two transfer contracts for the 5 branches currently operated by Cambria under lease and one transfer contract for the 3 branches directly operated by Cambria.</w:t>
      </w:r>
    </w:p>
    <w:p>
      <w:r>
        <w:t>9. The Acquisition Abate consists of the purchase by Fratelli Arena of the 11 Branches of Abate. It is carried out through a transfer contract to Fratelli Arena of the Branches of Abate, concerning the equipment, authorizations, owned real estate, lease contracts, employee relations, and goodwill.</w:t>
      </w:r>
    </w:p>
    <w:p>
      <w:r>
        <w:rPr>
          <w:b/>
        </w:rPr>
        <w:t>[Pages 16–18]</w:t>
      </w:r>
    </w:p>
    <w:p>
      <w:r>
        <w:t>18 BULLETIN NO. 52 OF DECEMBER 30, 2019</w:t>
      </w:r>
    </w:p>
    <w:p>
      <w:r>
        <w:t>III. QUALIFICATION OF THE OPERATION</w:t>
      </w:r>
    </w:p>
    <w:p>
      <w:r>
        <w:t>10. The operation in question, as it involves the acquisition of exclusive control over parts of companies, constitutes a concentration pursuant to Article 5, paragraph 1, letter b), of Law No. 287/90.</w:t>
      </w:r>
    </w:p>
    <w:p>
      <w:r>
        <w:t>11. It falls within the scope of application of Law No. 287/90, as the conditions set out in Article 1 of Regulation No. 139/2004 do not apply, and is subject to the obligation of prior notification provided for by Article 16, paragraph 1, of the same law, as: 1) the total turnover achieved in the last financial year at the national level by the group of companies involved was over 498 million euros; 2) the total turnover achieved individually at the national level by at least two of the companies involved was over 30 million euros.</w:t>
      </w:r>
    </w:p>
    <w:p>
      <w:r>
        <w:t>IV. INITIATION OF THE PROCEDURE AND INSTRUCTIONAL ACTIVITY</w:t>
      </w:r>
    </w:p>
    <w:p>
      <w:r>
        <w:t>12. On October 15, 2019, the Authority initiated an investigation, pursuant to Article 16, paragraph 4, of Law No. 287/90, against the company Fratelli Arena, believing that the concentration operation in question could lead, pursuant to Article 6, paragraph 1, of Law No. 287/90, to the creation or strengthening of a dominant position, such as to eliminate or substantially and durably reduce competition in the local markets related to 20 supermarkets (13 located in the province of Catania; 2 in Messina, 1 in Palermo, and 3 in Siracusa) and 3 hypermarkets (all located in Catania).</w:t>
      </w:r>
    </w:p>
    <w:p>
      <w:r>
        <w:t>13. During the investigation, requests for information were sent, not only to the Parties, but also to the main operators of traditional GDO and the discount channel operating at the local level: MD S.p.A. (hereinafter "MD"); Lidl Italia S.p.A. ("Lidl"); Eurospin Italia S.p.A. ("Eurospin"); Conad Soc. Coop. ("Conad"); Coop. Italia Soc. Coop. ("COOP") and Coop Alleanza 3.0 ("COOP 3.0"); CRAI Secom S.p.A. ("CRAI"); Despar Servizi s.c. a r.l. ("Despar"); D.IT Distribuzione Italiana Soc. Coop. ("D.IT"); Ergon Soc. Cons. a r.l. ("Ergon"). The contacted operators responded to the requests sent.</w:t>
      </w:r>
    </w:p>
    <w:p>
      <w:r>
        <w:t>14. Furthermore, in order to better understand consumer spending habits and demand dynamics in the GDO sector, the Authority conducted a sample market research (hereinafter, briefly, the "survey") aimed at verifying the definition of relevant markets and, more generally, at collecting useful elements for the assessment of concentrations in the GDO sector, carried out through a questionnaire administered by The Nielsen Company S.r.l. (hereinafter "Nielsen") to a representative national sample of consumers.</w:t>
      </w:r>
    </w:p>
    <w:p>
      <w:r>
        <w:t>15. The Party accessed the documents on several occasions during the procedure and participated in the hearing.</w:t>
      </w:r>
    </w:p>
    <w:p>
      <w:r>
        <w:t>16. On November 13, 2019, the Party simultaneously requested, pursuant to Article 16, paragraph 8, of Law No. 287/90, an extension of the deadline for concluding the procedure. The Authority, on November 27, 2019, accepted this request and decided to extend the deadline for concluding the procedure to December 30, 2019, pursuant to Article 16, paragraph 8, of Law No. 287/1990.</w:t>
      </w:r>
    </w:p>
    <w:p>
      <w:r>
        <w:t>17. On November 25, 2019, the Party, pursuant to Article 7 of Presidential Decree No. 217/98, sent an illustrative memorandum during the procedure, which was subsequently supplemented, including through its final memoranda.</w:t>
      </w:r>
    </w:p>
    <w:p>
      <w:r>
        <w:t>18. On December 3, 2019, the Communication of the Investigative Findings (hereinafter also "CRI") was sent to the Party, and on December 10, 2019, the final hearing was held before the College.</w:t>
      </w:r>
    </w:p>
    <w:p>
      <w:r>
        <w:t>19. By communication dated December 6, 2019, supplemented on December 11, 13, and 17, 2019, the Party proposed some corrective measures. Furthermore, on December 16 and 17, 2019, beyond the deadline for acquiring evidence, the Party sent an additional communication regarding the opening of a new store by a competitor, within one of the relevant markets subject to initiation.</w:t>
      </w:r>
    </w:p>
    <w:p>
      <w:r>
        <w:t>V. INVESTIGATIVE FINDINGS</w:t>
      </w:r>
    </w:p>
    <w:p>
      <w:r>
        <w:t>a) Premise</w:t>
      </w:r>
    </w:p>
    <w:p>
      <w:r>
        <w:t>20. This operation concerns the acquisition by Fratelli Arena of 38 business branches consisting of GDO points of sale (33 supermarkets and 5 hypermarkets) located in the Sicilian territory.</w:t>
      </w:r>
    </w:p>
    <w:p>
      <w:r>
        <w:t>21. In the initiation provision, following the established practice of the Authority regarding concentrations in the GDO sector, the following relevant product markets were identified:</w:t>
      </w:r>
    </w:p>
    <w:p>
      <w:r>
        <w:t>i) the supermarket market (400-2,499 sqm), consisting of all supermarkets, mini-markets, and hypermarkets;</w:t>
      </w:r>
    </w:p>
    <w:p>
      <w:r>
        <w:t>ii) the hypermarket market (2,500 sqm and above), consisting of hypermarkets and large supermarkets (of size equal to or greater than 1,500 sqm).</w:t>
      </w:r>
    </w:p>
    <w:p>
      <w:r>
        <w:t>22. Regarding the geographical extent of the aforementioned markets, the Authority, in a preliminary definition, based on its previous decisions, identified the geographical markets of interest in the area delimited by 20-minute driving isochrones constructed around the points of sale of the target company subject to acquisition.</w:t>
      </w:r>
    </w:p>
    <w:p>
      <w:r>
        <w:t>23. However, in the initiation provision, it was highlighted that the complete definition of the markets, both from a product and geographical perspective, would only be possible following the analysis of all the informational elements acquired during the investigation.</w:t>
      </w:r>
    </w:p>
    <w:p>
      <w:r>
        <w:t>24. In light of the product and geographical definition of the relevant markets as identified above, the initiation provision concluded that the operation in question could lead to the creation or strengthening of a dominant position in 20 local supermarket markets (13 located in the province of Catania, 3 in the province of Siracusa, 2 in the province of Messina, and 2 in the province of Palermo) and 3 local hypermarket markets (all in the province of Catania). This is because significant horizontal overlaps were determined in the aforementioned markets, with post-merger market shares exceeding 25% and increases attributable to the concentration in question deemed non-negligible.</w:t>
      </w:r>
    </w:p>
    <w:p>
      <w:r>
        <w:rPr>
          <w:b/>
        </w:rPr>
        <w:t>[Pages 19–21]</w:t>
      </w:r>
    </w:p>
    <w:p>
      <w:r>
        <w:t>BULLETIN NO. 52 OF DECEMBER 30, 2019</w:t>
      </w:r>
    </w:p>
    <w:p>
      <w:r>
        <w:t>Table No. 1 – Local markets of supermarkets identified at the outset</w:t>
      </w:r>
    </w:p>
    <w:p>
      <w:r>
        <w:t xml:space="preserve">Market Share of Market Share of Market Share of Market Share of Market Share of </w:t>
        <w:br/>
        <w:t xml:space="preserve">Relevant Isochrones (brand, address, province) Cambria Fratelli Arena SMA Abate aggregated Parties </w:t>
        <w:br/>
        <w:t xml:space="preserve">1 Simply [omissis] CT [20-25%] [15-20%] [1-5%] [5-10%] [45-50%] </w:t>
        <w:br/>
        <w:t xml:space="preserve">2 Punto Simply [omissis] CT [25-30%] [5-10%] [less than 1%] [5-10%] [40-45%] </w:t>
        <w:br/>
        <w:t xml:space="preserve">Food Outlet [omissis] </w:t>
        <w:br/>
        <w:t xml:space="preserve">3 [15-20%] [5-10%] [less than 1%] [5-10%] [35-40%] </w:t>
        <w:br/>
        <w:t xml:space="preserve">CT </w:t>
        <w:br/>
        <w:t xml:space="preserve">Food Outlet [omissis] </w:t>
        <w:br/>
        <w:t xml:space="preserve">4 [25-30%] [5-10%] [less than 1%] [5-10%] [40-45%] </w:t>
        <w:br/>
        <w:t xml:space="preserve">CT </w:t>
        <w:br/>
        <w:t xml:space="preserve">5 SMA Ipersimply [omissis] CT [20-25%] [15-20%] [1-5%] [5-10%] [50-55%] </w:t>
        <w:br/>
        <w:t xml:space="preserve">6 Simply [omissis] CT [20-25%] [5-10%] [1-5%] [5-10%] [40-45%] </w:t>
        <w:br/>
        <w:t xml:space="preserve">7 Famila [omissis] CT [10-15%] - - [25-30%] [40-45%] </w:t>
        <w:br/>
        <w:t xml:space="preserve">8 Super A&amp;O [omissis] CT [25-30%] [5-10%] [less than 1%] [5-10%] [45-50%] </w:t>
        <w:br/>
        <w:t xml:space="preserve">9 Super A&amp;O [omissis] CT [25-30%] [5-10%] [less than 1%] [5-10%] [40-45%] </w:t>
        <w:br/>
        <w:t xml:space="preserve">10 Famila [omissis] CT [20-25%] [5-10%] [1-5%] [5-10%] [35-40%] </w:t>
        <w:br/>
        <w:t xml:space="preserve">11 Famila [omissis] CT [15-20%] [15-20%] - [10-15%] [45-50%] </w:t>
        <w:br/>
        <w:t xml:space="preserve">12 Famila [omissis] CT [10-15%] - - [10-15%] [25-30%] </w:t>
        <w:br/>
        <w:t xml:space="preserve">13 A&amp;O [omissis] CT [20-25%] [5-10%] [1-5%] [5-10%] [35-40%] </w:t>
        <w:br/>
        <w:t xml:space="preserve">Food Outlet [omissis] </w:t>
        <w:br/>
        <w:t xml:space="preserve">14 [25-30%] - [5-10%] - [35-40%] </w:t>
        <w:br/>
        <w:t xml:space="preserve">ME </w:t>
        <w:br/>
        <w:t xml:space="preserve">15 Simply [omissis] ME [5-10%] [20-25%] - - [25-30%] </w:t>
        <w:br/>
        <w:t xml:space="preserve">16 Simply [omissis] PA [15-20%] [5-10%] [5-10%] - [30-35%] </w:t>
        <w:br/>
        <w:t xml:space="preserve">Food Outlet [omissis] </w:t>
        <w:br/>
        <w:t xml:space="preserve">17 [30-35%] - [5-10%] - [35-40%] </w:t>
        <w:br/>
        <w:t xml:space="preserve">PA </w:t>
        <w:br/>
        <w:t xml:space="preserve">18 Simply [omissis] SR [10-15%] [5-10%] - [5-10%] [25-30%] </w:t>
        <w:br/>
        <w:t xml:space="preserve">19 Simply [omissis] SR [10-15%] [5-10%] - [5-10%] [25-30%] </w:t>
        <w:br/>
        <w:t xml:space="preserve">20 A&amp;O [omissis] SR [10-15%] [5-10%] - [5-10%] [25-30%] </w:t>
        <w:br/>
        <w:t>Source: the Parties. Elaborations: AGCM.</w:t>
      </w:r>
    </w:p>
    <w:p>
      <w:r>
        <w:t>Table No. 2 – Local markets of hypermarkets identified at the outset</w:t>
      </w:r>
    </w:p>
    <w:p>
      <w:r>
        <w:t xml:space="preserve">Market Share of Market Share of Market Share of Market Share of Market Share of </w:t>
        <w:br/>
        <w:t xml:space="preserve">Relevant Isochrones (brand, address, province) Fratelli Arena SMA Cambria Abate aggregated Parties </w:t>
        <w:br/>
        <w:t xml:space="preserve">1 SMA Ipersimply [omissis] CT [25-30%] [10-15%] - [5-10%] [45-50%] </w:t>
        <w:br/>
        <w:t xml:space="preserve">2 SMA Ipersimply [omissis] CT [10-15%] [10-15%] - [10-15%] [35-40%] </w:t>
        <w:br/>
        <w:t xml:space="preserve">3 Iperfamila [omissis] CT [20-25%] [5-10%] - [5-10%] [35-40%] </w:t>
        <w:br/>
        <w:t>Source: the Parties. Elaborations: AGCM.</w:t>
      </w:r>
    </w:p>
    <w:p>
      <w:r>
        <w:t>25. Below are the investigative findings, articulated in the results of the survey on consumer habits, in the responses to requests for information made to competitors, and in the evidence provided by the Parties.</w:t>
      </w:r>
    </w:p>
    <w:p>
      <w:r>
        <w:t>b) The survey on consumer habits</w:t>
      </w:r>
    </w:p>
    <w:p>
      <w:r>
        <w:t>26. The survey on consumption habits in the GDO sector was conducted by the Authority with a dual objective: i) on one hand, to verify (or, if necessary, modify) the established approach to relevant markets concerning the definition of the product market and the geographical market, through the study of existing substitutability relationships in the sector in terms of types of points of sale, brands, distances between commercial establishments; ii) on the other hand, to obtain the necessary elements to complete the traditional study of market shares (which only represent an approximation of the market power of the Parties and the general reduction of competition resulting from the decrease in the number of operators in the market) with more advanced analysis methodologies, aimed at estimating the incentive for the Parties, made possible by the concentration operation, to increase the prices charged to consumers.</w:t>
      </w:r>
    </w:p>
    <w:p>
      <w:r>
        <w:t xml:space="preserve">27. Regarding the objective of verifying the established product and geographical market definitions in the GDO sector, the research analyzed five main aspects: </w:t>
        <w:br/>
        <w:t xml:space="preserve">i. the substitutability relationships between different types of GDO points of sale (i.e., convenience stores, supermarkets, hypermarkets); </w:t>
        <w:br/>
        <w:t xml:space="preserve">ii. the existing substitutability relationships between traditional GDO points of sale and discount stores; </w:t>
        <w:br/>
        <w:t xml:space="preserve">iii. the extent of local geographical markets; </w:t>
        <w:br/>
        <w:t xml:space="preserve">iv. the substitutability relationships between different brands active in the GDO; </w:t>
        <w:br/>
        <w:t>v. the impact of the development of online sales in the sector.</w:t>
      </w:r>
    </w:p>
    <w:p>
      <w:r>
        <w:t>b.1) The results of the survey related to the product market</w:t>
      </w:r>
    </w:p>
    <w:p>
      <w:r>
        <w:t>28. The survey first identified the point of sale where consumers normally do their shopping, broadening the assessment of consumer preferences to types of points of sale traditionally considered outside the GDO market (discounts, specialized food stores, local markets, or online sales, see Table 3 below).</w:t>
      </w:r>
    </w:p>
    <w:p>
      <w:r>
        <w:t>29. At the national level, the supermarket emerged as the most used option (almost 60%), followed by the hypermarket (20%). Among the options considered outside the traditional GDO market, the survey highlighted a significant incidence of the discount option (13%), making it the third type of point of sale in the purchasing habits observed. A still marginal relevance in the spending habits of Italian consumers in the sample was noted regarding the online sector (less than 1%).</w:t>
      </w:r>
    </w:p>
    <w:p>
      <w:r>
        <w:t>30. The preference for the supermarket point of sale type is even more pronounced in Sicily (almost 65%), while the hypermarket is less used by Sicilian consumers (13%). The use of discounts shows similar values in consumer choices compared to the national data (12%). Online shopping is even less widespread in Sicily than in the rest of the national territory.</w:t>
      </w:r>
    </w:p>
    <w:p>
      <w:r>
        <w:t>Table 3 – Type of usual point of sale (%).</w:t>
      </w:r>
    </w:p>
    <w:p>
      <w:r>
        <w:t xml:space="preserve">Type of point of sale/channel Total Italy Total Sicily </w:t>
        <w:br/>
        <w:t xml:space="preserve">Hypermarket 20% 13% </w:t>
        <w:br/>
        <w:t xml:space="preserve">Supermarket 57% 64% </w:t>
        <w:br/>
        <w:t xml:space="preserve">Convenience store 6% 5% </w:t>
        <w:br/>
        <w:t xml:space="preserve">Discount 13% 12% </w:t>
        <w:br/>
        <w:t xml:space="preserve">Specialized store 2% 1% </w:t>
        <w:br/>
        <w:t xml:space="preserve">Local market 2% 4% </w:t>
        <w:br/>
        <w:t xml:space="preserve">Internet with home delivery 1% 0% </w:t>
        <w:br/>
        <w:t>Source and elaborations: AGCM elaboration on Nielsen survey data</w:t>
      </w:r>
    </w:p>
    <w:p>
      <w:r>
        <w:t>31. Regarding the degree of substitutability between different types of points of sale (i.e., convenience stores, supermarkets, hypermarkets, etc.), the survey, both at the national and local level, allowed for the verification of consumers' propensity to substitute their preferred type of point of sale with a different type. The survey confirmed that the perceived substitutability relationship among the types of points of sale has, primarily, an asymmetric nature (with a generally higher level of substitutability from smaller points of sale to larger points of sale), which assumes different values depending on the type of point of sale preferred for their usual shopping and the potential substitute.</w:t>
      </w:r>
    </w:p>
    <w:p>
      <w:r>
        <w:t>32. As can be seen from Table 4 below – which represents the substitutability relationships between the main types of points of sale both for the national territory and for Sicily alone – Italian consumers are very inclined to consider supermarkets as substitutes for hypermarkets (97% of responses "very substitutable" and "fairly substitutable") and vice versa (77%). A high level of substitutability is found between supermarkets and convenience stores and vice versa (60% and 90%, respectively). Discounts play a particular role within the preferences observed among consumers, representing a sufficiently valid alternative to</w:t>
      </w:r>
    </w:p>
    <w:p>
      <w:r>
        <w:rPr>
          <w:b/>
        </w:rPr>
        <w:t>[Pages 22–24]</w:t>
      </w:r>
    </w:p>
    <w:p>
      <w:r>
        <w:t>24 BULLETIN NO. 52 OF DECEMBER 30, 2019</w:t>
      </w:r>
    </w:p>
    <w:p>
      <w:r>
        <w:t>hypermarkets (56%), supermarkets (55%), and small supermarkets (54%). No significant differences are recorded compared to national data regarding hypermarkets and supermarkets in Sicily, while the degree of substitutability of other types of points of sale is lower for regular customers of small supermarkets, especially in the traditional channel.</w:t>
      </w:r>
    </w:p>
    <w:p>
      <w:r>
        <w:t>Table 4 – Substitutability relationships between main types of points of sale (%).</w:t>
      </w:r>
    </w:p>
    <w:p>
      <w:r>
        <w:t>Point of Sale Preferred Substitute Point of Sale Frequency of Responses (Very and Fairly Substitutable) – Total Italy Frequency of Responses (Very and Fairly Substitutable) – Sicily</w:t>
        <w:br/>
        <w:t>Supermarket 97% 96%</w:t>
        <w:br/>
        <w:t>Hypermarket Small Supermarket 46% 42%</w:t>
        <w:br/>
        <w:t>Discount 56% 68%</w:t>
        <w:br/>
        <w:t>Hypermarket 77% 70%</w:t>
        <w:br/>
        <w:t>Supermarket Small Supermarket 60% 54%</w:t>
        <w:br/>
        <w:t>Discount 55% 53%</w:t>
        <w:br/>
        <w:t>Hypermarket 58% 31%</w:t>
        <w:br/>
        <w:t>Small Supermarket Supermarket 90% 48%</w:t>
        <w:br/>
        <w:t>Discount 54% 50%</w:t>
      </w:r>
    </w:p>
    <w:p>
      <w:r>
        <w:t>Source and elaborations: AGCM processing on Nielsen survey data</w:t>
      </w:r>
    </w:p>
    <w:p>
      <w:r>
        <w:t>b.2) Survey results related to the geographical market</w:t>
      </w:r>
    </w:p>
    <w:p>
      <w:r>
        <w:t>33. Regarding consumers' travel habits for their shopping, the survey provides results that are almost invariant on a national scale at the local level (Sicily). The private vehicle is by far the most used means to reach the point of sale at the national level (79%) and even more so on the Sicilian island (84%, see Table 5), especially in the case of shopping at larger point of sale types (hypermarket, supermarket, discount).</w:t>
      </w:r>
    </w:p>
    <w:p>
      <w:r>
        <w:t>Table 5 – Shopping travel habits by type of transport and point of sale.</w:t>
      </w:r>
    </w:p>
    <w:p>
      <w:r>
        <w:t>Type of Point of Sale</w:t>
        <w:br/>
        <w:t>Transport Means Hypermarket Supermarket Small Supermarket Discount Total</w:t>
        <w:br/>
        <w:t>Private Vehicle (car/motorcycle) 93% 79% 49% 85% 79%</w:t>
        <w:br/>
        <w:t>ITALY Public Transport 1% 2% 2% 1% 1%</w:t>
        <w:br/>
        <w:t>On Foot 6% 20% 50% 15% 19%</w:t>
        <w:br/>
        <w:t>Private Vehicle (car/motorcycle) 94% 75% 55% 89% 84%</w:t>
        <w:br/>
        <w:t>SICILY Public Transport 1% 1% 0% 0% 1%</w:t>
        <w:br/>
        <w:t>On Foot 5% 23% 45% 11% 16%</w:t>
      </w:r>
    </w:p>
    <w:p>
      <w:r>
        <w:t>Source and elaborations: AGCM processing on Nielsen survey data</w:t>
      </w:r>
    </w:p>
    <w:p>
      <w:r>
        <w:t>34. Regarding the geographical extent of relevant markets, the responses provided by consumers in the survey concerning their willingness to travel to shop at traditional GDO points of sale (hypermarkets, supermarkets, and small supermarkets) highlighted the distribution of travel times reported in Table 6 that follows.</w:t>
      </w:r>
    </w:p>
    <w:p>
      <w:r>
        <w:t>Table 6 – Consumer mobility by type of point of sale.</w:t>
      </w:r>
    </w:p>
    <w:p>
      <w:r>
        <w:t>Driving Time Hypermarket Supermarket Small Supermarket Discount</w:t>
        <w:br/>
        <w:t>Up to 10 minutes 66% 77% 85% 82%</w:t>
        <w:br/>
        <w:t>ITALY</w:t>
        <w:br/>
        <w:t>Up to 15 minutes 86% 92% 91% 91%</w:t>
        <w:br/>
        <w:t>Up to 10 minutes 88% 85% 94% 81%</w:t>
        <w:br/>
        <w:t>SICILY</w:t>
        <w:br/>
        <w:t>Up to 15 minutes 93% 93% 94% 100%</w:t>
      </w:r>
    </w:p>
    <w:p>
      <w:r>
        <w:t>Source and elaborations: AGCM processing on Nielsen survey data</w:t>
      </w:r>
    </w:p>
    <w:p>
      <w:r>
        <w:t>35. In particular, at the national level, it emerges that over 85% of regular customers of small supermarkets travel by car for more than 10 minutes to reach their reference point of sale. Regarding supermarkets, 77% of customers report travel times within 10 minutes and 92% within 15 minutes. Finally, 86% of regular customers of hypermarkets stated that they travel no more than 15 minutes by car to reach the point of sale. Travel times are generally shorter in Sicily, where 94% of consumers reach their reference small supermarket within 10 minutes from home or work, 93% reach the supermarket or hypermarket of which they are regular customers within 15 minutes, and even 100% reach their discount store within this time frame.</w:t>
      </w:r>
    </w:p>
    <w:p>
      <w:r>
        <w:t>36. Finally, it is noted that the average distance—expressed in terms of minutes—traveled by consumers to carry out their usual shopping is about 8 minutes for the national sample and about 7 minutes for the Sicilian sample.</w:t>
      </w:r>
    </w:p>
    <w:p>
      <w:r>
        <w:t>c) Responses to competitors' requests for information</w:t>
      </w:r>
    </w:p>
    <w:p>
      <w:r>
        <w:t>37. Regarding the extension of relevant product markets, and in particular the substitutability of traditional GDO outlets with those of the discount type, it is noted that the competitive pressure exerted by discounters is perceived by almost all traditional operators heard during the investigation. Even the main discount chains, for their part, declare themselves to be in a competitive relationship with traditional GDO chains. Exemplifying this is what the discount operator MD stated: “in light of the growth observed in recent years in the number of customers of non-discount GDO brands who show interest and make purchases also in discount chains, we define Decò, Superconveniente, Iperconveniente, Despar Conad, Coop, Carrefour as indirectly competing brands.” Eurospin also highlighted among its main competitors in Sicily the points of sale belonging to the Végé Group (i.e., in the areas of interest here, the points of sale of Fratelli Arena).</w:t>
      </w:r>
    </w:p>
    <w:p>
      <w:r>
        <w:t>38. Regarding the expansion of the product market of hypermarkets, including points of sale smaller than those considered so far, Conad and Conad Sicilia have highlighted that “[n]umerous areas of the southern region are characterized by a limited presence of hypermarkets / large supermarkets, in favor of a network mainly consisting of small / medium supermarkets and small supermarkets. Therefore, the few medium-large / large structures also face competition from smaller structures. Conad cannot therefore exclude that such competitive dynamics—observable as mentioned in many territories of southern Italy—also characterize the Sicilian markets.”</w:t>
      </w:r>
    </w:p>
    <w:p>
      <w:r>
        <w:t>39. Regarding the extension of the geographical market, responses from competitors reveal a rather heterogeneous picture that can be summarized as follows. Many operators have noted, in general, that the breadth of the geographical scope in which individual points of sale face competitive pressure from competitors “cannot be precisely and uniformly identified, as it is influenced by numerous and changing variables: the population density of the catchment area, the characteristics of the territory and infrastructure, consumption habits, and the complexity of the market.”</w:t>
      </w:r>
    </w:p>
    <w:p>
      <w:r>
        <w:rPr>
          <w:b/>
        </w:rPr>
        <w:t>[Pages 25–27]</w:t>
      </w:r>
    </w:p>
    <w:p>
      <w:r>
        <w:t>BULLETIN NO. 52 OF DECEMBER 30, 2019</w:t>
      </w:r>
    </w:p>
    <w:p>
      <w:r>
        <w:t>27 competitive (number and type of competitors)”. With specific reference to the area affected by this operation, one operator observed that “the infrastructural deficiencies that have always characterized the Sicilian territory, in addition to representing a serious limitation for the growth and development of this land, have, for the purposes of this inquiry, the effect of strongly limiting the 'nomadism of consumers'. The high density that characterizes Sicily, particularly in the two major cities of Palermo and Catania, has always generated contiguity and overlap of the catchment areas served by the various brands”.</w:t>
      </w:r>
    </w:p>
    <w:p>
      <w:r>
        <w:t>The indications in terms of travel times vary substantially from operator to operator; however, all operators who provided an estimate of the extent of this geographical area (except for Coop Alleanza 3.0) declared an isochrone with a radius of less than 15 minutes.</w:t>
      </w:r>
    </w:p>
    <w:p>
      <w:r>
        <w:t>d) The Position of the Party on the Definition of Relevant Markets</w:t>
      </w:r>
    </w:p>
    <w:p>
      <w:r>
        <w:t>40. In support of the inclusion of discounters in the relevant product markets, the Party, in addition to the results of the survey specifically regarding Sicily (already largely highlighted in the previous paragraphs), has provided some further evidence, such as the rebranding campaigns recently undertaken by two of the main brands traditionally associated with the discount channel: Lidl and MD. “The former explicitly self-qualifies as a supermarket in its promotional campaigns: 'Do not change your lifestyle, change your supermarket'; the latter has modified its logo, removing the word 'discount'”.</w:t>
      </w:r>
    </w:p>
    <w:p>
      <w:r>
        <w:t>41. In this regard, the Party has, on several occasions, reported the opening of new discount channel stores within the isochrones subject to investigation. The information regarding these openings has been verified with the companies involved through a request for information.</w:t>
      </w:r>
    </w:p>
    <w:p>
      <w:r>
        <w:t>42. As for the product market definition of hypermarkets, the Party believes that, specifically regarding the three target hypermarkets of this operation indicated in the initiation provision, they—although formally classified as hypermarkets—exhibit “certain characteristics that make them much more comparable to the supermarket format than to that of hypermarkets”. This is due to their sizes (respectively 2,670, 2,760, and 3,000 sqm), just above the threshold for defining hypermarkets and far below the average sizes of national and Sicilian hypermarkets, both in terms of assortment and average spending, which are closer to those of supermarkets than hypermarkets. Consequently, they should be more correctly considered akin to supermarkets, taking into account, within the relevant isochrone, the competitive pressure from all modern distribution points of sale and not just from those of larger dimensions.</w:t>
      </w:r>
    </w:p>
    <w:p>
      <w:r>
        <w:t>43. Finally, regarding the geographical market extension of supermarkets and hypermarkets, the Party believes that the extent of the 20-minute driving isochrones from the centroid hypothesized in the initiation provision is consistent with the results of the survey related to Sicily. This is because the proximity of the point of sale to the home or workplace would hold less significance for Sicilian consumers compared to the rest of Italy.</w:t>
      </w:r>
    </w:p>
    <w:p>
      <w:r>
        <w:t>VI. EVALUATIONS</w:t>
      </w:r>
    </w:p>
    <w:p>
      <w:r>
        <w:t>a) Relevant Markets</w:t>
      </w:r>
    </w:p>
    <w:p>
      <w:r>
        <w:t>a.1) The Product Market</w:t>
      </w:r>
    </w:p>
    <w:p>
      <w:r>
        <w:t>44. As previously mentioned, the definition of the relevant product markets of modern distribution adopted by the Authority so far has been as follows:</w:t>
        <w:br/>
        <w:t>i) the market for small supermarkets (100-399 sqm), composed of the same small supermarkets and medium-small supermarkets (with an area between 400 and 1,499 sqm);</w:t>
        <w:br/>
        <w:t>ii) the market for supermarkets (400-2,499 sqm), composed of all supermarkets, small supermarkets, and hypermarkets;</w:t>
        <w:br/>
        <w:t>iii) the market for hypermarkets (from 2,500 sqm and above), composed of hypermarkets and large supermarkets (of size equal to or greater than 1,500 sqm).</w:t>
      </w:r>
    </w:p>
    <w:p>
      <w:r>
        <w:t>45. In recent years, in some cases of preliminary analysis of concentrations in the modern distribution sector, some elements have partially called into question these definitions; however, in such cases, it has been possible to leave the definition of the product market open, as it would not have affected the outcome of the assessment in all possible perspectives. This refers, in particular, to the issue of including discounters in the relevant markets of modern distribution and the broadening of the hypermarket product market to also include supermarkets with sizes below 1,500 sqm.</w:t>
      </w:r>
    </w:p>
    <w:p>
      <w:r>
        <w:t>46. These aspects have been the subject of in-depth analysis in this investigation, both from the demand and supply perspectives.</w:t>
      </w:r>
    </w:p>
    <w:p>
      <w:r>
        <w:t>47. From the demand perspective, the investigative findings first induce a reflection regarding the degree of substitutability for consumers of traditional points of sale in the modern distribution channel. In particular, the survey reveals a high substitutability for hypermarket customers with supermarkets, with a rate of around 97% at the national level and 96% concerning the Sicilian territory. This leads to the conclusion that, from the demand perspective, all supermarkets (even those smaller than 1,500 sqm) can reasonably represent a valid alternative for hypermarket customers. This consideration, strongly supported by the Party for a correct assessment of the competitive pressure exerted by competitors on the points of sale subject to acquisition, also appears to be confirmed by the responses to requests for information from the main operators in the sector, especially concerning the specific characteristics of the areas in Southern Italy, characterized by a more limited presence of hypermarkets/large supermarkets, in favor of a network predominantly composed of smaller-sized points of sale. On the other hand, even at the national level, a process of rethinking the model of large retail surfaces in favor of medium-large points of sale seems to be underway.</w:t>
      </w:r>
    </w:p>
    <w:p>
      <w:r>
        <w:t>In light of these considerations, it is believed that the definition of the hypermarket market adopted so far by the Authority (all points of sale of modern distribution from 1,500 sqm and above), which limited the competitive pressure exerted on hypermarkets (defined as points of sale with an area equal to or greater than 2,500 sqm) to only large supermarkets (i.e., those with an area between 1,500 and 2,499 sqm) could be extended to also include smaller supermarkets, i.e., those between 400 and 1,499 sqm. Considering the results of the sample survey, it is not believed, however, contrary to what the Party has argued, that small supermarkets should also be included in this market.</w:t>
      </w:r>
    </w:p>
    <w:p>
      <w:r>
        <w:t>48. Another significant element highlighted by the survey is the appreciation of consumers for a type of point of sale that is non-traditional compared to modern distribution. The analysis of substitutability among the main types of points of sale has indeed highlighted how the discount format represents, at the national level, the third choice for carrying out regular shopping, which the Party itself states in the form: “[it] is clear, therefore, that the format of the hypermarkets subject to acquisition is—and will be following the concentration—rather in competition with supermarkets than with the average of hypermarkets present at the national level”.</w:t>
      </w:r>
    </w:p>
    <w:p>
      <w:r>
        <w:t>In relation to the definition of relevant markets, Conad states: “In Conad's experience, however, the characteristics observable in many areas of Southern Italy may require applying corrections to the aforementioned practice, particularly regarding the sizes of points of sale to be included within each relevant market. Numerous areas in the South are indeed characterized by a limited presence of hypermarkets/large supermarkets, in favor of a network predominantly composed of small/medium supermarkets and small supermarkets. Therefore, the few medium-large/large structures also face competition from smaller structures. Conad cannot therefore exclude that such competitive dynamics—observable as mentioned in many areas of Southern Italy—also characterize the Sicilian markets.”</w:t>
      </w:r>
    </w:p>
    <w:p>
      <w:r>
        <w:t>53. See articles from national and sector press. For example: “At the deathbed of the hypermarket: the story of a long decline” of July 11, 2017; “Supermarkets, the Great Crisis” of March 21, 2018; “Hypermarkets increasingly in crisis, fear of cuts and closures” of February 12, 2019; “The future of hypermarkets? Their disappearance” of February 18, 2019; “Crisis of hypermarkets: only those that also use the online channel survive” of October 11, 2019.</w:t>
      </w:r>
    </w:p>
    <w:p>
      <w:r>
        <w:rPr>
          <w:b/>
        </w:rPr>
        <w:t>[Pages 28–30]</w:t>
      </w:r>
    </w:p>
    <w:p>
      <w:r>
        <w:t>30 BULLETIN NO. 52 OF DECEMBER 30, 2019</w:t>
      </w:r>
    </w:p>
    <w:p>
      <w:r>
        <w:t>reaches up to 68% for hypermarket customers in Sicily. This substitutability appears further strengthened by the specific characteristics of discount stores, whose sizes (generally between 400 sqm and 2500 sqm) make them a cross-cutting alternative to convenience stores, supermarkets, and hypermarkets, as can be inferred from the responses to the requests for information from operators in the GDO sector. All traditional operators consulted during the investigation declared that they feel the competitive pressure from discounters, whose format increasingly tends to resemble that of a traditional supermarket. On the other hand, discount chains have also stated that they are in competition with traditional GDO chains, which are increasingly differentiating their brands, characterizing some specifically in relation to the extreme convenience of prices. In light of these considerations, also supported by the information provided by the Party, it is believed that stores belonging to the discount channel should be included in the product market definition of the relevant markets.</w:t>
      </w:r>
    </w:p>
    <w:p>
      <w:r>
        <w:t>49. In conclusion, from the investigative findings, the following definition of the relevant product markets for the purposes of this concentration operation emerges:</w:t>
        <w:br/>
        <w:t>i. the supermarket market (stores ranging from 400-2,499 sqm), composed of all supermarkets, convenience stores, hypermarkets, and discounters, that is, all stores from 100 sqm and above;</w:t>
        <w:br/>
        <w:t>ii. the hypermarket market (stores with sizes equal to or greater than 2,500 sqm), composed, in addition to hypermarkets themselves, also of all supermarkets and discounters, that is, all stores from 400 sqm and above.</w:t>
      </w:r>
    </w:p>
    <w:p>
      <w:r>
        <w:t>a.2) The geographic market</w:t>
      </w:r>
    </w:p>
    <w:p>
      <w:r>
        <w:t>50. Also regarding the geographic profile, the results of the survey allow for a more precise delineation, compared to the traditional approach followed by the Authority, of the geographic extent of the relevant markets. The data reported in Table 6 above clearly highlight that the vast majority of demand makes its movements to reach stores in the hypermarket and supermarket markets within 15 minutes of driving, with shares of 86% and 92% of demand, respectively. This result appears even more evident in Sicily, where consumer movement habits seem increasingly limited, identifying within 15 minutes of driving as much as 93% of consumers concerning hypermarkets and supermarkets, and even 100% for discounters. Furthermore, on average, the driving time to do shopping is about 8 minutes at the national level and about 7 minutes in Sicily. These results—at both the national and regional levels—appear particularly robust from a statistical point of view and invariant for the different sizes—expressed in terms of population size—of the residential areas of the respondents.</w:t>
      </w:r>
    </w:p>
    <w:p>
      <w:r>
        <w:t>51. In light of such evidence, the argument proposed by the Party to maintain the geographic market dimension at 20 minutes of driving previously considered by the Authority cannot be accepted. On the other hand, this geographic extension of the relevant market to 15 minutes of driving does not appear to be challenged by the responses of competitors in local markets, who either suggest even smaller extensions or highlight the need for case-by-case assessments, linked to the characteristics of the territory and infrastructure, as well as to competitive complexity (see above section V.d).</w:t>
      </w:r>
    </w:p>
    <w:p>
      <w:r>
        <w:t>BULLETIN NO. 52 OF DECEMBER 30, 2019 31</w:t>
      </w:r>
    </w:p>
    <w:p>
      <w:r>
        <w:t>52. In conclusion, regarding the geographic extent of the relevant markets, the responses provided by consumers in the survey and those provided by competitors allow us to conclude that the distance—expressed in minutes of driving—that best represents the spending habits of demand is 15 minutes of driving for both the supermarket market and the hypermarket market. Therefore, a more limited geographic extension of the aforementioned markets is identified compared to the 20 minutes of driving practice previously considered by the Authority in its past assessments and also at the outset of the case at hand.</w:t>
      </w:r>
    </w:p>
    <w:p>
      <w:r>
        <w:t>a.3) Conclusions regarding the relevant markets</w:t>
      </w:r>
    </w:p>
    <w:p>
      <w:r>
        <w:t>53. In conclusion, the relevant GDO markets in relation to the concentration operation in question are therefore defined as follows:</w:t>
        <w:br/>
        <w:t>i. for supermarkets (400-2,499 sqm), the relevant market includes convenience stores, supermarkets, hypermarkets, and discounters within a 15-minute isochrone;</w:t>
        <w:br/>
        <w:t>ii. for hypermarkets (from 2,500 sqm and above), the relevant market includes all supermarkets (400-2,499 sqm), hypermarkets, and discounters within a 15-minute isochrone.</w:t>
      </w:r>
    </w:p>
    <w:p>
      <w:r>
        <w:t>b) The effects of the operation</w:t>
      </w:r>
    </w:p>
    <w:p>
      <w:r>
        <w:t>b.1) Premise</w:t>
      </w:r>
    </w:p>
    <w:p>
      <w:r>
        <w:t>54. In the practical application of Article 16 of Law 287/90 in the GDO sector (and more generally in the retail distribution sectors of goods or services), the Authority has for a long time conducted its assessments using quantitative evidence related to the market shares held by the Parties and competitors in the relevant markets.</w:t>
      </w:r>
    </w:p>
    <w:p>
      <w:r>
        <w:t>55. With increasing intensity, in recent years the Authority has integrated the analysis based on market shares with other economic analyses aimed at appreciating, beyond the specific weight of the parties involved in the merger, the unilateral effects in terms of incentives to raise prices and/or reduce quality resulting from the fact that the operation observes the elimination of one or more competitive constraints in the relevant market(s).</w:t>
      </w:r>
    </w:p>
    <w:p>
      <w:r>
        <w:t>56. The necessity for an evaluative approach not limited to market shares becomes even more necessary in local competitive contexts, within which the ability of each store to exert competitive pressure on a specific target store depends on factors such as distance or sales area (which approximates the depth of the range of products offered), which are difficult to capture through a dimensional analysis of shares. This is why the defensive arguments of the Party regarding the Authority's precedents that would have authorized operations that also realized increases in shares exceeding 40% do not hit the mark, since in those cases a different evaluative approach was used that is not comparable to that used in the present case (as well as a different definition of the relevant markets).</w:t>
      </w:r>
    </w:p>
    <w:p>
      <w:r>
        <w:t>57. The integration of the market share criterion with further analytical methodologies in order to arrive at a more in-depth assessment of the unilateral post-merger effects appears appropriate also to align the Authority's practice with European best practices. In fact, the use of other indicators aimed at measuring the elimination of significant competitive constraints for one or more companies, in order to verify the acquisition or strengthening of the market power of the company resulting from the concentration, appears entirely consistent with the notion of dominance, understood as the ability to prevent effective competition in the market due to the possibility for the dominant company to behave quite independently towards its competitors, customers, and ultimately, consumers.</w:t>
      </w:r>
    </w:p>
    <w:p>
      <w:r>
        <w:t>58. The additional indicators of market power beyond market shares used in this assessment are the so-called diversion ratios, indices capable of capturing the actual relationships of substitutability (and mutual competition) between stores included in the same relevant market. The diversion ratio measures how much of the sales lost by one store is captured by another store and provides very useful indications on the degree of competitive proximity between two stores. A diversion ratio from one store to another of 20% means that, in the event of the closure of the first (or otherwise a change in its commercial policies in terms of price increases and/or quality reductions), out of ten consumers who leave that store, two will go to the other. Therefore, if the two stores fall under the same ownership following a concentration operation, the possibility of internalizing this substitution effect within the same group increases the incentives for the integrating party to raise prices.</w:t>
      </w:r>
    </w:p>
    <w:p>
      <w:r>
        <w:t>59. The following assessment can therefore be summarized in the following steps:</w:t>
        <w:br/>
        <w:t>1) the market shares of the 20 isochrones of the relevant supermarket market and the 3 isochrones of the relevant hypermarket market identified as problematic in the initiation provision will be recalculated based on the new definitions of the markets described above (that is, from a product perspective, including discounters in the two relevant markets and in the hypermarket market also all supermarkets between 400 and 2,499 square meters; from a geographic perspective, limiting the size of the isochrones to a radius of fifteen minutes of driving from each centroid);</w:t>
        <w:br/>
        <w:t>2) those isochrones in which the post-merger share of Fratelli Arena is below the community attention threshold of 25% will then be eliminated from the analysis;</w:t>
        <w:br/>
        <w:t>3) the problematic isochrones will be ordered in a grid based on the joint market share derived from the concentration and the diversion ratio measured between the centroid constituted by the acquired store and the set of stores of the acquirer in the isochrone, setting a threshold value for the post-merger share of 25% and a threshold value for the diversion ratios of 20% (see below);</w:t>
        <w:br/>
        <w:t>4) the isochrones of the relevant supermarket and hypermarket markets in which both thresholds are exceeded will be subject to an ad hoc analysis, also on a qualitative basis, to appreciate the overall effect of the operation. Elements of this analysis for each isochrone will include: (i) the increase in market share of the acquirer due to the operation; (ii) the distribution of market shares of the competitors of the Parties (both in absolute terms and in terms of asymmetry).</w:t>
      </w:r>
    </w:p>
    <w:p>
      <w:r>
        <w:rPr>
          <w:b/>
        </w:rPr>
        <w:t>[Pages 31–33]</w:t>
      </w:r>
    </w:p>
    <w:p>
      <w:r>
        <w:t>BULLETIN NO. 52 OF DECEMBER 30, 2019 33</w:t>
      </w:r>
    </w:p>
    <w:p>
      <w:r>
        <w:t>the overall effect of the operation. Elements of this analysis for each isochrone will be: (i) the increase in market share of the acquirer due to the operation; (ii) the distribution of market shares of the competitors of the Parties (both in absolute terms and in terms of asymmetry with respect to the acquiring company); (iii) the diversion ratios measured between the acquired point of sale (centroid of the isochrone) and the set of points of sale of each competitor; (iv) the number of points of sale in absolute terms and in relative terms (density) within the isochrone; (v) the conditions of market access and, in particular, the presence of expected and/or imminent new entrants.</w:t>
      </w:r>
    </w:p>
    <w:p>
      <w:r>
        <w:t>b.2) Analysis of the unilateral effects of the concentration</w:t>
      </w:r>
    </w:p>
    <w:p>
      <w:r>
        <w:t>b.2.1) Methodological notes</w:t>
      </w:r>
    </w:p>
    <w:p>
      <w:r>
        <w:t>60. As mentioned in the introduction, for a more comprehensive analysis of the effects of the operation, the traditional analysis of market shares is supplemented by an estimate of the degree of substitutability between the acquired point of sale, around which the isochrone has been constructed (centroid), and every other point of sale within the same isochrone. This substitutability relationship of each point of sale with the centroid - which tends to approximate the competitive pressure that a point of sale located in the same isochrone can exert on the latter - is functional to constructing the diversion ratios, indicators aimed at measuring the degree of competitive proximity between the Parties.</w:t>
      </w:r>
    </w:p>
    <w:p>
      <w:r>
        <w:t>61. The diversion ratios allow for consideration of the different substitutability relationships between GDO points of sale within local markets, based on a variety of elements collected through the survey. In particular, in this case, the following differentiation elements between points of sale within the affected local markets were taken into account:</w:t>
        <w:br/>
        <w:t>- distance of a point of sale from the centroid: a point of sale closer to the centroid exerts, all else being equal, a greater degree of competitive pressure than one further away;</w:t>
        <w:br/>
        <w:t>- type of point of sale: a point of sale of different size from that of the centroid exerts, all else being equal, a lower degree of competitive pressure compared to points of sale of similar sizes.</w:t>
      </w:r>
    </w:p>
    <w:p>
      <w:r>
        <w:t>It was also taken into account the different weight that the factors "distance" and "type" assume in the eyes of the consumer when choosing the point of sale where to shop. Substitutability was not measured based on the brand, as the survey did not allow for quantifying the degree of substitutability between points of sale with nationally relevant brands and points of sale with merely local brands, such as, for example, Cambria and Abate.</w:t>
      </w:r>
    </w:p>
    <w:p>
      <w:r>
        <w:t>62. As highlighted above, the diversion ratios between the Parties indicate what portion of the total sales volumes lost by the points of sale of one Party, following a deterioration of their offer (in terms of price, quality, assortment, and services offered), shifts to the points of sale belonging to the distribution chain of the other Party. In this context, the higher the diversion ratios between the two companies subject to the concentration, the higher the sales that the concentration will allow to internalize - in the sense that a high portion of consumers would continue to make their purchases at the points of sale of the post-merger entity - making price increases profitable.</w:t>
      </w:r>
    </w:p>
    <w:p>
      <w:r>
        <w:t>63. Based on the information made available by the survey, the diversion ratios were obtained in the following manner. Each point of sale within each isochrone was assigned a competitive pressure index (hereinafter, CPI), defined based on the degree of substitutability of each with respect to the centroids (i.e., the points of sale Auchan, Cambria, and Abate subject to acquisition) of the relevant local markets.</w:t>
      </w:r>
    </w:p>
    <w:p>
      <w:r>
        <w:t>64. Subsequently, the overall CPI of the acquirer's points of sale present in the isochrone was measured, that is, the competitive constraint on the points of sale subject to acquisition (Auchan, Cambria, and Abate) that ceases to exist following the operations under examination, being "internalized" within them. It should be noted that this calculation also takes into account the possibility that the consumer, following a price increase at the target points of sale, may no longer turn to a point of sale within the relevant product market, but "exit" the market, using a so-called outside option for their shopping. This outside option consists, for all product markets, of specialized stores, local markets, and online purchases, to which are added convenience stores in the case of the hypermarket market.</w:t>
      </w:r>
    </w:p>
    <w:p>
      <w:r>
        <w:t>65. In order to simultaneously examine the effects of the operations under examination, the points of sale of the acquirer considered included, in addition to the Fratelli Arena points of sale, also:</w:t>
        <w:br/>
        <w:t>- the Auchan points of sale and Cambria, if the centroid is an Abate point of sale;</w:t>
        <w:br/>
        <w:t>- the Auchan and Abate points of sale, if the centroid is a Cambria point of sale;</w:t>
        <w:br/>
        <w:t>- the Abate and Cambria points of sale, if the centroid is an Auchan point of sale.</w:t>
      </w:r>
    </w:p>
    <w:p>
      <w:r>
        <w:t>66. The overall competitive pressure exerted by the acquirer on the centroid was then expressed in relative terms, that is, it was related to the level of competitive pressure exerted on the centroid by all competing points of sale present in the isochrone, thus obtaining an estimate of the diversion ratio from the centroid to the other points of sale of the acquirer.</w:t>
      </w:r>
    </w:p>
    <w:p>
      <w:r>
        <w:t>67. In other words, the estimate of the diversion ratio from the target point of sale to the points of sale of the acquirer was obtained as the ratio between the overall CPI of the points of sale of the acquirer and the overall CPI of the isochrone, and provides an estimate of what portion of consumers would shift to the points of sale of the acquirer present in the isochrone in response to an increase in prices at the target centroid point of sale of the same isochrone.</w:t>
      </w:r>
    </w:p>
    <w:p>
      <w:r>
        <w:t>b.2.2) Integrated analysis of market shares and diversion ratios</w:t>
      </w:r>
    </w:p>
    <w:p>
      <w:r>
        <w:t>68. In consideration of the redefinition of the relevant markets as extensively described above (see sections V.b and VI.a), the joint shares held by the Parties as a result of the operation were preliminarily recalculated with reference to the isochrones considered above the community threshold of 25% - and therefore deserving of further investigation - in the initiation order (see tables 8 and 9 below). In particular, in the following tables, the isochrones, calculated on 15 minutes of driving, in which the post-merger shares of the Parties in the relevant markets of supermarkets and hypermarkets (including the discount channel and for hypermarkets also supermarkets with sizes between 400 and 1,499 square meters) are above 25% are indicated in gray.</w:t>
      </w:r>
    </w:p>
    <w:p>
      <w:r>
        <w:t>Table 7 – New market shares of the Parties in the hypermarket market.</w:t>
      </w:r>
    </w:p>
    <w:p>
      <w:r>
        <w:t>Isochrone Address F.lli Arena Target Total Parties</w:t>
        <w:br/>
        <w:t>1 SMA Ipersimply [omitted] CT [25-30]% [20-25]% [45-50]%</w:t>
        <w:br/>
        <w:t>2 SMA Ipersimply [omitted] CT [10-15]% [20-25]% [35-40]%</w:t>
        <w:br/>
        <w:t>3 Iperfamila [omitted] CT [10-15]% [0-5]% [15-20]%</w:t>
      </w:r>
    </w:p>
    <w:p>
      <w:r>
        <w:t>Source and elaborations: AGCM processing on data from the Party</w:t>
      </w:r>
    </w:p>
    <w:p>
      <w:r>
        <w:t>62 See Guidelines on the assessment of horizontal concentrations under the Council Regulation on the control of concentrations between undertakings (2004/C 31/03).</w:t>
      </w:r>
    </w:p>
    <w:p>
      <w:r>
        <w:rPr>
          <w:b/>
        </w:rPr>
        <w:t>[Pages 34–36]</w:t>
      </w:r>
    </w:p>
    <w:p>
      <w:r>
        <w:t>BULLETIN NO. 52 OF DECEMBER 30, 2019</w:t>
      </w:r>
    </w:p>
    <w:p>
      <w:r>
        <w:t>Table 8 – New market shares of the Parties in the supermarket market.</w:t>
      </w:r>
    </w:p>
    <w:p>
      <w:r>
        <w:t>isocrona Address F.lli Arena Target Total Parties</w:t>
        <w:br/>
        <w:t>1 Simply [omissis] CT [15-20]% [10-15]% [25-30]%</w:t>
        <w:br/>
        <w:t>2 Punto Simply [omissis] CT [20-25]% [15-20]% [40-45]%</w:t>
        <w:br/>
        <w:t>3 Spaccio Alimentare [omissis] CT [15-20]% [10-15]% [25-30]%</w:t>
        <w:br/>
        <w:t>4 Spaccio Alimentare [omissis] CT [25-30]% [5-10]% [30-35]%</w:t>
        <w:br/>
        <w:t>5 SMA Ipersimply [omissis] CT [20-25]% [5-10]% [30-35]%</w:t>
        <w:br/>
        <w:t>6 Simply [omissis] CT [20-25]% 11.4% [30-35]%</w:t>
        <w:br/>
        <w:t>7 Famila [omissis] CT [5-10]% [10-15]% [20-25]%</w:t>
        <w:br/>
        <w:t>8 Super A&amp;O [omissis] CT [15-20]% [20-25]% [35-40]%</w:t>
        <w:br/>
        <w:t>9 Super A&amp;O [omissis] CT [20-25]% [15-20]% [40-45]%</w:t>
        <w:br/>
        <w:t>10 Famila [omissis] CT [20-25]% [10-15]% [35-40]%</w:t>
        <w:br/>
        <w:t>11 Famila [omissis] CT [10-15]% [20-25]% [30-35]%</w:t>
        <w:br/>
        <w:t>12 Famila [omissis] CT [10-15]% [10-15]% [below 1%]</w:t>
        <w:br/>
        <w:t>13 A&amp;O [omissis] CT [20-25]% [10-15]% [35-40]%</w:t>
        <w:br/>
        <w:t>14 Spaccio Alimentare [omissis] ME [30-35]% [5-10]% [40-45]%</w:t>
        <w:br/>
        <w:t>15 Simply [omissis] ME [5-10]% [15-20]% [20-25]%</w:t>
        <w:br/>
        <w:t>16 Simply [omissis] PA [20-25]% [5-10]% [30-35]%</w:t>
        <w:br/>
        <w:t>17 Spaccio Alimentare [omissis] PA [5-10]% [5-10]%</w:t>
        <w:br/>
        <w:t>18 Simply [omissis] SR [5-10]% [5-10]% [15-20]%</w:t>
        <w:br/>
        <w:t>19 Simply [omissis] SR [10-15]% [10-15]% [20-25]%</w:t>
        <w:br/>
        <w:t>20 A&amp;O [omissis] SR [5-10]% [10-15]% [20-25]%</w:t>
      </w:r>
    </w:p>
    <w:p>
      <w:r>
        <w:t>Source and elaborations: AGCM processing on data from the Party</w:t>
      </w:r>
    </w:p>
    <w:p>
      <w:r>
        <w:t>69. In the hypermarket market, the Party now holds post-merger market shares exceeding 25% in only 2 of the 3 isochrones initially considered at the outset (the hypermarkets at [Via Acicastello 17 in Catania] [omissis] and at [omissis]); as for supermarkets, it is noted that only 13 of the 20 isochrones identified at the outset present, in light of the new market definition, joint shares of the Parties that exceed the 25% threshold of concern for the assessment of possible anti-competitive effects of the operation (these are particularly isochrones 1, 2, 3, 4, 5, 6, 8, 9, 10, 11, 13, 14, and 16).</w:t>
      </w:r>
    </w:p>
    <w:p>
      <w:r>
        <w:t>70. The traditional analysis of market shares has therefore been supplemented with an estimate of the degree of competitive pressure that, prior to the concentration in question, the retail outlets of the acquirer located within a given isochrone exert on the acquired retail outlet at the center of the isochrone. In particular, a threshold of concern for the diversion ratio was chosen equal to 20%63, since below this threshold, considering the level of margins of the acquiring company64, unilateral effects of significance can be excluded prima facie, based on the indicators used in the experience and practice of competition authorities at the international level65.</w:t>
      </w:r>
    </w:p>
    <w:p>
      <w:r>
        <w:t>71. The analysis highlights that, within the potentially problematic isochrones identified in tables 7 and 8, the operation in question is likely to give rise to significant unilateral effects in 10 isochrones.</w:t>
      </w:r>
    </w:p>
    <w:p>
      <w:r>
        <w:t>72. The following Graph 1 relates the market share held by the Parties as a result of the concentration with the estimate of the diversion ratio:</w:t>
      </w:r>
    </w:p>
    <w:p>
      <w:r>
        <w:t>Graph 1 – Identification of problematic isochrones from a competitive perspective.</w:t>
      </w:r>
    </w:p>
    <w:p>
      <w:r>
        <w:t>Source and elaborations: AGCM processing on data from the Party and Nielsen</w:t>
      </w:r>
    </w:p>
    <w:p>
      <w:r>
        <w:t>63 Moreover, the Party, based on the same benchmark, indicated a threshold value equal to 18%.</w:t>
      </w:r>
    </w:p>
    <w:p>
      <w:r>
        <w:t>64 See doc. no. 33 and attachments.</w:t>
      </w:r>
    </w:p>
    <w:p>
      <w:r>
        <w:t>65 See, for example: Office of Fair Trading, ME/3777/08 Co-operative Group Limited - Somerfield Limited of December 21, 2009; European Commission, Case M.7758-HUTCHISON 3G ITALY / WIND / JV of September 1, 2016. See also European Commission, “Guidelines on the assessment of horizontal mergers under the Council Regulation on the control of concentrations between undertakings” of February 5, 2004 (2004/C 31/03), paragraph 29: “[q]uando sono disponibili dati, il grado di sostituibilità può essere valutato mediante inchieste sulle preferenze dei consumatori, l'analisi dei comportamenti di acquisto, la stima dell'elasticità incrociata rispetto al prezzo dei prodotti di cui trattasi, o coefficienti di dirottamento [ovvero i diversion ratios, n.d.r.].” and OECD – Policy Roundtables 2011: “Economic Evidence in Merger Analysis”.</w:t>
      </w:r>
    </w:p>
    <w:p>
      <w:r>
        <w:t>73. The upper right quadrant of the graph delineates the ten isochrones where simultaneously the post-merger share of the parties is above the threshold of concern of 25% and the share of consumers who would choose the acquirer's retail outlet instead of the target retail outlet - measured through the diversion ratios - is above 20%.</w:t>
      </w:r>
    </w:p>
    <w:p>
      <w:r>
        <w:t>74. These are, in particular, 8 local supermarket markets, of which 7 are located in the province of Catania and 1 in the province of Messina (see table 9) and 2 local hypermarket markets, in the province of Catania (see table 10).</w:t>
      </w:r>
    </w:p>
    <w:p>
      <w:r>
        <w:t>Table 9 – Local supermarket market (post-merger share &gt; 25% and diversion ratios &gt; 20%)</w:t>
      </w:r>
    </w:p>
    <w:p>
      <w:r>
        <w:t>isocron</w:t>
        <w:br/>
        <w:t>Brand and address F.lli Arena Target Tot. Parties DR</w:t>
        <w:br/>
        <w:t>a</w:t>
        <w:br/>
        <w:t>S_2 Punto Simply, [omissis], CT [20-25]% [15-20]% [40-45]% 30%</w:t>
        <w:br/>
        <w:t>S_4 Spaccio Alimentare, [omissis], CT [25-30]% [5-10]% [30-35]% 36%</w:t>
        <w:br/>
        <w:t>S_6 Simply, [omissis], CT [20-25]% 11.36% [30-35]% 30%</w:t>
        <w:br/>
        <w:t>S_8 Super A&amp;O, [omissis], CT [15-20]% [20-25]% [35-40]% 30%</w:t>
        <w:br/>
        <w:t>S_9 Super A&amp;O, [omissis], CT [20-25]% [15-20]% [40-45]% 30%</w:t>
        <w:br/>
        <w:t>S_10 Famila, [omissis], CT [20-25]% [10-15]% [35-40]% 29%</w:t>
        <w:br/>
        <w:t>S_13 A&amp;O, [omissis], CT [20-25]% [10-15]% [35-40]% 32%</w:t>
        <w:br/>
        <w:t>S_14 Spaccio Alimentare, [omissis], ME [30-35]% [5-10]% [40-45]% 45%</w:t>
      </w:r>
    </w:p>
    <w:p>
      <w:r>
        <w:t>Source: the Party and Nielsen. Elaborations: AGCM</w:t>
      </w:r>
    </w:p>
    <w:p>
      <w:r>
        <w:t>Table 10 – Local hypermarket market (post-merger share &gt; 25% and diversion ratios &gt; 20%)</w:t>
      </w:r>
    </w:p>
    <w:p>
      <w:r>
        <w:t>isocron</w:t>
        <w:br/>
        <w:t>Address F.lli Arena Target Tot. Parties DR</w:t>
        <w:br/>
        <w:t>a</w:t>
        <w:br/>
        <w:t>I_1 SMA Ipersimply, [omissis], CT [25-30]% [20-25]% [45-50]% 36%</w:t>
        <w:br/>
        <w:t>I_2 SMA Ipersimply, [omissis], CT [15-20]% [20-25]% [35-40]% 31%</w:t>
      </w:r>
    </w:p>
    <w:p>
      <w:r>
        <w:t>Source: the Party and Nielsen. Elaborations: AGCM</w:t>
      </w:r>
    </w:p>
    <w:p>
      <w:r>
        <w:t>75. In light of the analysis conducted thus far, it is therefore believed that the concentration operation does not present competitive concerns for 13 of the 23 isochrones subject to the initiation order. These are particularly isochrones 1, 3, 5, 7, 11, 12, 15, 16, 17, 18, 19, and 20 of the supermarket market and isochrone no. 3 of the hypermarket market: in relation to these isochrones, neither the joint market share nor the competitive pressure exerted on the target retail outlets by the acquiring company are such as to exceed the thresholds of concern.</w:t>
      </w:r>
    </w:p>
    <w:p>
      <w:r>
        <w:t>76. As for the remaining isochrones, belonging to the upper right quadrant of Graph 1 - namely isochrones 1 and 2 of the hypermarket market and isochrones 2, 4, 6, 8, 9, 10, 13 (all located in the province of Catania) and number 14 of the supermarket market (located at</w:t>
      </w:r>
    </w:p>
    <w:p>
      <w:r>
        <w:rPr>
          <w:b/>
        </w:rPr>
        <w:t>[Pages 37–39]</w:t>
      </w:r>
    </w:p>
    <w:p>
      <w:r>
        <w:t>BULLETIN NO. 52 OF DECEMBER 30, 2019 39</w:t>
      </w:r>
    </w:p>
    <w:p>
      <w:r>
        <w:t>Messina) - in light of the higher level of competitive criticality observed, a careful examination of the specific characteristics of each isochrone will be carried out in the following sections.</w:t>
      </w:r>
    </w:p>
    <w:p>
      <w:r>
        <w:t>b.3) On the analysis of unilateral effects: objections from the Party and their unfoundedness</w:t>
      </w:r>
    </w:p>
    <w:p>
      <w:r>
        <w:t>77. The Party, aware of the intention to conduct more in-depth quantitative analyses on the effects of the operation, raised a series of critical observations regarding the methodology used for estimating the unilateral effects arising from the operation in question and proposed its own elaborations based on the responses provided in the survey by a statistically significant sample of families residing solely in the Sicilian territory.</w:t>
      </w:r>
    </w:p>
    <w:p>
      <w:r>
        <w:t>78. The Party first conducted a proximity analysis of the points of sale within the isochrones, extending to a 20-minute drive, taking into account a series of parameters such as: distance in minutes, sales areas; quality of assistance, belonging to the discount category, presence of private label products. The results obtained would allow the Party to delineate the isochrones for which the nearest point of sale to the centroid would belong to the Arena Group: specifically, these would be isochrones 1 and 3 of the hypermarket market and isochrones 6, 8, 9, 10, and 13 of the supermarket market. Only for these isochrones, considering that the concentration of the nearest points of sale in the same company could prima facie determine the existence of competitive concerns related to the operation, the Party proceeded to estimate the diversion ratios for the assessment of possible unilateral effects.</w:t>
      </w:r>
    </w:p>
    <w:p>
      <w:r>
        <w:t>79. In this regard, the Party, while adopting a methodology for calculating the diversion ratios similar to that used by the Authority, believes that some basic assumptions are incorrect. First, the diversion ratios, as they represent a measure of the intensity of the substitutability relationship between goods/services, should be calculated taking into account all points of sale for which information is available, that is, all points of sale within a 20-minute drive from the centroid (and, therefore, not only the points of sale within 15 minutes from the centroid).</w:t>
      </w:r>
    </w:p>
    <w:p>
      <w:r>
        <w:t>80. Regarding the outside option (i.e., the percentage of consumers who, following a price increase at the target points of sale, no longer turn to a point of sale within the relevant product market, but "exit" the market), Fratelli Arena believes that the calculation of the diversion ratios should take into account both those who exit the product market (specialized stores, local markets, internet) and those who exit the geographic market, that is, "the percentage of Sicilian consumers who travel more than 20 minutes to reach their usual point of sale."</w:t>
      </w:r>
    </w:p>
    <w:p>
      <w:r>
        <w:t>81. According to the Party, the calculation of the diversion ratios should also be purged of the distorting effect arising from the categorization of points of sale into convenience stores, supermarkets, and hypermarkets based on sales area, which creates a clear discontinuity in the degree of substitutability between points of sale belonging to adjacent product classes but located at one extreme of one class and the other at the lower extreme of the immediately higher class (e.g., for a consumer, the substitutability of a point of sale of 2499 sqm with one of 401 sqm, both belonging to the supermarket class, would be greater than that of the same point of sale with one of 2500 sqm, belonging to the higher class of hypermarkets). For this reason, the Party proposes a reparameterization of the points of sale within an isochrone such that the substitutability of a point of sale in the isochrone with the centroid would be higher the lower the relative difference in terms of area between the two points of sale (regardless of the category in which that point of sale is placed). To account for differences in terms of product offerings, the Party has also proposed to include in the calculation of the diversion ratios an assortment indicator, calculated in such a way as to penalize smaller points of sale (assuming a direct relationship between sales area and the assortment of the point of sale).</w:t>
      </w:r>
    </w:p>
    <w:p>
      <w:r>
        <w:t>82. Finally, in the Party's view, the fact that response options to the survey question regarding the factors influencing the consumer's choice of point of sale are assigned values between 1 and 5 would impose an artificial numerical restriction on the values that the coefficients used in estimating the diversion ratios can take. In particular, this scale would not allow consumers to consider characteristics of points of sale such as distance and type as entirely irrelevant to their choices. The Party suggests addressing this issue by modifying the scale of coefficients, ensuring that these are expressed on a scale from 0 to 1 rather than from 1 to 5.</w:t>
      </w:r>
    </w:p>
    <w:p>
      <w:r>
        <w:t>83. The diversion ratios calculated, based on the aforementioned assumptions, for isochrones 1 and 3 of the hypermarket market and for isochrones 6, 8, 9, 10, and 13 of the supermarket market would, according to the Party, completely alleviate competitive concerns in all the aforementioned isochrones. They would indeed stabilize at values close to 20%, implying price increases—calculated based on the illustrative price rise (IPR) methodology—that are far from the typical thresholds of concern, also considered by the Authority in its previous assessments.</w:t>
      </w:r>
    </w:p>
    <w:p>
      <w:r>
        <w:t>84. The observations raised by the Party do not appear to merit acceptance due to evident critical issues and gaps in the analysis conducted.</w:t>
      </w:r>
    </w:p>
    <w:p>
      <w:r>
        <w:t>Preliminarily, it is highlighted that the Party's choice to limit the analysis of unilateral effects to only those isochrones for which the proximity analysis identifies a point of sale of the target as a close competitor presents evident problems. It is noted that the analysis of unilateral effects is not limited to (nor does it presuppose) the appreciation of proximity in competitive terms (closeness of competition) between the acquired point of sale and the acquiring one, but aims to measure the real incentive of the Party to increase prices as a result of the concentration throughout the isochrone (in which there are multiple points of sale of the Parties); for this reason, the selection resulting from the proximity analysis conducted by the Party leads to the exclusion from the analysis of unilateral effects of some isochrones whose market shares and diversion ratios appear very high. The most striking case in this regard is isochrone number 14 of the supermarket market (the only one outside Catania, in Messina, identifiable in S_14 in Graph 1 above), for which the post-merger joint market share is 40% and the diversion ratio is 45%.</w:t>
      </w:r>
    </w:p>
    <w:p>
      <w:r>
        <w:t>85. As for the calculation of the diversion ratios, the consideration of a geographical extension of the relevant markets equal to a 20-minute drive appears to be unfounded, primarily considering the preferences expressed by Sicilian consumers in the survey. As highlighted, the results obtained from the Sicilian sample regarding the geographical extension of the markets clearly indicate that a dimension of 15 minutes of driving captures 93% of regular consumers of hypermarkets and supermarkets and even 100% of the same for discounters. This is not contradicted by the information obtained from competitors who, in some cases, strongly confirm a geographical market delimitation of less than 15 minutes of driving, while in others, they highlight that the assessment should be made on a case-by-case basis in relation to the specific characteristics of the territory and infrastructure, as well as the competitive complexity.</w:t>
      </w:r>
    </w:p>
    <w:p>
      <w:r>
        <w:t>86. Similarly, the Party's hypothesis of using, in addition to a product market outside option, also a geographical outside option, that is, taking into account in the calculation of the diversion ratio a share of consumers who, following a price increase at their usual point of sale, would be willing to drive for more than 20 minutes to do their shopping, cannot be accepted. The use of a geographical outside option appears to be of little significance as it is impossible to predict in which direction consumers willing to travel more than 20 minutes will move (toward the isochrone or outside it); assuming that 50% move in the direction outside the isochrone (and consequently eliminating these consumers from the calculation of the product market outside option), the variation in the diversion ratios that would be obtained is still insignificant.</w:t>
      </w:r>
    </w:p>
    <w:p>
      <w:r>
        <w:t>87. As for the hypothesis of reparameterizing the variable type of points of sale based on the relative differences of their areas with the target point of sale for the calculation of the diversion ratios, it is highlighted that the methodology proposed by the Party, in an attempt to correct a potential mathematical distortion (the discontinuities arising from the categorization of product markets based on "discrete" limits of the sales area), results in a no less significant distortion in that it implies that points of sale of very different sizes, but having the same difference in terms of area with the centroid, exert the same competitive pressure on it. For example, according to the logic proposed by the Party, a hypermarket of 2,760 sqm (such as the target point of sale of isochrone 2 of the hypermarkets) would exert</w:t>
      </w:r>
    </w:p>
    <w:p>
      <w:r>
        <w:rPr>
          <w:b/>
        </w:rPr>
        <w:t>[Pages 40–42]</w:t>
      </w:r>
    </w:p>
    <w:p>
      <w:r>
        <w:t>42 BULLETIN NO. 52 OF DECEMBER 30, 2019</w:t>
      </w:r>
    </w:p>
    <w:p>
      <w:r>
        <w:t>exert the same competitive pressure on a supermarket of 1,500 sqm as a convenience store of 240 sqm, since both points of sale have a surface area difference from the supermarket of 1,260 sqm (and vice versa). The proposal of the Party, to remedy the described effect, to include a variable that approximates the assortment of the point of sale, in order to justify the result obtained from the survey of a general preference of consumers to switch from a smaller point of sale to a larger one, does not seem free from problematic elements. In particular, it highlights an internal contradiction in the position of the Party which, on the one hand, hopes to include smaller points of sale (convenience stores) in the relevant market of hypermarkets and, on the other hand, in the calculation of diversion ratios hypothesizes a factor of "vertical differentiation," aimed at penalizing small stores both in consumer preferences and in competitive dynamics.</w:t>
      </w:r>
    </w:p>
    <w:p>
      <w:r>
        <w:t>88. Regarding the critical threshold of the diversion ratios used in the analysis of unilateral effects, it is first noted that, taking into account the level of margins, a threshold of 20% was chosen (more favorable than the threshold of 18% identified by the Party in the hypothesis of isoelastic demand) solely for the purpose of identifying non-problematic markets. In markets where this 20% threshold was exceeded, a thorough analysis of the competitive context was then conducted to assess the effects of the transaction.</w:t>
      </w:r>
    </w:p>
    <w:p>
      <w:r>
        <w:t>89. As for the coefficients related to the importance for consumers of the characteristics of points of sale (used to weigh consumer responses in the survey), it is first noted that distance and type of points of sale are the two most important aspects affecting consumer choice, and that only about 5% of respondents assigned them the minimum value of 1 (on a scale up to 5). Therefore, it cannot be considered that allowing consumers to express a judgment of absolute indifference on such characteristics would have led to substantially different results. Furthermore, the arbitrary normalization [0, 1] of the coefficients proposed by the Party does not seem justifiable as, unlike the model used by the Authority, it would have the effect of 'flattening' the differences between points of sale in terms of format and distance from the centroid. The indicators thus constructed would therefore not be able to adequately capture the relevance of such differentiation aspects between points of sale in the analysis of the competitive pressures to which the points of sale are subjected. Moreover, this normalization would alter the relationship between the response options to the question regarding the relevant factors for the choice of the usual point of sale, effectively distorting the judgments attributed by consumers to the importance of the factors influencing the choice of the point of sale where they usually shop.</w:t>
      </w:r>
    </w:p>
    <w:p>
      <w:r>
        <w:t>b.4) Analysis of critical isochrones</w:t>
      </w:r>
    </w:p>
    <w:p>
      <w:r>
        <w:t>90. Below, a quantitative and qualitative analysis of the competitive conditions within the relevant market is conducted for each of the ten isochrones referred to in Figure 1 and Tables 9 and 10. It is preliminarily observed that for all ten isochrones: (i) the Fratelli Arena group is the operator capable of exerting the highest degree of competitive pressure on the target company, both in terms of shares and diversion ratios; (ii) the increase in market share due to the concentration in question is substantial.</w:t>
      </w:r>
    </w:p>
    <w:p>
      <w:r>
        <w:t>b.4.1) Local market of Isochrone I_1 - Via Acicastello 17, Catania</w:t>
      </w:r>
    </w:p>
    <w:p>
      <w:r>
        <w:t>91. Isochrone I_1 is characterized, first of all, by a high post-merger market share ([45-50]%) with an increase of [20-25]%. The transaction allows the Parties to hold one-third of the points of sale in the isochrone (16 out of 48). The diversion ratio towards other points of sale of the buyer within the considered isochrone is also high (36%). The second operator in this market is Eurospin with an estimated share of [10-15]%, realized at 3 points of sale, followed by Lidl ([5-10]%), with an additional 3 points of sale. Eurospin is about to open a new point of sale within the considered isochrone. The value of the highest diversion ratio, after that from the target to the buyer's points of sale, is only 10%. In light of the described elements, the competitive constraint exerted by competitors does not appear to be sufficiently strong to influence the Parties. Therefore, regarding the isochrone of Via Acicastello 17 in Catania, it is believed that the transaction in question is likely to lead to the establishment of a dominant position for Fratelli Arena.</w:t>
      </w:r>
    </w:p>
    <w:p>
      <w:r>
        <w:t>b.4.2) Local market of Isochrone I_2 - Contrada Rovettazzo 63 - Loc. Cutuli, Riposto, Catania</w:t>
      </w:r>
    </w:p>
    <w:p>
      <w:r>
        <w:t>92. In isochrone I_2, the Party following the concentration will control about a quarter of the points of sale (5 out of 21), for an overall market share of [35-40]%, with an increase of [25-30]%. The estimated diversion ratio between the Parties is 31%, while the highest ratio compared to competitors present in the isochrone is 11%. The three main competitors all belong to the discount channel: SD Sicilia Discount ([10-15]%, 3 points of sale), Lidl Italia ([10-15]%, 2 points of sale), and Eurospin ([10-15]%, 2 points of sale). It is believed that the high post-merger market share (with a particularly significant increase), a diversion ratio exceeding 30%, as well as the presence of competitors with characteristics not entirely homogeneous to those of the acquiring company, allow us to assert that, in isochrone I-2, the transaction is likely to lead to the creation of a dominant position for Fratelli Arena.</w:t>
      </w:r>
    </w:p>
    <w:p>
      <w:r>
        <w:t>b.4.3) Local market of Isochrone S_2 - Via Leopardi 70, Catania</w:t>
      </w:r>
    </w:p>
    <w:p>
      <w:r>
        <w:t>93. Regarding isochrone S_2 around the target supermarket located at Via Leopardi 70 in Catania, it is first observed a market share of [40-45]%, with an increase resulting from the concentration transaction of [15-20]%. Following the concentration transaction, the Parties will control about a quarter of the commercial establishments (20 out of 81). The first competitor is NEW FDM S.p.A. with 15 points of sale and an estimated market share of [10-15]%, followed by Lidl (3 points of sale, [5-10%]) and Eurospin (3 points of sale, [5-10%]). Finally, it should be noted that the diversion ratio between the centroid and the buyer is 30% compared to a diversion ratio calculated towards the points of sale of NEW FDM of 18%. Also due to the weakness of competitors in relation to the buyer, it is believed that, in isochrone S_2, the transaction is likely to lead to the establishment of a dominant position for Fratelli Arena.</w:t>
      </w:r>
    </w:p>
    <w:p>
      <w:r>
        <w:t>b.4.4) Local market of Isochrone S_4 - Via Sant'Onofrio 13, Aci Sant'Antonio, Catania</w:t>
      </w:r>
    </w:p>
    <w:p>
      <w:r>
        <w:t>94. The isochrone related to the supermarket located at Via Sant'Onofrio 13, Aci Sant'Antonio, Catania is characterized by a market share attributed to the Parties post-merger of [30-35]%, due to an increase resulting from the transaction of approximately [5-10]%. The diversion ratio calculated between the target and the buyer is 36%. Following the concentration, Fratelli Arena will control about one-fifth of the points of sale in the isochrone (14 out of 68). The isochrone is marked by the presence of significant competitors such as Eurospin ([15-20]%), Coop ([5-10]%), NEW FDM ([5-10%]), and Conad ([5-10%]). The highest diversion ratio between the centroid and competing brands is that towards Conad (equal to [15-20]%). Considering the density of points of sale in the market, the significant presence of competitors with aggressive commercial policies, and the not high increase in market share resulting from the merger, it is believed that the transaction, in isochrone S_4, is not likely to lead to the establishment of a dominant position for the Party.</w:t>
      </w:r>
    </w:p>
    <w:p>
      <w:r>
        <w:t>b.4.5) Local market of Isochrone S_6 - Piazza Tivoli 27, Tremestieri Etneo, CT</w:t>
      </w:r>
    </w:p>
    <w:p>
      <w:r>
        <w:t>95. In isochrone S_6 (Piazza Tivoli 27, Tremestieri Etneo, Catania), characterized by a high number of points of sale (114), the Parties following the transaction will hold [30-35]% of the market share, due to the operation of 23 points of sale, with an increase attributable to the transaction of [10-15]%. The diversion ratio between the centroid and the buyer is 30%. The isochrone is characterized by the presence of significant brands: Eurospin [15-20]% already present with 8 points of sale and one about to open, Coop [10-15]% with 3 points of sale, followed by NEW FDM ([5-10]%, 20 points of sale), Ergon ([5-10]%, 17 points of sale), and Lidl ([5-10]%, 4 points of sale). In relation to the centroid, NEW FDM appears to exert, among all competitors, the greatest competitive pressure with a diversion ratio of about 14%. Due to the high density of points of sale, the significant presence of competing operators, as well as the not particularly high post-merger share of Fratelli Arena, in isochrone S_6 the transaction does not appear likely to lead to the establishment of a dominant position for the Party.</w:t>
      </w:r>
    </w:p>
    <w:p>
      <w:r>
        <w:rPr>
          <w:b/>
        </w:rPr>
        <w:t>[Pages 43–45]</w:t>
      </w:r>
    </w:p>
    <w:p>
      <w:r>
        <w:t>BULLETIN NO. 52 OF DECEMBER 30, 2019 45</w:t>
      </w:r>
    </w:p>
    <w:p>
      <w:r>
        <w:t>susceptible of determining the creation or strengthening of a dominant position for the acquirer.</w:t>
      </w:r>
    </w:p>
    <w:p>
      <w:r>
        <w:t>b.4.6) Local market of Isocrona S_8 - Via Pola 37, Catania</w:t>
      </w:r>
    </w:p>
    <w:p>
      <w:r>
        <w:t>96. In isocrona S_8 (Via Pola 37, Catania), the Parties, following the operation, will control almost a quarter of the points of sale located in the isocrona (16 out of 67). The position of the Parties is characterized by a post-merger market share of [35-40]% (with an increase of [20-25]%) and a diversion ratio of 30%. Competition in the market in question is characterized by a good number of brands, however, with not particularly high shares: NEW FDM S.p.A. (with a market share of [10-15]% and 10 points of sale), Lidl (about [5-10]% and 3 points of sale), MD ([5-10]%), Penny Market ([5-10]%), Conad ([5-10]%), Eurospin and Ergon (both [5-10]%). Conad, the competitor exerting the greatest competitive pressure on the target, has a diversion ratio equal to only half of that corresponding to Fratelli Arena (16%) and has a particularly small market share. Based on the elements outlined above – the preponderant weight of the Party, in terms of both market share and number of points of sale attributable to it, and the limited competitive pressure exerted by competitors – it is believed that in isocrona S_8 the operation is likely to create a dominant position for Fratelli Arena.</w:t>
      </w:r>
    </w:p>
    <w:p>
      <w:r>
        <w:t>b.4.7) Local market of Isocrona S_9 - Via Leopardi 88, Catania</w:t>
      </w:r>
    </w:p>
    <w:p>
      <w:r>
        <w:t>97. In isocrona S_9 (Via Leopardi 88, Catania), the position of the Parties is characterized by a post-merger market share of [40-45]% (with an increase attributable to the operation of [15-20]%) and a diversion ratio of 30%. In the isocrona, the Parties will hold, as a result of the concentration, a quarter of the points of sale (20 out of 80). The first competitor of F.lli Arena in terms of market shares will be NEW FDM, with a market share of [10-15]% (15 points of sale), followed by Lidl ([5-10]%, 3 points of sale), Eurospin ([5-10]%), Penny Market, Ergon, and Conad (shares close to [5-10]%). The isocrona, due to its geographical location, is closely connected to S_2 (Via Leopardi 70, Catania), and the same considerations expressed above apply. Therefore, in isocrona S_9, the operation is likely to create a dominant position for the Party.</w:t>
      </w:r>
    </w:p>
    <w:p>
      <w:r>
        <w:t>b.4.8) Local market of Isocrona S_10 - Via Messina 625/627, Catania</w:t>
      </w:r>
    </w:p>
    <w:p>
      <w:r>
        <w:t>98. The relevant market of isocrona S_10 Via Messina 625/627, Catania, is characterized by a joint market share of the Parties of [35-40]% and a diversion ratio from the target to the acquirer of 29%. The Party, as a result of the operation, will hold 25 points of sale out of a total of 112 present in the relevant isocrona. Among the competitors, Eurospin ([15-20]%, 7 points of sale plus a new opening planned for next year), NEW FDM ([10-15]%, 23 points of sale), which is the competitor with the highest diversion ratio from the target, equal to [15-20]%, followed by Lidl ([5-10]%, 4 points of sale plus one opening), Coop ([5-10]%, 1 point of sale), Ergon ([5-10]%, 14 points of sale), Conad ([5-10]%, 8 points of sale) are particularly noteworthy. Due to the high post-merger market share - resulting from an increase in the acquirer's share equal to that of the first competing operator - a diversion ratio close to 30%, as well as the fact that the main national competitors of GDO are present with small shares, it is believed that the concentration operation is likely to create a dominant position for Fratelli Arena in isocrona S_10.</w:t>
      </w:r>
    </w:p>
    <w:p>
      <w:r>
        <w:t>b.4.9) Local market of Isocrona S_13 - Via Morgioni 47, San Gregorio di Catania, CT</w:t>
      </w:r>
    </w:p>
    <w:p>
      <w:r>
        <w:t>99. In the relevant market of isocrona S_13, the Party will hold, as a result of the concentration operation, over a quarter of the numerous points of sale present (27 out of 102), with a post-merger market share of [30-35]% (with an increase of [10-15]%) and a diversion ratio between the centroid and the acquirer of 32%. The main competitors are Eurospin with [10-15]% (8 points of sale) and Coop with [10-15]% (3 points of sale), followed by Ergon with [5-10]% (19 points of sale), NEW FDM with [5-10]% (22 points of sale), MD with [5-10]% (9 points of sale). The competitor exerting the highest competitive pressure on the target is NEW FDM, with a diversion ratio of 12%. In relation to this isocrona, the high post-merger market share resulting from an increase in the acquirer's share equal to the market share of the first competitor, the limited shares of competitors, as well as the fact that the operator with the highest (yet contained) diversion ratio towards the target is NEW FDM, lead to the conclusion that, in isocrona S_13, the concentration operation is likely to create a dominant position for Fratelli Arena.</w:t>
      </w:r>
    </w:p>
    <w:p>
      <w:r>
        <w:t>b.4.10) Local market of Isocrona S_14 - Via Consolare Valeria, Giardini-Naxos, ME</w:t>
      </w:r>
    </w:p>
    <w:p>
      <w:r>
        <w:t>100. In the relevant market of isocrona S_14, the Party acquires a single point of sale, whose market share is [5-10]%. As a result, Fratelli Arena's post-merger market share will be [40-45]%. The diversion ratio between the centroid and the points of sale of the acquirer is particularly high, equal to 45%. These values are also very high considering the market share of the closest competitor, Commerciale Gicap, whose value is [15-20]% and whose diversion ratio is 18%. The isocrona is characterized by a scarcity of supply (only 14 total points of sale), of which the Party, through the operation, will hold over one-fifth (3 points of sale). The other competitors in the market all hold one or at most 2 points of sale. Lidl and MD hold a market share of about [10-15]%. In isocrona S_14, characterized by a limited supply (in terms of points of sale), due to the share that the acquirer will hold and the competitive pressure exerted by the target on the acquirer, the concentration operation will result in a substantial reduction in the level of competition in the market, such as to be likely to strengthen a dominant position for Fratelli Arena.</w:t>
      </w:r>
    </w:p>
    <w:p>
      <w:r>
        <w:t>b.5) On the analysis of critical isocrones: objections from the Party and their unfoundedness</w:t>
      </w:r>
    </w:p>
    <w:p>
      <w:r>
        <w:t>101. Initially, the Party believes that the operation in question not only has no anti-competitive effects but would even have pro-competitive effects, as Fratelli Arena could constitute a competitive counterforce to the market power held by major national operators present in the territory. This would be even truer considering that the acquisitions of the points of sale of SMA, Cambria, and Abate do not involve the exit from the market of particularly efficient or innovative entities, but rather of declining entities.</w:t>
      </w:r>
    </w:p>
    <w:p>
      <w:r>
        <w:t>102. The operation would also be able, according to the Party, to generate efficiencies in the market. It would allow, in particular, for better exploitation of economies of scale, achieving qualitative improvements and quantitative increases (number of references) in the offer, and improving its pricing policies, based on an industrial plan focused on: i) optimizing the formats of some points of sale; ii) increasing the offered references; iii) increasing the so-called "zero-kilometer" products and those of good quality private label; iv) developing e-commerce projects and starting a loyalty points program.</w:t>
      </w:r>
    </w:p>
    <w:p>
      <w:r>
        <w:t>103. The Party has therefore noted that in the past the Authority has unconditionally authorized concentration operations in the GDO sector that involved the acquisition of a post-merger share exceeding 40%, even in the face of increases greater than 20%; in this context, the choice made by the Authority to accompany the analysis of market shares with the calculation of diversion ratio tests should not overlook that the latter are merely a screening tool for the operation, not sufficient to support the existence of a dominant position in any relevant market.</w:t>
      </w:r>
    </w:p>
    <w:p>
      <w:r>
        <w:t>104. With specific reference to the critical isocrones centered on the target points of sale in the Province of Catania, the Party has emphasized, first of all, the presence of competitive pressure coming from some large shopping centers located in the municipalities belonging to the Catania conurbation, which would interfere with 6 of the 8 isocrones considered critical. In particular, the inclusion of only large points of sale located within such shopping centers in the relevant markets, although located more than 15 minutes away by car, but still within 20 minutes, would result in a significant reduction of the market shares attributable to the Party in the Catania area: for example, the hypermarket belonging to Coop Alleanza 3.0 is located just one minute from the perimeter of isocrona I_1 (16 min. drive from the centroid) and would be able – alone – to reduce, at least in that isocrona, the Party's market share by several percentage points.</w:t>
      </w:r>
    </w:p>
    <w:p>
      <w:r>
        <w:t>105. Similarly, according to the Party, the points of sale located in Catania for which competitive concerns are raised would still be subject to competitive pressure from the two large neighborhood markets in the city (located in the Fiera and Pescheria areas).</w:t>
      </w:r>
    </w:p>
    <w:p>
      <w:r>
        <w:t>106. The Party then reported the alleged opening of several points of sale – all belonging to the discount channel – in the critical isocrones, whose presence would be able to significantly reduce the market shares of the Party.</w:t>
      </w:r>
    </w:p>
    <w:p>
      <w:r>
        <w:t>83 In particular, the Party cited: C11955 - CONAD DEL TIRRENO-ASTREA/CADLA-DUEGI-ALIMARKET, provision no. 25083 of September 24, 2014 in Bulletin no. 37/14; C12177 - COMMERCIANTI INDIPENDENTI ASSOCIATI/RAMO DI AZIENDA DI IPER MONTEBELLO, provision no. 27368 of October 3, 2018 in Bulletin no. 39/2018. The Party also mentioned: i) two unconditional authorization provisions with the acquirer's shares of about [35-40%]: C11959 - CARREFOUR/53 PUNTI VENDITA BILLA provision no. 25113 of October 2, 2014 in Bulletin no. 41/2014 and C12163 - NUOVA DISCOUNT/RAMO DI AZIENDA DI DICO, provision no. 27178 of May 25, 2018 in Bulletin no. 23/2018; ii) one unconditional authorization provision for market shares of about [30-35%]: C12178 - CONAD ADRIATICO/RAMO DI AZIENDA DI IPER MONTEBELLO of October 3, 2018 in Bulletin no. 39/2108.</w:t>
      </w:r>
    </w:p>
    <w:p>
      <w:r>
        <w:t>84 See documents 82 and attachments</w:t>
      </w:r>
    </w:p>
    <w:p>
      <w:r>
        <w:t>85 This refers to the Katanè Shopping Center on Via Salvatore Quasimodo, Gravina di Catania of 8,000 sqm.</w:t>
      </w:r>
    </w:p>
    <w:p>
      <w:r>
        <w:t>86 See attachment 2 of document 89tris.</w:t>
      </w:r>
    </w:p>
    <w:p>
      <w:r>
        <w:rPr>
          <w:b/>
        </w:rPr>
        <w:t>[Pages 46–48]</w:t>
      </w:r>
    </w:p>
    <w:p>
      <w:r>
        <w:t>48 BULLETIN NO. 52 OF DECEMBER 30, 2019</w:t>
      </w:r>
    </w:p>
    <w:p>
      <w:r>
        <w:t>107. Finally, Fratelli Arena has recently sent documentation aimed at reviewing the revenue figures of some affiliated points of sale, sometimes based on projections of data related to the current year, through sworn statements from them, which, in the opinion of the Party, would reduce its market share in certain isochrones.</w:t>
      </w:r>
    </w:p>
    <w:p>
      <w:r>
        <w:t>108. Without delving into evaluations regarding the alleged pro-competitive effects of the operation - and, specifically, its ability to generate efficiencies - with respect to which Fratelli Arena has limited itself to mere principle statements lacking any substantiation, it is noted that the objections of the Party summarized above cannot be accepted for the reasons set forth below.</w:t>
      </w:r>
    </w:p>
    <w:p>
      <w:r>
        <w:t>109. In relation to the evaluation criteria used by the Authority in its previous decisions, and in particular to the different weight attributed to market share, it must be considered that in such cases either more refined analytical tools had not yet been used (particularly in the older cases) or the evaluation based on market shares was subsequently complemented, as in the present case, by specific quantitative and qualitative analyses. The assessment of the effects of the operation, based both on a quantitative screening of the isochrones and on a qualitative analysis (which takes into account a plurality of elements) – appears capable of capturing more accurately and precisely the impact of the operation, in line with community best practices. Moreover, the Party's criticism regarding the circumstance that the shares considered problematic in the present operation would be lower than those deemed problematic by the Authority in its previous decisions does not take into account the fact that the product markets have been significantly expanded on this occasion (including discounters in both the hypermarket and supermarket markets and including all supermarkets in the hypermarket market) and that, with the old product market definition, the Party's shares would have been much more substantial even in the face of 15-minute driving isochrones.</w:t>
      </w:r>
    </w:p>
    <w:p>
      <w:r>
        <w:t>110. As for Fratelli Arena's request to include in the relevant markets - while keeping the geographical dimension at 15 minutes of driving - only the points of sale located within certain large shopping centers beyond 15 minutes of driving (but within 20), due to their specific characteristics that enable them to attract customers well beyond the isochrone identified by the Authority, it is reiterated that the present geographical definition of the relevant markets is based on the evaluation of the results of the survey and the information provided by competitors.</w:t>
      </w:r>
    </w:p>
    <w:p>
      <w:r>
        <w:t>111. Furthermore, the potential ad hoc inclusion, during the assessment of the operation, of the competitive pressure exerted by some points of sale of competitors just outside the isochrone raises significant interpretative issues. Specifically regarding the example put forth by the party – the failure to consider the competitive pressure exerted within isochrone I_1 by a large Coop hypermarket only 16 minutes from the centroid – it is noted that the adjacent area (but outside) the isochrone is densely populated by points of sale of the Party, including 2 located precisely 16 minutes from the centroid (including the target of isochrone S_13) and another 7 within 20 minutes, so including only the large points of sale of competitors located in shopping centers beyond 15 minutes and not the numerous points of sale of the Party would still lead to significant distortions in the assessment of the competitive effects of the operation.</w:t>
      </w:r>
    </w:p>
    <w:p>
      <w:r>
        <w:t>112. As for the attractiveness of local markets compared to GDO points of sale, the survey highlighted that it concerns a tiny portion of demand; in any case, local markets have been included in the alternatives considered in the outside option in the calculation of the diversion ratios.</w:t>
      </w:r>
    </w:p>
    <w:p>
      <w:r>
        <w:t>113. Regarding the new openings of discounters in critical isochrones, the investigative analysis has confirmed only one of them, which, for this reason, has been taken into account qualitatively in the analysis of isochrones I_1, S_6, and S_10 (respectively paragraphs VI.b.4.1, VI.b.4.5, and VI.b.4.8), contributing, in the case of S_6, to the disappearance of the competitive issues arising from the quantitative assessment (analysis of market shares and unilateral effects).</w:t>
      </w:r>
    </w:p>
    <w:p>
      <w:r>
        <w:t>114. Finally, with reference to the information recently provided by the Party regarding the revenue data of some of its affiliates, they cannot be taken into consideration, as they are not homogeneous with respect to the totality of the data provided by the Party (they would specifically be 2019 data compared to a general use of 2018 data).</w:t>
      </w:r>
    </w:p>
    <w:p>
      <w:r>
        <w:t>b.6) Coordinated effects</w:t>
      </w:r>
    </w:p>
    <w:p>
      <w:r>
        <w:t>115. The investigative findings, finally, allow for the exclusion of the operation's suitability to incentivize coordination between the entity that would be created as a result of the operation and the main competitors in the markets affected by the operation. In this regard, it is first noted that all relevant markets are characterized by asymmetric oligopolies where the first operator – Fratelli Arena – is strengthening its market position in the face of the presence of several competitors with low shares, and with the second operator having a market share in many cases less than half that of the first. Additionally, the asymmetry of the buyer's position of strength relative to its closest competitors is due to different characteristics related either to size or to the type (discount) of the competitor. Finally, the documentation on file does not appear to highlight structural ties between the operators active in the relevant markets nor agreements or collaboration projects in specific sectors or areas. In conclusion, the operation under examination does not appear capable of producing coordinated effects that would eliminate or substantially and durably reduce competition in the affected markets.</w:t>
      </w:r>
    </w:p>
    <w:p>
      <w:r>
        <w:t>b.7) Conclusions regarding the effects of the operation</w:t>
      </w:r>
    </w:p>
    <w:p>
      <w:r>
        <w:t>116. In conclusion, the analysis of the competitive context that occurs in the ten isochrones identified as problematic, carried out through quantitative aspects (market shares of the Parties and the related increase resulting from the acquisition, level of competitive pressure - measured through the diversion ratios - exerted both by the targets on the acquiring points of sale and with respect to the relationship between the targets and competitors, analysis of the overall supply in terms of points of sale) and qualitative aspects (presence of discount or national brands capable of exerting a competitive constraint that prevents the Parties from independent behaviors that would raise competitive concerns, new openings planned in the coming year), highlights the creation of a dominant position for Fratelli Arena in the following eight isochrones:</w:t>
      </w:r>
    </w:p>
    <w:p>
      <w:r>
        <w:t>1. I_1 (Via Acicastello 17, Catania, CT);</w:t>
        <w:br/>
        <w:t>2. I_2 (Contrada Rovettazzo 63 - Loc. Cutuli, Riposto, CT);</w:t>
        <w:br/>
        <w:t>3. S_2 (Via Leopardi 70, Catania, CT);</w:t>
        <w:br/>
        <w:t>4. S_8 (Via Pola 37, Catania, CT);</w:t>
        <w:br/>
        <w:t>5. S_9 (Via Leopardi 88, Catania, CT);</w:t>
        <w:br/>
        <w:t>6. S_10 (Via Messina 625/627, Catania, CT);</w:t>
        <w:br/>
        <w:t>7. S_13 (Via Morgioni 47, San Gregorio di Catania, CT);</w:t>
        <w:br/>
        <w:t>8. S_14 (Via Consolare Valeria, Giardini-Naxos, ME).</w:t>
      </w:r>
    </w:p>
    <w:p>
      <w:r>
        <w:t>VII. THE CORRECTIVE MEASURES PROPOSED BY THE PARTY</w:t>
      </w:r>
    </w:p>
    <w:p>
      <w:r>
        <w:t>117. The Party, while not considering the competitive concerns raised to be well-founded, in a spirit of collaboration, in order to resolve the competitive issues highlighted by the Communication of Investigative Findings, has proposed some corrective measures (hereinafter "corrective measures") both of a behavioral and structural nature.</w:t>
      </w:r>
    </w:p>
    <w:p>
      <w:r>
        <w:t>a) Corrective measures of a behavioral nature</w:t>
      </w:r>
    </w:p>
    <w:p>
      <w:r>
        <w:t>118. Fratelli Arena intends to refrain from [omitted] starting from the notification of the authorization decision of the Operation (i.e. [omitted]), [omitted] except for S_14 (supermarket located at Via Consolare Valeria, Giardini-Naxos, ME).</w:t>
      </w:r>
    </w:p>
    <w:p>
      <w:r>
        <w:t>b) Corrective measures of a structural nature</w:t>
      </w:r>
    </w:p>
    <w:p>
      <w:r>
        <w:t>119. The Party has committed to divest:</w:t>
      </w:r>
    </w:p>
    <w:p>
      <w:r>
        <w:t>1) a supermarket [omitted], located within the local market of isochrone I_2, through [omitted];</w:t>
        <w:br/>
        <w:t>2) two small supermarkets located, respectively, in [omitted], Catania, both included in the local markets of isochrones S_2, S_9, S_10, S_13;</w:t>
        <w:br/>
        <w:t>3) a supermarket [omitted], Catania, included in the local markets of isochrones I_1, S_2, S_8, S_9, S_10, S_13; For the three points of sale referred to in points 2) and 3), [omitted], the Party commits [omitted];</w:t>
        <w:br/>
        <w:t>4) a supermarket [omitted] of isochrone S_2 and also present in isochrones S_8, S_9, S_10, S_13, and I_1, regarding which the Party commits [omitted];</w:t>
        <w:br/>
        <w:t>5) on December 17, 2019, the Party sent a new communication informing that it is willing to divest an additional affiliated point located in [omitted] at a distance from the centroid of Isochrone I_1 of 15 minutes, according to the same methods described for [omitted].</w:t>
      </w:r>
    </w:p>
    <w:p>
      <w:r>
        <w:t>120. In relation to the local market of isochrone S_14, Fratelli Arena commits [omitted].</w:t>
      </w:r>
    </w:p>
    <w:p>
      <w:r>
        <w:t>121. The Party also declares itself willing to [omitted], should the above-described measures prove insufficient, [omitted] in order to diversify, and thus improve in terms of quality/price, the commercial offer in the reference market, to the benefit of consumers.</w:t>
      </w:r>
    </w:p>
    <w:p>
      <w:r>
        <w:rPr>
          <w:b/>
        </w:rPr>
        <w:t>[Pages 49–51]</w:t>
      </w:r>
    </w:p>
    <w:p>
      <w:r>
        <w:t>BULLETIN NO. 52 OF DECEMBER 30, 2019 51</w:t>
      </w:r>
    </w:p>
    <w:p>
      <w:r>
        <w:t>122. The Party concludes by stating that it “will commission a market data collection operator to conduct a market survey to prove the implementation of the aforementioned measures,” by [omissis].</w:t>
      </w:r>
    </w:p>
    <w:p>
      <w:r>
        <w:t>123. Fratelli Arena believes that the overall measures proposed are suitable to dispel any doubts regarding the ability of the operation to create or strengthen a dominant position for the Party in the problematic isochrones and that any further measure for divesting points of sale would represent an unjustified economic sacrifice, in light of the principle of proportionality, given the existence of a real danger of acquiring market power sufficient to allow for a pricing policy substantially independent of external competitive pressures.</w:t>
      </w:r>
    </w:p>
    <w:p>
      <w:r>
        <w:t>VIII. EVALUATION OF THE PROPOSED MEASURES</w:t>
      </w:r>
    </w:p>
    <w:p>
      <w:r>
        <w:t>a) Behavioral measures</w:t>
      </w:r>
    </w:p>
    <w:p>
      <w:r>
        <w:t>124. It is preliminarily noted that the behavioral measures proposed by the Party do not appear to have autonomous value regarding the possibility of removing the identified competitive issues, but rather aim to strengthen - making them durable - the structural remedial measures.</w:t>
      </w:r>
    </w:p>
    <w:p>
      <w:r>
        <w:t>125. In this context, it is believed that, in all cases - illustrated below - where the proposed structural measures by the Party will be evaluated to verify whether they are suitable to remove the danger of creating or strengthening a dominant position by Fratelli Arena, one cannot disregard the behavioral commitment [omissis]. For this reason, it is believed that this behavioral measure should also be extended to the local market of isochrone S_14, for which there is no plausible reason for its non-adoption.</w:t>
      </w:r>
    </w:p>
    <w:p>
      <w:r>
        <w:t>b) Structural measures</w:t>
      </w:r>
    </w:p>
    <w:p>
      <w:r>
        <w:t>126. Below is summarized the competitive impact of the structural corrective measures proposed by Fratelli Arena92. Subsequently, the implementation methods of the same will be briefly discussed.</w:t>
      </w:r>
    </w:p>
    <w:p>
      <w:r>
        <w:t>b.1) Local market of Isochrone I_1 - Via Acicastello 17, Catania</w:t>
      </w:r>
    </w:p>
    <w:p>
      <w:r>
        <w:t>127. The divestiture of the point of sale [omissis], Catania, marginally reduces the market share attributed to the parties (about [1-5] percentage points, from [45-50]% to [45-50]%), leaving the value of the diversion ratio substantially unchanged (well above 30%). The further divestiture of the point of sale of [omissis] in Catania does not seem capable of changing the competitive landscape, contributing to a market share reduction of only one percentage point and leading to a diversion ratio still around 32%. As for the recently proposed divestiture of the point of sale of [omissis] in Catania, with a size of [100-400] sqm, it is believed that it cannot be considered as a remedial element, as it pertains to a commercial establishment not falling within the definition of the hypermarket market used in this proceeding (even in the broader sense used). Regarding the characteristics of this isochrone I_1 in terms of limited competitive pressure exerted by competitors - both in terms of shares and diversion ratio - and the high number of points of sale that the Party will acquire (as many as 8), the proposed corrective measures do not appear sufficient to remove the competitive concerns. In particular, the considerations made above regarding the role of points of sale located in shopping centers just outside the isochrone and the new openings of points of sale still hold.</w:t>
      </w:r>
    </w:p>
    <w:p>
      <w:r>
        <w:t>b.2) Local market of Isochrone I_2 - Contrada Rovettazzo 63 - Loc. Cutuli, Riposto, Catania</w:t>
      </w:r>
    </w:p>
    <w:p>
      <w:r>
        <w:t>128. The divestiture of the supermarket located at [omissis] substantially reduces both the market share of the Party (about [5-10]%), bringing it to [30-35]%, and the diversion ratio (from 31% to 22%). In relation to this isochrone, therefore, the divestiture appears capable of having a real impact in terms of reducing incentives to practice independent commercial policies by the buyer towards its competitors. It thus appears suitable to remove the competitive concerns.</w:t>
      </w:r>
    </w:p>
    <w:p>
      <w:r>
        <w:t>b.3) Local market of Isochrone S_2 - Via Leopardi 70, Catania</w:t>
      </w:r>
    </w:p>
    <w:p>
      <w:r>
        <w:t>129. In the case of isochrone S_2, the divestiture of the point of sale [omissis] is suitable to remove [omissis] the competitive concerns.</w:t>
      </w:r>
    </w:p>
    <w:p>
      <w:r>
        <w:t>b.4) Local market of Isochrone S_8 - Via Pola 37, Catania</w:t>
      </w:r>
    </w:p>
    <w:p>
      <w:r>
        <w:t>130. The divestiture of the point of sale of [omissis] appears capable of removing competitive concerns even in another Catanese isochrone, isochrone S_8 centered on the point of sale of Via Pola 37. This is because, in this isochrone, despite a reduction of only [1-5] percentage points in the market share of the Party (from [35-40]% to [35-40]%), there is, however, a significant reduction in the diversion ratio (bringing it slightly below the 20% threshold), that is, the incentive for the buyer to practice independent commercial policies from its competitors. In this sense, the further divestiture of the point of sale of [omissis], also present in this isochrone - moreover with very limited effects both in terms of share and diversion ratio of the buyer - appears, besides being disproportionate, entirely unnecessary.</w:t>
      </w:r>
    </w:p>
    <w:p>
      <w:r>
        <w:t>b.5) Local market of Isochrone S_9 - Via Leopardi 88, Catania</w:t>
      </w:r>
    </w:p>
    <w:p>
      <w:r>
        <w:t>131. In this isochrone, there are four points of sale subject to divestiture proposal. In particular, the divestiture of three of these, [omissis], while it would have a rather modest impact on Fratelli Arena's share (from [40-45]% to [35-40]%), would, on the other hand, determine a particularly relevant reduction in the diversion ratio (from 30% to 17%), due to the “competitive proximity” of the divested points of sale compared to the target. In relation to this local market, therefore, the set of the aforementioned divestitures already appears suitable to resolve the competitive concerns. The further divestiture proposed in the same isochrone, relating to the point of sale of [omissis], whose impact would still be very limited (further reduction of [1-5]% in share and 2% in diversion ratio), also for this isochrone appears disproportionate and in any case superfluous.</w:t>
      </w:r>
    </w:p>
    <w:p>
      <w:r>
        <w:t>b.6) Local market of Isochrone S_10 - Via Messina 625/627, Catania</w:t>
      </w:r>
    </w:p>
    <w:p>
      <w:r>
        <w:t>132. In the local market centered on the point of sale of Via Messina 625/627 in Catania, the three divestitures of the points of sale [omissis], all present in it, have a very limited impact on the market share (from [35-40]% to [30-35]%) and on the buyer's diversion ratio (from 29% to 28%). The potential further divestiture of the point of sale of [omissis], also in the isochrone under analysis, while generating a modest impact on Fratelli Arena's share, would in this case have an important effect on the diversion ratio (which would drop to around 22%). In relation to this isochrone, therefore, the set of the 4 proposed divestitures would be - theoretically and from a perspective that considers the impact of the measures only for individual isochrones and not also on the overall set (see below) - suitable to remove the identified competitive issues.</w:t>
      </w:r>
    </w:p>
    <w:p>
      <w:r>
        <w:t>b.7) Local market of Isochrone S_13 - Via Morgioni 47, San Gregorio di Catania, CT</w:t>
      </w:r>
    </w:p>
    <w:p>
      <w:r>
        <w:t>133. The proposed divestiture of the aforementioned four points of sale also has effects on the isochrone centered on the point of sale of Via Morgioni 47, Catania. However, the impact on this relevant market is modest whether only the points of sale of [omissis] are considered (from [35-40]% to [30-35]% in terms of share and from 32% to 30% in terms of the buyer's diversion ratio), or whether the further divestiture of the point of sale of [omissis] is also considered (market share virtually unchanged and still too limited reduction of the diversion ratio, equal to 28%). In this case, the set of proposed divestitures does not appear suitable to resolve the competitive issues.</w:t>
      </w:r>
    </w:p>
    <w:p>
      <w:r>
        <w:t>b.8) Local market of Isochrone S_14 - Via Consolare Valeria, Giardini-Naxos, ME</w:t>
      </w:r>
    </w:p>
    <w:p>
      <w:r>
        <w:t>134. In relation to this isochrone, [omissis], appears suitable to remove the competitive issues at their source only to the extent that such removal allows for the effective resumption of the sale of food and related products within the point of sale. Furthermore, as noted above, this assessment takes into account the adoption, also with reference to this isochrone, of the aforementioned behavioral measure. [omissis]. The extension of the behavioral measure to this isochrone also appears necessary to prevent [omissis]. Finally, the corrective measure relating to [omissis] is not relevant in relation to this isochrone, as it has a possible effect only in 2022.</w:t>
      </w:r>
    </w:p>
    <w:p>
      <w:r>
        <w:t>c) Conclusions regarding the suitability of the corrective measures proposed by Fratelli Arena</w:t>
      </w:r>
    </w:p>
    <w:p>
      <w:r>
        <w:t>135. The divestitures proposed by the Party of the points of sale of [omissis] appear suitable to remove the concerns identified in the local markets of isochrones S_2, S_8, and S_9. Similarly, the divestiture of the point of sale [omissis] appears suitable to eliminate the competitive issues present in the local market of isochrone I_2. However, from the perspective of the methods and timing of the aforementioned divestitures, it is noted that:</w:t>
      </w:r>
    </w:p>
    <w:p>
      <w:r>
        <w:t>1) as for the point of sale of [omissis], the party commits to [omissis] by [omissis];</w:t>
      </w:r>
    </w:p>
    <w:p>
      <w:r>
        <w:t>2) the Party commits to [omissis];</w:t>
      </w:r>
    </w:p>
    <w:p>
      <w:r>
        <w:t>3) the Party plans to carry out the divestiture of the point of sale [omissis].</w:t>
      </w:r>
    </w:p>
    <w:p>
      <w:r>
        <w:t>Regarding the methods and timing of the divestitures as described above, it is believed that for all the points of sale referred to in points 1)-3), a reasonable time frame that simultaneously ensures a rapid restoration of competitive conditions in the relevant markets is equal to [omissis] months. For the points of sale referred to in point 2, moreover, if the divestitures do not occur within this timeframe, making [omissis] indispensable, it appears necessary to identify at this stage.</w:t>
      </w:r>
    </w:p>
    <w:p>
      <w:r>
        <w:rPr>
          <w:b/>
        </w:rPr>
        <w:t>[Pages 52–54]</w:t>
      </w:r>
    </w:p>
    <w:p>
      <w:r>
        <w:t>54 BULLETIN NO. 52 OF DECEMBER 30, 2019</w:t>
      </w:r>
    </w:p>
    <w:p>
      <w:r>
        <w:t>both the object and the timing of the divestiture. In particular, Fratelli Arena must proceed by [omissis] with the divestiture, [omissis], [omissis].</w:t>
      </w:r>
    </w:p>
    <w:p>
      <w:r>
        <w:t>136. Regarding [omissis] of the local market S_14, the proposal from the Party appears suitable to resolve the competitive issues only [omissis]. Conversely, [omissis].</w:t>
      </w:r>
    </w:p>
    <w:p>
      <w:r>
        <w:t>137. As for the divestiture of the point of sale at [omissis], included in numerous isochrones in the province of Catania, it is noted that it has a significant impact only on the local market of isochrone S_10, not dissipating the competitive issues of isochrones I_1 and S_13. Nor does the proposal to modify [omissis] in a manner more favorable to consumers in terms of quality/price appear to alter the highlighted framework. Similarly, the proposal, made on December 16, 2019, for the divestiture of the point of sale [omissis] does not seem to be a measure of any significance to remove the competitive concerns in isochrone I_1.</w:t>
      </w:r>
    </w:p>
    <w:p>
      <w:r>
        <w:t>138. Therefore, considering the territorial overlap of isochrones I_1, S_10, and S_13, it is believed that, instead of the divestiture of the point of sale at [omissis], another commercial establishment could be identified whose divestiture would be capable of resolving the competitive concerns in all three relevant markets for which problematic competitive aspects still remain.</w:t>
      </w:r>
    </w:p>
    <w:p>
      <w:r>
        <w:t>139. In particular, the divestiture [omissis] appears to be the solution to resolve the competitive problems in the three aforementioned isochrones. In fact, in addition to removing [omissis] the identified issues in isochrone S_10, this divestiture is suitable, together with the divestitures already discussed [omissis], to produce the following effects:</w:t>
        <w:br/>
        <w:t>1) in isochrone I_1, to reduce the market share of the Party from [45-50]% to [40-45]% against a significant reduction in the diversion ratio (from 32% to 20%);</w:t>
        <w:br/>
        <w:t>2) in isochrone S_13, to cause a reduction in the market share of isochrone S_13 from [35-40]% to [30-35]%, and a reduction in the diversion ratio from 32% to 29%. In this latter case, the presence of numerous and qualified competitors, some equipped with nationally renowned brands, also contributes to favoring a solution to the identified problems: Eurospin with [10-15]% (8 points of sale) and Coop with [10-15]% (3 points of sale), followed by Ergon with [5-10]% (19 points of sale), NEW FDM with [5-10]% (22 points of sale), MD with [5-10]% (9 points of sale).</w:t>
      </w:r>
    </w:p>
    <w:p>
      <w:r>
        <w:t>IX. CONCLUSIONS</w:t>
      </w:r>
    </w:p>
    <w:p>
      <w:r>
        <w:t>140. In conclusion, the investigation in question has established that the concentration under examination has resulted in the creation or strengthening of the dominant position of the Party in the local markets of the following isochrones:</w:t>
        <w:br/>
        <w:t>a) I_1 (Via Acicastello 17, Catania, CT);</w:t>
        <w:br/>
        <w:t>b) I_2 (Contrada Rovettazzo 63 - Loc. Cutuli, Riposto, CT);</w:t>
        <w:br/>
        <w:t>c) S_2 (Via Leopardi 70, Catania, CT);</w:t>
        <w:br/>
        <w:t>d) S_8 (Via Pola 37, Catania, CT);</w:t>
        <w:br/>
        <w:t>e) S_9 (Via Leopardi 88, Catania, CT);</w:t>
        <w:br/>
        <w:t>f) S_10 (Via Messina 625/627, Catania, CT);</w:t>
        <w:br/>
        <w:t>g) S_13 (Via Morgioni 47, San Gregorio di Catania, CT);</w:t>
        <w:br/>
        <w:t>h) S_14 (Via Consolare Valeria, Giardini-Naxos, ME).</w:t>
      </w:r>
    </w:p>
    <w:p>
      <w:r>
        <w:t>BULLETIN NO. 52 OF DECEMBER 30, 2019</w:t>
      </w:r>
    </w:p>
    <w:p>
      <w:r>
        <w:t>141. Based on the preceding considerations, it is believed that the concentration operation in question is susceptible to authorization only in the presence of measures, in the eight identified isochrones, suitable to sterilize its anti-competitive effects and to effectively safeguard the operation of competitive comparison in the relevant local markets pursuant to Article 6, paragraph 2, of Law No. 287 of October 10, 1990.</w:t>
      </w:r>
    </w:p>
    <w:p>
      <w:r>
        <w:t>CONSIDERING, therefore, based on the elements emerged in the investigation, that the operation in question is likely to determine, pursuant to Article 6, paragraphs 1 and 2 of Law No. 287/90, the creation and strengthening of a dominant position in the relevant markets identified above such as to eliminate or substantially and durably reduce competition;</w:t>
      </w:r>
    </w:p>
    <w:p>
      <w:r>
        <w:t>CONSIDERING it necessary to prescribe to the company Fratelli Arena s.r.l., pursuant to Article 6, paragraph 2, of Law No. 287/90, the necessary measures to prevent the realization of the distorting effects of competition caused by the implementation of the concentration in question;</w:t>
      </w:r>
    </w:p>
    <w:p>
      <w:r>
        <w:t>CONSIDERING, therefore, that the communicated concentration operation be authorized subject to the full and effective execution of all measures prescribed in this provision;</w:t>
      </w:r>
    </w:p>
    <w:p>
      <w:r>
        <w:t>CONSIDERING that any failure to implement the aforementioned measures would result in the realization of a concentration operation in violation of the prohibition set forth in Article 6, paragraph 1, of Law No. 287/90;</w:t>
      </w:r>
    </w:p>
    <w:p>
      <w:r>
        <w:t>RESOLVES</w:t>
      </w:r>
    </w:p>
    <w:p>
      <w:r>
        <w:t>to authorize the communicated concentration operation, provided that Fratelli Arena s.r.l. fully and effectively executes the following measures prescribed pursuant to Article 6, paragraph 2, of Law No. 287/90:</w:t>
        <w:br/>
        <w:t>a) divestiture of the supermarket [omissis], located within the local market of isochrone I_2, through sale to a third and independent party, active in the retail distribution of food and non-food products, by [omissis];</w:t>
        <w:br/>
        <w:t>b) divestiture of two supermarkets [omissis], Catania, both included in the local markets of isochrones S_2, S_9, S_10, S_13. The Party commits to [omissis]. If none of the alternatives [omissis] are verified by [omissis], Fratelli Arena commits (iii) to purchase the points of sale to resell them to independent operators active in the retail sale of food and non-food products, by [omissis]. If such divestitures do not occur within the stipulated time frames, Fratelli Arena must proceed by [omissis] with the divestiture, [omissis], [omissis];</w:t>
        <w:br/>
        <w:t>c) signing of a business lease contract concerning a supermarket [omissis] also present in isochrones S_8, S_9, S_10, S_13, and I_1, [omissis], by [omissis];</w:t>
        <w:br/>
        <w:t>d) divestiture of the point of sale (supermarket) located in [omissis] Catania situated within the local market of isochrones I_1, S_10, and S_13, by [omissis];</w:t>
        <w:br/>
        <w:t>e) [omissis] of the centroid point of sale of the local market S_14 [omissis];</w:t>
        <w:br/>
        <w:t>f) the buyers and tenants of the points of sale must meet the following requirements:</w:t>
        <w:br/>
        <w:t>i. be independent entities, also commercially, from the Parties and the companies connected to them, as well as from the individuals at the top of the Parties' control chain;</w:t>
      </w:r>
    </w:p>
    <w:p>
      <w:r>
        <w:t>BULLETIN NO. 52 OF DECEMBER 30, 2019</w:t>
      </w:r>
    </w:p>
    <w:p>
      <w:r>
        <w:t>ii. possess the financial means, as well as the incentive and capacity to maintain and develop, on an efficient scale, the retail sale of food and non-food products;</w:t>
        <w:br/>
        <w:t>iii. preferably be primary operators in the sector active at the national level and, in any case, already active in the retail sale of food and non-food products;</w:t>
        <w:br/>
        <w:t>iv. the acquisition of the divested activity by a proposed buyer must not create new problems for competition, nor entail the risk that the implementation of the measures will be postponed;</w:t>
        <w:br/>
        <w:t>g) the agreements related to the transfer of the points of sale referred to in measures a) to e) must be submitted to the Authority for approval of the identity of the transferee/tenant and the agreements themselves, at least 1 month before the respective deadlines mentioned above;</w:t>
        <w:br/>
        <w:t>h) if by [omissis] (first divestiture period) the buyers of the points of sale to be divested referred to in points a) and d) have not been identified, the Parties must, by [omissis] (second divestiture period), identify the buyers [omissis], granting for this purpose an irrevocable mandate to an independent and qualified entity (trustee divestiture period);</w:t>
        <w:br/>
        <w:t>i) the Parties (or the independent entity appointed for the divestiture) must provide all necessary information on the points of sale to be divested, to allow potential buyers to assess their value and presumed commercial capacity;</w:t>
        <w:br/>
        <w:t>j) the Parties must preserve the economic operation, marketability, and competitiveness of the points of sale subject to the measures, in accordance with good commercial practice, during the period between the date of authorization of the Operation and the full validity and effectiveness of their divestiture;</w:t>
        <w:br/>
        <w:t>k) the Parties must refrain from [omissis];</w:t>
        <w:br/>
        <w:t>l) the Parties must send to the Authority, within [omissis] months from the notification of this provision, a first report regarding the execution of these measures. This report must contain, among other things, a detailed description of the points of sale referred to in points a) to e), specifying all elements that are part of the business branches subject to transfer. The Party must send a report acknowledging the transfer of the points of sale, by [omissis], and promptly inform the Authority of any event that may affect measures c) and e) until the expiration of the business lease contracts.</w:t>
      </w:r>
    </w:p>
    <w:p>
      <w:r>
        <w:t>The above measures will come into effect upon notification of the authorization provision for this operation.</w:t>
      </w:r>
    </w:p>
    <w:p>
      <w:r>
        <w:t>This provision will be notified to the interested parties and published in the Bulletin of the Antitrust Authority.</w:t>
      </w:r>
    </w:p>
    <w:p>
      <w:r>
        <w:rPr>
          <w:b/>
        </w:rPr>
        <w:t>[Pages 55–57]</w:t>
      </w:r>
    </w:p>
    <w:p>
      <w:r>
        <w:t>BULLETIN NO. 52 OF DECEMBER 30, 2019</w:t>
      </w:r>
    </w:p>
    <w:p>
      <w:r>
        <w:t>57 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58 BULLETIN NO. 52 OF DECEMBER 30, 2019</w:t>
      </w:r>
    </w:p>
    <w:p>
      <w:r>
        <w:t>Analysis of Effects - Methodological Appendix</w:t>
      </w:r>
    </w:p>
    <w:p>
      <w:r>
        <w:t>1. The objective of the analysis is to evaluate the competitive impact of the operation in the relevant local markets, taking into account certain factors that may influence the degree of competitive pressure exerted by each point of sale in the local area (so-called Catchment Areas, hereinafter "CA").</w:t>
      </w:r>
    </w:p>
    <w:p>
      <w:r>
        <w:t>2. In this perspective, the degree of substitutability of each point of sale within each CA with respect to the points of sale on which they are centered (centroids) has been considered. This substitutability relationship with the centroid, which tends to approximate the competitive pressure that a point of sale located in the same CA can exert on the centroid, is functional for constructing the so-called diversion ratios, indicators aimed at measuring the degree of competitive proximity between the Parties.</w:t>
      </w:r>
    </w:p>
    <w:p>
      <w:r>
        <w:t>The diversion ratios between the parties indicate how much of the total sales volumes lost by the points of sale of one Party (following a deterioration of their offer in terms of price, quality, assortment, services offered) shift to the points of sale belonging to the distribution chain of the other Party. In this context, the higher the diversion ratios between the companies subject to the concentration, the higher the sales that the concentration will allow to internalize, making price increases profitable.</w:t>
      </w:r>
    </w:p>
    <w:p>
      <w:r>
        <w:t>3. Not having the possibility to directly estimate the diversion ratios, they have been constructed by assigning to each point of sale a competitive pressure index (IPC in the formulas that follow), which is in turn defined based on its degree of substitutability with respect to the centroids (points of sale Auchan, Cambria, and Arena subject to acquisition) of the relevant local markets. This substitutability has been estimated based on the following two factors, under the reasonable assumption that they are relevant in the consumer's choice:</w:t>
        <w:br/>
        <w:t>- distance of a point of sale from the centroid: a point of sale closer to the centroid exerts, all else being equal, a greater degree of competitive pressure than one further away;</w:t>
        <w:br/>
        <w:t>- type/size of the point of sale: a point of sale of different size than that of the centroid exerts, all else being equal, a lower degree of competitive pressure compared to points of sale of equal size. For example, if the centroid were a hypermarket, smaller supermarkets might exert less competitive pressure on the centroid than other hypermarkets.</w:t>
      </w:r>
    </w:p>
    <w:p>
      <w:r>
        <w:t>4. This competitive pressure index also takes into account the different weight that the factors "type/size" and "distance" assume in the eyes of the consumer when choosing the point of sale where to shop.</w:t>
      </w:r>
    </w:p>
    <w:p>
      <w:r>
        <w:t>5. Once the competitive pressure index of the individual points of sale has been calculated, the overall competitive pressure index of the points of sale of the buyer has been measured, that is, the competitive constraint exerted by the latter on the points of sale subject to acquisition (Auchan, Cambria, and R. Abate) that is removed with the operations in question, being "internalized" with the operations in question:</w:t>
      </w:r>
    </w:p>
    <w:p>
      <w:r>
        <w:t>(1)</w:t>
      </w:r>
    </w:p>
    <w:p>
      <w:r>
        <w:t>where:</w:t>
        <w:br/>
        <w:t>indicates the points of sale that belong to the Buyer</w:t>
        <w:br/>
        <w:t>are the values assumed by the type/size and distance factors of each point of sale.</w:t>
        <w:br/>
        <w:t>, are the weights, respectively, of the aforementioned factors, in order to take into account the different relevance that these factors assume in the choice of consumers.</w:t>
      </w:r>
    </w:p>
    <w:p>
      <w:r>
        <w:t>6. In order to simultaneously examine the effects of the operations in question, the points of sale of the Buyer, in addition to the points of sale F.lli Arena, also include:</w:t>
        <w:br/>
        <w:t>- the points of sale Auchan and Cambria if the centroid is a point of sale Abate;</w:t>
        <w:br/>
        <w:t>- the points of sale Auchan and Abate if the centroid is a point of sale Cambria;</w:t>
        <w:br/>
        <w:t>- the points of sale Abate and Cambria if the centroid is a point of sale Auchan.</w:t>
      </w:r>
    </w:p>
    <w:p>
      <w:r>
        <w:t>7. The overall competitive pressure exerted by the Buyer on the centroid has then been expressed in relative terms, that is, it has been related to the level of competitive pressure exerted on the centroid by all competing points of sale present in the CA:</w:t>
      </w:r>
    </w:p>
    <w:p>
      <w:r>
        <w:t>(2)</w:t>
      </w:r>
    </w:p>
    <w:p>
      <w:r>
        <w:t>where:</w:t>
        <w:br/>
        <w:t>indicates the competing points of sale of the centroid not belonging to the same distribution chain as the latter.</w:t>
      </w:r>
    </w:p>
    <w:p>
      <w:r>
        <w:t>8. The ratio between and , which thus measures the competitive weight of the Parties - with respect to other competitors - on the points of sale subject to acquisition, constitutes an estimate of the diversion ratio from the latter - which are the centroids of the local markets - to the other points of sale of the Parties.</w:t>
      </w:r>
    </w:p>
    <w:p>
      <w:r>
        <w:rPr>
          <w:b/>
        </w:rPr>
        <w:t>[Pages 58–60]</w:t>
      </w:r>
    </w:p>
    <w:p>
      <w:r>
        <w:t>60 BULLETIN NO. 52 OF DECEMBER 30, 2019</w:t>
      </w:r>
    </w:p>
    <w:p>
      <w:r>
        <w:t>9. Finally, the DRs thus obtained have been "corrected" to take into account the possibility that, in the face of a price increase at the points of sale subject to acquisition, consumers may choose to shop through other sales channels that are not included in the product market (so-called "outside option"), in order to also consider the competitive pressure they exert on the target points of sale. In particular, for all product markets, the outside options are represented by specialized stores, the local market, and the online channel, to which, in the case of the hypermarket market, the format of convenience stores is also added (points of sale of the traditional channel that do not belong to this product market).</w:t>
      </w:r>
    </w:p>
    <w:p>
      <w:r>
        <w:t>10. This effectively amounts to applying to the DRs a correction factor - (1-OO) cf. following formula - in order to take into account how the competitive pressure in the CA is not only related to that exerted by the points of sale located there, to which a weight is assigned to measure their substitutability with respect to the centroid, but also manifests itself through alternative options present outside the market.</w:t>
      </w:r>
    </w:p>
    <w:p>
      <w:r>
        <w:t>Estimation of choice factors</w:t>
      </w:r>
    </w:p>
    <w:p>
      <w:r>
        <w:t>11. The survey allowed for the collection, inter alia, of some useful information to quantify the different degree of substitutability of points of sale with respect to their centroids.</w:t>
      </w:r>
    </w:p>
    <w:p>
      <w:r>
        <w:t>12. Given that the operation concerns only Sicily and due to the presence, according to the Party, of certain specificities in the habits of consumers located in the region, the information, drawn from the survey, on the degree of substitutability of points of sale within an isochrone with respect to the centroid, was obtained from the responses of consumers located in Sicily.</w:t>
      </w:r>
    </w:p>
    <w:p>
      <w:r>
        <w:t>13. Regarding the quantification of the "type/size" factor, the responses to questions 4 and 5 were used. In fact, the first question aimed to ascertain which type/size of point of sale the consumer would go to if all points of sale were located at the same distance, while the second is aimed at understanding where the same consumer would go alternatively if the type/size of point of sale they would choose (based on the response to question 4) was not available (identification of second choices). More specifically, the responses to question 5 provided by those who answered that they would shop at hypermarkets and supermarkets to question 4 were considered, since the local markets concerned are only, from a product perspective, those of hypermarkets and supermarkets.</w:t>
      </w:r>
    </w:p>
    <w:p>
      <w:r>
        <w:t>14. Based on the responses obtained to question 5, the value of the "type/size" factor was quantified: i) assigning to the possible responses - "Very likely", "Somewhat likely", "Unlikely", "Not at all likely" - values of 1, 0.66, 0.33, and 0 respectively; ii) calculating a weighted average for the weight of each of these options, taking into account that the results of the survey assign each respondent a different weight in relation to their statistical representativeness with respect to the entire population subject to survey (so-called "expansion factor"). Through the survey, the level of substitutability with respect to the centroid of competing points of sale that are of a different type/size from that of the latter was thus estimated, obtaining an indicator whose value is between 0 and 1. Conversely, competing points of sale of the same type/size as the centroid were assigned a weight of 1.</w:t>
      </w:r>
    </w:p>
    <w:p>
      <w:r>
        <w:t>Table A1. Values of the type/size choice factor in Sicily</w:t>
      </w:r>
    </w:p>
    <w:p>
      <w:r>
        <w:t>Target PV (centroids) &gt; Competing PV Values</w:t>
        <w:br/>
        <w:t>Supermarket &gt; Supermarket 1</w:t>
        <w:br/>
        <w:t>Supermarket &gt; Hypermarket 0.61</w:t>
        <w:br/>
        <w:t>Supermarket &gt; Convenience Store 0.54</w:t>
        <w:br/>
        <w:t>Supermarket &gt; Discount 0.53</w:t>
        <w:br/>
        <w:t>Hypermarket &gt; Hypermarket 1</w:t>
        <w:br/>
        <w:t>Hypermarket &gt; Supermarket 0.89</w:t>
        <w:br/>
        <w:t>Hypermarket &gt; Discount 0.57</w:t>
      </w:r>
    </w:p>
    <w:p>
      <w:r>
        <w:t>15. The "distance" factor of each point of sale from the centroid was instead identified through the following mathematical formula, based on which the competitive constraint of points of sale decreases as the distance from the centroid increases:</w:t>
      </w:r>
    </w:p>
    <w:p>
      <w:r>
        <w:t>16. The results of the survey have finally allowed for the assignment of weights to the aforementioned choice factors, which, as previously mentioned, capture their relevance in the eyes of the consumer. From the responses to question 89, it emerged that the most important factor is distance (Proximity to home/work), since this choice factor obtained an average score of 4.06 - on a scale of values ranging from 1 (minimum value) to 5 (maximum value) - while the "type/size" (type of point of sale) achieved an average score of 3.62:</w:t>
      </w:r>
    </w:p>
    <w:p>
      <w:r>
        <w:t>Table A2. Values of the weights of the type/size and distance choice factors in Sicily</w:t>
      </w:r>
    </w:p>
    <w:p>
      <w:r>
        <w:t>Weights of choice factors Values</w:t>
        <w:br/>
        <w:t>α 3.62</w:t>
        <w:br/>
        <w:t>γ 4.06</w:t>
      </w:r>
    </w:p>
    <w:p>
      <w:r>
        <w:t>Estimation of the outside option</w:t>
      </w:r>
    </w:p>
    <w:p>
      <w:r>
        <w:t>17. In order to estimate the weight of alternative options to those present in the product market, and thus to correct the DRs accordingly, the responses to the survey provided by Sicilian consumers to questions 4 and 5 were used. From a methodological point of view, the weight of the outside options was calculated as the frequency with which consumers - who, based on the responses to question 4, would shop at hypermarkets and supermarkets - would very likely turn to at least one of the alternative channels (responses to question 5), given that they would very likely not switch to any of the options present within the market.</w:t>
      </w:r>
    </w:p>
    <w:p>
      <w:r>
        <w:t>18. The results reported in the following table show that in Sicily the weight of the outside options is 8.6% in the case of the hypermarket market and 13% in the case of the supermarket market.</w:t>
      </w:r>
    </w:p>
    <w:p>
      <w:r>
        <w:t>Table A3. Values of the outside options of the supermarket and hypermarket markets in Sicily</w:t>
      </w:r>
    </w:p>
    <w:p>
      <w:r>
        <w:t>Product Market Outside Option Values</w:t>
        <w:br/>
        <w:t>Hypermarket Market Specialized stores, local market, online channel, convenience stores 8.6%</w:t>
        <w:br/>
        <w:t>Supermarket Market Specialized stores, local market, online channel 13%</w:t>
      </w:r>
    </w:p>
    <w:p>
      <w:r>
        <w:rPr>
          <w:b/>
        </w:rPr>
        <w:t>[Pages 61–63]</w:t>
      </w:r>
    </w:p>
    <w:p>
      <w:r>
        <w:t>BULLETIN NO. 52 OF DECEMBER 30, 2019 63</w:t>
      </w:r>
    </w:p>
    <w:p>
      <w:r>
        <w:t>C12247 - BDC ITALIA-CONAD/AUCHAN</w:t>
      </w:r>
    </w:p>
    <w:p>
      <w:r>
        <w:t>Provision No. 28039</w:t>
      </w:r>
    </w:p>
    <w:p>
      <w:r>
        <w:t>THE ANTITRUST AUTHORITY</w:t>
      </w:r>
    </w:p>
    <w:p>
      <w:r>
        <w:t>IN ITS MEETING of December 20, 2019;</w:t>
      </w:r>
    </w:p>
    <w:p>
      <w:r>
        <w:t>HEARD the Rapporteur Professor Michele Ainis;</w:t>
      </w:r>
    </w:p>
    <w:p>
      <w:r>
        <w:t>HAVING REGARD TO Regulation (EC) No. 139/2004;</w:t>
      </w:r>
    </w:p>
    <w:p>
      <w:r>
        <w:t>HAVING REGARD TO Law No. 287 of October 10, 1990;</w:t>
      </w:r>
    </w:p>
    <w:p>
      <w:r>
        <w:t>HAVING REGARD TO Presidential Decree No. 217 of April 30, 1998;</w:t>
      </w:r>
    </w:p>
    <w:p>
      <w:r>
        <w:t>HAVING REGARD TO the communication from BDC Italia S.p.A. and CONAD National Consortium of Retailers Soc. Coop., received on July 19, 2019;</w:t>
      </w:r>
    </w:p>
    <w:p>
      <w:r>
        <w:t>HAVING REGARD TO the request for information sent on August 1, 2019, with consequent interruption of the deadlines pursuant to Article 5, paragraph 3, of Presidential Decree No. 217 of April 30, 1998;</w:t>
      </w:r>
    </w:p>
    <w:p>
      <w:r>
        <w:t>HAVING REGARD TO the additional information sent by BDC Italia S.p.A. and CONAD National Consortium of Retailers Soc. Coop., received on September 11, 2019, and supplemented on October 4, 11, 14, 29, and 30, 2019;</w:t>
      </w:r>
    </w:p>
    <w:p>
      <w:r>
        <w:t>HAVING REGARD TO its resolution of November 5, 2019, No. 27983, with which the Authority initiated, pursuant to Article 16, paragraph 4, of Law No. 287/90, the proceedings against BDC Italia S.p.A., CONAD National Consortium of Retailers Soc. Coop., Pac2000A Soc. Coop., Conad Nord Ovest Soc. Coop., Independent Associated Traders Soc. Coop., Conad Centro Nord Soc. Coop., Conad Adriatico Soc. Coop., Conad Sicilia Soc. Coop.;</w:t>
      </w:r>
    </w:p>
    <w:p>
      <w:r>
        <w:t>HAVING REGARD TO its resolution of December 10, 2019, which extended the deadline for closing the proceedings to January 20, 2020;</w:t>
      </w:r>
    </w:p>
    <w:p>
      <w:r>
        <w:t>HAVING REGARD TO the communication from BDC Italia S.p.A., CONAD National Consortium of Retailers Soc. Coop., received on December 13, 2019, which communicated that, on December 11, 2019, Margherita Distribuzione S.p.A. (new corporate name of Auchan S.p.A., a company controlled by BDC Italia S.p.A.) "signed a preliminary agreement with DiperDi S.r.l. (a company of the Carrefour group) concerning the terms and conditions for regulating the future transfer to DiperDi S.r.l. of 28 direct sales points";</w:t>
      </w:r>
    </w:p>
    <w:p>
      <w:r>
        <w:t>CONSIDERING that the above-described transfer constitutes a substantial modification of the scope of the concentration operation, which, therefore, will not take place in the manner communicated on July 19, 2019;</w:t>
      </w:r>
    </w:p>
    <w:p>
      <w:r>
        <w:t>RESOLVES</w:t>
      </w:r>
    </w:p>
    <w:p>
      <w:r>
        <w:t>that there is no need to take action.</w:t>
      </w:r>
    </w:p>
    <w:p>
      <w:r>
        <w:t>The concentration operation, in its new configuration, must be communicated to the Authority pursuant to Article 16, paragraph 1, of Law No. 287/90. The Parties are required not to make substantial changes to the concentration operation during the period between the communication to the Authority and the decision that the latter will adopt pursuant to Article 16 of Law No. 287/90.</w:t>
      </w:r>
    </w:p>
    <w:p>
      <w:r>
        <w:t>This provision will be notified to the interested Parties and published in the Bulletin of the Antitrust Authority.</w:t>
      </w:r>
    </w:p>
    <w:p>
      <w:r>
        <w:t>THE SECRETARY GENERAL THE PRESIDENT</w:t>
      </w:r>
    </w:p>
    <w:p>
      <w:r>
        <w:t>Filippo Arena Roberto Rustichelli</w:t>
      </w:r>
    </w:p>
    <w:p>
      <w:r>
        <w:t>BULLETIN NO. 52 OF DECEMBER 30, 2019 65</w:t>
      </w:r>
    </w:p>
    <w:p>
      <w:r>
        <w:t>REPORTING AND CONSULTATIVE ACTIVITY</w:t>
      </w:r>
    </w:p>
    <w:p>
      <w:r>
        <w:t>AS1635 – REGION OF APULIA - SCHEMES OF TENDER REGULATIONS AND TECHNICAL SPECIFICATIONS FOR THE ASSIGNMENT OF LOCAL PUBLIC TRANSPORT SERVICES</w:t>
      </w:r>
    </w:p>
    <w:p>
      <w:r>
        <w:t>Rome, November 18, 2019</w:t>
      </w:r>
    </w:p>
    <w:p>
      <w:r>
        <w:t>Region of Apulia</w:t>
      </w:r>
    </w:p>
    <w:p>
      <w:r>
        <w:t>Department of Transport and Public Works</w:t>
      </w:r>
    </w:p>
    <w:p>
      <w:r>
        <w:t>Department of Mobility, Urban Quality, Public Works, Ecology, and Landscape</w:t>
      </w:r>
    </w:p>
    <w:p>
      <w:r>
        <w:t>The Antitrust Authority, on October 11, 2019, received a request for an opinion from this regional body regarding the draft regulations and technical specifications prepared to initiate the tender procedures for the assignment of TPL services to be called by June 30, 2020.</w:t>
      </w:r>
    </w:p>
    <w:p>
      <w:r>
        <w:t>On this point, the Authority, during the meeting of November 5, 2019, deemed it appropriate to make the following considerations pursuant to Article 22 of Law No. 287/1990.</w:t>
      </w:r>
    </w:p>
    <w:p>
      <w:r>
        <w:t>The draft acts subject to the request for an opinion concern the assignment of the entire network of passenger TPL services, both urban and suburban, under regional and local authority jurisdiction in the Region of Apulia, whose service contracts will expire on June 30, 2020. The tender, being for so-called net cost contracts, will be entirely governed by the provisions of Regulation 1370/2007/EC, the principles of Legislative Decree No. 50/2016 (Public Contracts Code), and the regulatory acts of the ART.</w:t>
      </w:r>
    </w:p>
    <w:p>
      <w:r>
        <w:t>In general, the draft regulations and specifications transmitted do not appear to present competitive issues, being aimed at ensuring the widest competitive comparison during the tender. However, with particular reference to the provisions regarding participation requirements and guarantees to be presented at the time of the offer, a thorough assessment of potential issues of</w:t>
      </w:r>
    </w:p>
    <w:p>
      <w:r>
        <w:t>1 Currently managed by the COTRAP consortium, the winner of the previous tender issued by the region in 2004. The service contracts, expiring on June 30, 2018, were extended by the Region's resolution of May 9, 2018, No. 903, within the limits set by Article 5, paragraph 5 of Regulation 1370/2007/EC (24 months, until June 2020).</w:t>
      </w:r>
    </w:p>
    <w:p>
      <w:r>
        <w:t>2 Resolution No. 49/2015 and attached regulatory act containing Regulatory Measures for the drafting of notices and agreements related to tenders for the exclusive assignment of local public passenger transport services and resolution No. 48/2017 and the attached regulatory act containing the definition of the methodology for identifying public service areas and the most efficient financing methods, pursuant to Article 37, paragraph 3, letter a), of Decree-Law No. 201/2011 and Article 37, paragraph 1, of Decree-Law No. 1/2012.</w:t>
      </w:r>
    </w:p>
    <w:p>
      <w:r>
        <w:rPr>
          <w:b/>
        </w:rPr>
        <w:t>[Pages 64–66]</w:t>
      </w:r>
    </w:p>
    <w:p>
      <w:r>
        <w:t>66 BULLETIN NO. 52 OF DECEMBER 30, 2019</w:t>
      </w:r>
    </w:p>
    <w:p>
      <w:r>
        <w:t>The competitive nature can only be assessed downstream of the choices that will be concretely made by the Public Transport Governance Entities (EDG) in the official documentation.</w:t>
      </w:r>
    </w:p>
    <w:p>
      <w:r>
        <w:t>That said, the reference contained in Article 2 of the regulations to the investigative assistance governed by Article 83, paragraph 9, of Legislative Decree No. 50/2016 is commendable, which, as is known, constitutes one of the declinations of the more general principle of favor participationis aimed at ensuring the widest participation of economic operators in tenders. Similar considerations can be made with reference to Article 3 of the tender regulations, which, in line with the orientations repeatedly expressed by the Authority over the years and recently incorporated into Article 48, paragraph 4, of Decree-Law No. 50/2017, provides for the possibility of dividing each Mobility Basin into multiple lots (preferably based on the different types of urban and extra-urban services), with the aim of promoting the widest participation in tenders.</w:t>
      </w:r>
    </w:p>
    <w:p>
      <w:r>
        <w:t>As for the duration of the concession, the regulations seem to leave the choice to the individual EDG, while the draft special tender specifications provide for a maximum duration of 9 years. In order to avoid heterogeneous behaviors and align the various contractual deadlines, especially in view of future rounds of tenders for the same services, it may be appropriate to include this time limit in the regulations to the extent that it appears consistent with what is provided for in Article 4 of Regulation No. 1370/2007/EC and subsequent amendments.</w:t>
      </w:r>
    </w:p>
    <w:p>
      <w:r>
        <w:t>Regarding the forms of cooperation between companies (consortia, ATI, and RTI) provided for by the draft lex specialis of the tender (Article 4) and their potential distorted use by companies, the Authority intends to recall the established jurisprudential orientation according to which “[...] The associative agreement for such ATI, like any relationship between private parties, is in fact neutral and, as such, is subject to the ordinary rules on the legality and merit of the cause and cannot be said to be contrary to the competitive comparison inherent to public evidence...” while maintaining the possibility for the contracting authority to assess the existence of possible anti-competitive profiles in the formation of the grouping, taking into account any justifications—in terms of managerial and industrial efficiency, in light of the value, size, and/or type of service requested—that the companies participating in the RTI should provide at the time of submitting the application or at the request of the contracting authority.</w:t>
      </w:r>
    </w:p>
    <w:p>
      <w:r>
        <w:t>As already anticipated, with reference to the “participation requirements and means of proof” referred to in Article 5 of the regulations, as well as to the discipline of guarantees referred to in Article 8, it is currently not possible to make an assessment of potential restrictiveness since the choice is concretely left to the EDGs, holders of the exercise of the functions of the contracting authority. In this regard, it is worth recalling that the Authority has repeatedly pointed out how the requirement of reaching certain turnover thresholds (global and specific) or the imposition of excessively burdensome guarantees represent an element capable of unjustifiably limiting participation in numerous public tenders and hindering access to the market. In fact, the exclusionary effect of this requirement unjustifiably affects both smaller companies and large companies that are not significantly present in the national market. In the exercise of administrative discretion, the public administration should adhere to the criteria of proportionality in relation to the object of the contract and the purposes of the offer, to avoid possible distortions and ensure the correct unfolding of competition mechanisms for the market, allowing for a balance between the need for reliability guarantees of the awarded party and maximum possible participation in the tender.</w:t>
      </w:r>
    </w:p>
    <w:p>
      <w:r>
        <w:t>A distinctly favorable judgment should also be expressed with reference to the discipline contained in Article 9 of the regulations, which guarantees every potential competitor the possibility of accessing the movable and immovable assets subject to takeover even before the deadline for submitting offers. This provision should also be read in light of the “Obligations of the Contractor in relation to the expiration of the Contract” governed by Article 26 of the tender specifications. The set of these measures appears aimed at ensuring maximum participation in tenders as it is likely to reduce the information asymmetries between the outgoing manager and the potential participant in the tender regarding the quantity and characteristics of the movable (buses) and immovable (depots for the storage and maintenance of rolling stock, which will be guaranteed to be available at the time of award) assets. With the solution adopted in the tender documents, the outgoing manager will not only be obliged to allow the potential competitor access to the movable and immovable assets subject to possible takeover but, above all, at least 12 months before the expiration of the contract, must provide the competent Authority with all the necessary information to allow for the initiation of a new tender procedure.</w:t>
      </w:r>
    </w:p>
    <w:p>
      <w:r>
        <w:t>Article 12 finally governs the award criterion represented by the economically most advantageous offer (OEV), where the maximum score attributable to the technical offer is 70 while for the economic offer it is 30 points. Within the technical offer, moreover, great importance is attributed to the degree of innovativeness of the services also based on the indications contained in Resolution No. 49/2015 of the ART. The provision essentially incorporates the indication contained in Article 95, paragraph 10-bis, of the Public Contracts Code, according to which “the contracting authority establishes a maximum ceiling for the economic score within the limit of 30 percent.”</w:t>
      </w:r>
    </w:p>
    <w:p>
      <w:r>
        <w:t>In this regard, while sharing the undeniable need to protect the degree of innovativeness and the quality of the services offered as the main drivers for evaluating offers (especially in concession contracts like the one in question), the provision of a maximum ceiling for the economic score is, however, likely to excessively limit the contracting authority's ability to adequately consider economic offers, while at the same time granting it broad discretion in evaluating technical offers, potentially prejudicing the correct and efficient conduct of the tender and adequate price competition among bidders. The fact that, in this case, Regulation 1370/2007/EC applies instead of the Public Contracts Code allows for the incorporation of the principle related to the use of the OEV as an award criterion, without necessarily falling within the rigid parameters set forth in Article 95, paragraph 10-bis, of Legislative Decree No. 50/2016.</w:t>
      </w:r>
    </w:p>
    <w:p>
      <w:r>
        <w:t>The Authority hopes that the above observations will be adequately considered for the full development of competition in the market for passenger transport services by road. This opinion will be published in the Authority's Bulletin pursuant to Article 26 of Law No. 287/1990. Any confidentiality needs must be communicated to the Authority within thirty days of receiving this, specifying the reasons.</w:t>
      </w:r>
    </w:p>
    <w:p>
      <w:r>
        <w:t>THE PRESIDENT</w:t>
        <w:br/>
        <w:t>Roberto Rustichelli</w:t>
      </w:r>
    </w:p>
    <w:p>
      <w:r>
        <w:rPr>
          <w:b/>
        </w:rPr>
        <w:t>[Pages 67–69]</w:t>
      </w:r>
    </w:p>
    <w:p>
      <w:r>
        <w:t>BULLETIN NO. 52 OF DECEMBER 30, 2019</w:t>
      </w:r>
    </w:p>
    <w:p>
      <w:r>
        <w:t>UNFAIR TRADE PRACTICES</w:t>
      </w:r>
    </w:p>
    <w:p>
      <w:r>
        <w:t>PS8161 - ASUS ITALIA - FAILURE TO PROVIDE WARRANTY</w:t>
      </w:r>
    </w:p>
    <w:p>
      <w:r>
        <w:t>Provision No. 28010</w:t>
      </w:r>
    </w:p>
    <w:p>
      <w:r>
        <w:t>THE ANTITRUST AUTHORITY</w:t>
      </w:r>
    </w:p>
    <w:p>
      <w:r>
        <w:t>IN ITS MEETING of November 27, 2019;</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provision of November 29, 2018, which ordered the inspection pursuant to Article 27, paragraphs 2 and 3, of the Consumer Code, at the premises of ASUSTeK Italy s.r.l. and Video Pacini s.r.l., active in providing assistance services on ASUS-branded electronic products;</w:t>
      </w:r>
    </w:p>
    <w:p>
      <w:r>
        <w:t>HAVING REGARD to its provision of January 30, 2019, which, pursuant to Article 7, paragraph 3, of the Regulation, ordered the extension of the deadline for concluding the procedure, following the subjective extension of the procedure;</w:t>
      </w:r>
    </w:p>
    <w:p>
      <w:r>
        <w:t>HAVING REGARD to its provisions of April 24, July 17, and September 4, 2019, which, pursuant to Article 7, paragraph 3, of the Regulation, ordered three extensions of the deadline for concluding the procedure;</w:t>
      </w:r>
    </w:p>
    <w:p>
      <w:r>
        <w:t>HAVING REGARD to the acts of the procedure;</w:t>
      </w:r>
    </w:p>
    <w:p>
      <w:r>
        <w:t>I. THE PARTIES</w:t>
      </w:r>
    </w:p>
    <w:p>
      <w:r>
        <w:t>1. ASUSTeK Italy s.r.l. (hereinafter, ASUSTeK Italy), belonging to the multinational group ASUS, carries out help desk and marketing activities on behalf of ASUS Europe B.V. The company achieved a turnover of approximately €8,675,000 at the Italian level in the 2018 financial year.</w:t>
      </w:r>
    </w:p>
    <w:p>
      <w:r>
        <w:t>2. ASUS Europe B.V. (hereinafter, ASUS Europe), a Dutch company belonging to the multinational group ASUS, engages in wholesale trade and provides after-sales assistance services for ASUS-branded electronic and computer products in the European market, is the sole shareholder of ASUSTeK Italy, and holds all rights to the ASUS products marketed in Italy. ASUS Europe achieved a turnover of over €500 million in the 2018 financial year.</w:t>
      </w:r>
    </w:p>
    <w:p>
      <w:r>
        <w:t>3. ASUS Holland B.V. (hereinafter, ASUS Holland), a Dutch company belonging to the multinational group ASUS, manages the assistance activities for ASUS-branded products marketed in the European market, directly entering into service agreements with technical assistance centers and exercising broad decision-making and operational power over the warranty service delivery methods. ASUS Holland achieved a turnover of nearly €13 million in the 2018 financial year.</w:t>
      </w:r>
    </w:p>
    <w:p>
      <w:r>
        <w:t>4. Arvato Distribution GmbH (hereinafter, Arvato), a German company, manages the ASUS e-shop as an authorized retailer. Arvato achieved a turnover of over €500 million in the 2018 financial year.</w:t>
      </w:r>
    </w:p>
    <w:p>
      <w:r>
        <w:t>5. Adiconsum – Consumer Association as the reporting party.</w:t>
      </w:r>
    </w:p>
    <w:p>
      <w:r>
        <w:t>II. THE COMMERCIAL PRACTICES</w:t>
      </w:r>
    </w:p>
    <w:p>
      <w:r>
        <w:t>6. The procedure concerns two distinct violations of the Consumer Code regarding product warranties:</w:t>
        <w:br/>
        <w:t>a) the dissemination of ambiguous and unclear information about the legal and conventional warranty regarding the subject, duration, limits, and conditions of assistance both concerning consumer rights and the scope of the Professional's commitments, as well as the inadequate provision of warranty assistance services on ASUS products and the charging of unjustified expenses contrary to professional diligence. This practice is attributable to ASUSTeK Italy, ASUS Europe, and ASUS Holland – hereinafter collectively referred to as ASUS or the ASUS group. More specifically, given the type of products (high-tech devices), ASUS has established and organized its own network of Technical Assistance Centers (hereinafter also CAT), within which it provides after-sales assistance for its products and, based on agreements with retailers, carries out the repair/replacement/refund of products that present defects even during the period covered by the legal warranty of conformity. Buyers of ASUS-branded products, in case of product malfunction, can therefore contact the nearest CAT through the retailer from whom they made the purchase, or by contacting it directly via the ASUS call center, as indicated on the professional's website and in the information documents related to the warranty. The procedure thus concerns the adoption by ASUS – the entity that essentially manages and decides every aspect related to the provision of the warranty – of unclear and incomplete information regarding the repair and replacement procedures and in any case such as not to ensure the consumer's effective exercise of their right to assistance also in relation to the legal warranty of conformity.</w:t>
      </w:r>
    </w:p>
    <w:p>
      <w:r>
        <w:t>b) the use of a telephone service with the prefix 199 for assistance related to ASUS products, attributable to Arvato.</w:t>
      </w:r>
    </w:p>
    <w:p>
      <w:r>
        <w:t>A) ASUS's conduct regarding the warranty</w:t>
      </w:r>
    </w:p>
    <w:p>
      <w:r>
        <w:t>7. The first commercial practice concerns, on the one hand, the inadequate information provided to consumers regarding their rights concerning the legal and conventional warranty and, on the other hand, the improper methods of providing assistance services by ASUS on its products. This practice consists of a plurality of conduct attributable, in particular, to the aspects illustrated below.</w:t>
      </w:r>
    </w:p>
    <w:p>
      <w:r>
        <w:t>A.1) Inadequate information on the warranty</w:t>
      </w:r>
    </w:p>
    <w:p>
      <w:r>
        <w:t>8. From an informational perspective, ASUS, in the specific "Warranty Information Form" attached to each product and available on its website, on the one hand, does not clearly identify the warranty offered as a manufacturer as conventional, and on the other hand, does not correctly illustrate the rights recognized by the Consumer Code regarding the legal warranty and does not adequately clarify that these rights remain in any case unaffected even in the face of the conventional warranty.</w:t>
      </w:r>
    </w:p>
    <w:p>
      <w:r>
        <w:t>A.2) Obstacles to the recognition of the warranty or imposition of excessive waiting for its provision.</w:t>
      </w:r>
    </w:p>
    <w:p>
      <w:r>
        <w:t>9. In particular, the provision of services related to assistance to consumers for ASUS products is in various cases denied or delayed by ASUS through the following conduct:</w:t>
        <w:br/>
        <w:t>i) failure to recognize the warranty through pretextual motivations and/or dilatory conduct;</w:t>
        <w:br/>
        <w:t>ii) systematic recourse to repair, through repeated interventions that result in excessively long times, instead of replacement (swap) or refund (Buy Back), which are only resorted to as a last resort;</w:t>
        <w:br/>
        <w:t>iii) failure to refund the purchase price of the product deemed non-repairable within a reasonable time.</w:t>
      </w:r>
    </w:p>
    <w:p>
      <w:r>
        <w:t>A.3) Unjustified charges to consumers for the provision of the legal warranty: request for payment in the face of the refused estimate</w:t>
      </w:r>
    </w:p>
    <w:p>
      <w:r>
        <w:t>10. Another unfair conduct consists of charging consumers fixed and predetermined expenses in a lump sum for verifying the conformity defect of the product, in cases where the contracted CAT does not recognize the product under warranty or judges the defect of conformity claimed by the customer to be non-existent.</w:t>
      </w:r>
    </w:p>
    <w:p>
      <w:r>
        <w:t>B) Use by Arvato of a telephone number with the prefix 199 for the provision of technical assistance services and the legal warranty concerning products sold through the ASUS e-shop</w:t>
      </w:r>
    </w:p>
    <w:p>
      <w:r>
        <w:t>11. Arvato, in its capacity as manager of the ASUS e-shop and, therefore, as an authorized retailer for the provision of technical assistance services and the legal warranty related to the products, has engaged in conduct consisting of indicating, without specifying the related costs, a telephone number with the prefix 199, excluded from the list of numbers allowed for "basic rate telephone communications."</w:t>
      </w:r>
    </w:p>
    <w:p>
      <w:r>
        <w:t>III. THE OUTCOMES OF THE PROCEDURE</w:t>
      </w:r>
    </w:p>
    <w:p>
      <w:r>
        <w:t>1) The procedure's process</w:t>
      </w:r>
    </w:p>
    <w:p>
      <w:r>
        <w:t>12. In relation to the conduct described above, on November 29, 2018, with communication prot. No. 79274, the PS8161 investigative procedure was initiated pursuant to Article 6 of the Regulation.</w:t>
      </w:r>
    </w:p>
    <w:p>
      <w:r>
        <w:rPr>
          <w:b/>
        </w:rPr>
        <w:t>[Pages 70–72]</w:t>
      </w:r>
    </w:p>
    <w:p>
      <w:r>
        <w:t>72 BULLETIN NO. 52 OF DECEMBER 30, 2019</w:t>
      </w:r>
    </w:p>
    <w:p>
      <w:r>
        <w:t>against ASUSTeK Italy and Arvato, aimed at verifying the following alleged violations of Articles 20, 21, 22, 24, 25, and 64 of the Consumer Code:</w:t>
      </w:r>
    </w:p>
    <w:p>
      <w:r>
        <w:t>1) with reference to the profiles of aggressiveness, it was contested, pursuant to Articles 20, 24, and 25 of the Consumer Code, the inadequate or denied performance of the warranty implemented through: i) the imposition of an excessive wait for the performance of the warranty or the failure to recognize it through various obstacles (inadequate repair and/or excessive wait for repair, often following the return of products that are still malfunctioning instead of their replacement; failure to recognize the legal warranty with pretextual reasons; failure to refund the purchase price of the product deemed non-repairable, as well as the replacement of the good with a product having inferior characteristics or refurbished and damaged); ii) the unjustified charging of costs for the performance of the legal warranty;</w:t>
      </w:r>
    </w:p>
    <w:p>
      <w:r>
        <w:t>2) with reference to the profiles of misleadingness, it was contested, based on Articles 21, paragraph 1, letters b), c), and g), of the Consumer Code, the lack of information regarding the legal warranty contained, in particular, in the specific information form;</w:t>
      </w:r>
    </w:p>
    <w:p>
      <w:r>
        <w:t>3) finally, it was alleged the provision of a premium-rate telephone number for the performance of the legal warranty related to products sold through the ASUS e-shop, in relation to the violation of Articles 21, paragraph 1, letter d), 22, 24, 25, as well as 64 of the Consumer Code.</w:t>
      </w:r>
    </w:p>
    <w:p>
      <w:r>
        <w:t>13. On December 5, 2018, inspections were carried out at the headquarters of ASUSTeK Italy and at a contracted CAT.</w:t>
      </w:r>
    </w:p>
    <w:p>
      <w:r>
        <w:t>14. On January 15 and 22, 2019, respectively, ASUSTeK Italy and Arvato submitted commitments aimed at removing the profiles of violation of the Consumer Code that were contested. By resolution of January 30, 2019, communicated to the Parties on January 31, 2019, the Authority rejected these commitments, as there was an interest in ascertaining and considering them unsuitable to remove the profiles of possible unfairness contested in the initiation communication of the procedure.</w:t>
      </w:r>
    </w:p>
    <w:p>
      <w:r>
        <w:t>15. On February 1, 2019, with communication prot. n. 15820, the procedure was subjectively extended to ASUS Europe and ASUS Holland, with a simultaneous extension of 60 days of the deadline for concluding the procedure.</w:t>
      </w:r>
    </w:p>
    <w:p>
      <w:r>
        <w:t>16. On April 17, 2019, Arvato responded to the request for information made concurrently with the initiation communication of the procedure.</w:t>
      </w:r>
    </w:p>
    <w:p>
      <w:r>
        <w:t>17. On April 24, 2019, the Parties were informed of the sixty-day extension of the deadline for concluding the procedure, in acceptance of the request made by ASUS.</w:t>
      </w:r>
    </w:p>
    <w:p>
      <w:r>
        <w:t>18. On May 21, 2019, ASUS also responded to the request for information made concurrently with the initiation communication of the procedure.</w:t>
      </w:r>
    </w:p>
    <w:p>
      <w:r>
        <w:t>19. On June 26, 2019, the hearing of representatives of ASUS took place, after which the group submitted, on July 19, 2019, a copy of the presentation illustrated in that venue, along with an integration of the information provided on May 21, 2019.</w:t>
      </w:r>
    </w:p>
    <w:p>
      <w:r>
        <w:t>20. On July 18, 2019, the Parties were informed of the sixty-day extension of the deadline for concluding the procedure for investigative needs, as decided by the Authority in the meeting of July 17, 2019.</w:t>
      </w:r>
    </w:p>
    <w:p>
      <w:r>
        <w:t>21. On July 26, 2019, pursuant to Article 16, paragraph 1, of the Regulation, the deadline for concluding the investigative phase was set for August 28, 2019.</w:t>
      </w:r>
    </w:p>
    <w:p>
      <w:r>
        <w:t>22. On August 1, 2019, ASUS provided an additional integration of the information provided on May 21, 2019.</w:t>
      </w:r>
    </w:p>
    <w:p>
      <w:r>
        <w:t>73 BULLETIN NO. 52 OF DECEMBER 30, 2019</w:t>
      </w:r>
    </w:p>
    <w:p>
      <w:r>
        <w:t>23. On August 6, 2019, the Parties were informed of the extension of the deadline for concluding the investigative phase and submitting documentation to September 30, 2019, in acceptance of the request made by ASUS and Arvato.</w:t>
      </w:r>
    </w:p>
    <w:p>
      <w:r>
        <w:t>24. On September 5, 2019, the Parties were informed of the consequent 60-day extension of the deadline for concluding the procedure, decided by the Authority in the meeting of September 4, 2019.</w:t>
      </w:r>
    </w:p>
    <w:p>
      <w:r>
        <w:t>25. On September 24, 2019, ASUS, in a collaborative perspective, provided information on the measures taken to remove some of the elements of unfairness of the contested conduct.</w:t>
      </w:r>
    </w:p>
    <w:p>
      <w:r>
        <w:t>26. On September 30, 2019, Arvato submitted its final memorandum.</w:t>
      </w:r>
    </w:p>
    <w:p>
      <w:r>
        <w:t>27. Similarly, on October 1, 2019, ASUS transmitted its final memorandum.</w:t>
      </w:r>
    </w:p>
    <w:p>
      <w:r>
        <w:t>28. Considering that the conduct in question was carried out, among other things, through the website www.asus.com.it, on October 14, 2019, a request was made, pursuant to and for the effects of Article 16, paragraphs 3 and 4, of the Regulation, to the Authority for Communications Guarantees, to express its opinion on the matter, which was communicated on November 14, 2019.</w:t>
      </w:r>
    </w:p>
    <w:p>
      <w:r>
        <w:t>2) The evidence acquired</w:t>
      </w:r>
    </w:p>
    <w:p>
      <w:r>
        <w:t>29. The investigative activity carried out in response to and integration of the reports received has allowed for a complete delineation of the profiles of unfairness of the commercial practice subject to this procedure, particularly regarding the informational and performance aspects of the warranty provided on ASUS products and the conduct carried out by Arvato, consisting of the use of a technical assistance telephone service with prefix 199, excluded from the list of numbers allowed for "basic rate telephone communications."</w:t>
      </w:r>
    </w:p>
    <w:p>
      <w:r>
        <w:t>A. The conduct of ASUS regarding information on the warranty and the provision of related assistance services</w:t>
      </w:r>
    </w:p>
    <w:p>
      <w:r>
        <w:t>A.1) The conduct of ASUS concerning the informational profiles of the warranty</w:t>
      </w:r>
    </w:p>
    <w:p>
      <w:r>
        <w:t>30. The information disseminated by ASUS regarding consumers' rights related to the warranty, through the "ASUS Warranty Information Form" (attached to each product and available at the link https://www.asus.com/support/images/pdf/I8549.pdf) does not clearly identify the warranty offered by the manufacturer as conventional, stating that "This ASUS warranty certificate (hereinafter referred to as 'Warranty') is granted by ASUSTeK Computer Inc. (hereinafter referred to as 'ASUS') to the customer (hereinafter referred to as 'You') of the ASUS product (hereinafter referred to as 'Product'). The warranty certificate is provided together with the Product and is subject to the following terms and conditions. ASUS service agents and repair centers will provide the service provided by this Warranty." This warranty has a duration of 12 months in the case of batteries, or a longer duration if defined by the label applied to the product (24 or 36 months from the date of purchase of the product).</w:t>
      </w:r>
    </w:p>
    <w:p>
      <w:r>
        <w:t>31. Furthermore, within the additional indications provided in point 1 of the Form in question, it is expressly stated that "ASUS guarantees that the Product is free from defects in materials and workmanship, for the Warranty period. If the product, during normal and appropriate use and within the Warranty period, has defects or malfunctions, it will be ASUS's responsibility to repair it or replace it with another product, new or refurbished, that is functionally equivalent or superior to the original product." ASUS, in presenting itself to consumers as the reference entity for the performance of services covered by the warranty, indicates the procedure to follow to request assistance, in case the problem cannot be resolved remotely: 1) first, it invites consumers to consult the ASUS technical support phone numbers (on the website http://asus.com/support); 2) secondly, it specifies the shipping methods of the product to the ASUS repair center according to the aforementioned "RMA" process. In particular, these methods require the completion of a specific form for the request for intervention, with the attached invoice/receipt of purchase, as well as the implementation of specific packaging methods for the good. Moreover, ASUS reserves the right to allow the consumer to choose to deliver the product directly to the store where it was purchased, or to pick it up at their address.</w:t>
      </w:r>
    </w:p>
    <w:p>
      <w:r>
        <w:t>32. In the context of the above-mentioned information regarding the warranty of the product against possible defects in materials or workmanship, which do not specify in any way the real nature of the warranty (conventional) described therein, a warning is included—under the title "Legal Warranty to the Customer"—according to which: "This Warranty is provided independently of any other form of legal warranty provided in the country of purchase and does not condition or limit such legal warranty in any way." This clarification should serve to inform consumers that the warranty advertised by ASUS is, in fact, an additional warranty compared to that already provided by law and activatable by the consumer at the point of sale. Upon closer examination, the generic wording of the aforementioned warning is evidently not suitable to adequately illustrate the rights recognized by the Consumer Code regarding the legal warranty and does not allow the consumer to understand which rights they are entitled to by law and which warranty to activate.</w:t>
      </w:r>
    </w:p>
    <w:p>
      <w:r>
        <w:t>33. In this regard, from the information provided by ASUS on May 21, 2019, in response to the request made in the initiation communication of the procedure, it is pointed out that on the website https://www.asusworld.it, accessible via a specific link from the website https://www.asus.com/it, a slightly more detailed information is available. However, despite the fact that in this context the conventional warranty is identified in a less generic manner and a reference is made to the extension of the warranty, the standard indication following the indication of the duration of the possible conventional warranty, which may vary from product to product, is as follows: "(1) 'Conventional warranty' means the additional warranty that may be offered by the manufacturer or seller. For details, refer to the ASUS warranty conditions. This warranty is in addition to the legal warranty that is always due to the consumer. 'Legal warranty' means the warranty provided in the Consumer Code, which applies to sales contracts of movable goods between seller and consumer and has a duration of two years from delivery and is valid nationwide. 'Consumer' means the natural person acting for purposes unrelated to their entrepreneurial, commercial, artisanal, or professional activity that may be carried out."</w:t>
      </w:r>
    </w:p>
    <w:p>
      <w:r>
        <w:rPr>
          <w:b/>
        </w:rPr>
        <w:t>[Pages 73–75]</w:t>
      </w:r>
    </w:p>
    <w:p>
      <w:r>
        <w:t>BULLETIN NO. 52 OF DECEMBER 30, 2019 75</w:t>
      </w:r>
    </w:p>
    <w:p>
      <w:r>
        <w:t>territorial and duration aspects, there is still a lack of even a brief description of the rights recognized to the consumer in relation to the lack of conformity, suitable to clarify that the advertised indications refer to the conventional warranty and that the latter is in addition to that provided by law.</w:t>
      </w:r>
    </w:p>
    <w:p>
      <w:r>
        <w:t>34. The form in question (I8549 v3), although ASUS stated in its final memorandum that it would no longer be in use (without indicating when it would have been replaced), was still available (Form I8549 v3) at the link mentioned above as of June 25, 2019. Finally, the structure of this form, as can be easily inferred from the first page (which must be filled out with data relating to the customer, the retailer, the product, and the purchase date), immediately makes its specific destination for product packaging perceivable (as expressly stated in the form itself: “The warranty certificate is provided together with the Product”), which makes it difficult to assert its ceased distribution (due to both the different production and market release dates of the goods, and the clarification contained in the same final memorandum that the proposed changes to improve the form “will then be implemented on the various forms related to each individual ASUS product currently in force”).</w:t>
      </w:r>
    </w:p>
    <w:p>
      <w:r>
        <w:t>A.2) ASUS's conduct regarding the provision of the warranty</w:t>
      </w:r>
    </w:p>
    <w:p>
      <w:r>
        <w:t>35. In addition to the obstacle to the exercise of the protections due to purchasers of ASUS products, resulting from the inadequate information regarding the warranty outlined above, the investigative findings prove the incorrectness of the methods adopted by ASUS for the provision of technical assistance on its products with reference to both the legal warranty regime and the central role played by the same and the discretion exercised in carrying out the technical assistance activity.</w:t>
      </w:r>
    </w:p>
    <w:p>
      <w:r>
        <w:t>36. First of all, the agreements with the CAT regarding the provision of technical assistance on ASUS products are concluded by ASUS Holland, the group company responsible for managing assistance for the entire European market and to which the various contact centers, both telephone and online, available to Italian customers directly report. In this regard, ASUS itself clarified, in the information provided on July 19, 2019, that the methods for opening the intervention ticket are not differentiated based on the operating warranty regime, since it is the IT system that determines, automatically and solely based on the mere purchase date of the good, whether assistance is provided under the conventional or legal warranty.</w:t>
      </w:r>
    </w:p>
    <w:p>
      <w:r>
        <w:t>37. Furthermore, the commercial agreements (or, more often, specific attachments to them), concluded with retailers directly by the parent company (ASUS Global Pte Ltd.) or by authorized distributors operating in the Italian market, contain specific provisions regarding the provision of the legal warranty of conformity, which are articulated in a series of procedures dictated by ASUS itself for the valid recognition of the warranty. Moreover, the investigative evidence clearly showed that ASUSTeK Italy, on various occasions, actively intervenes as a counterpart in the negotiation and preparation or summary of the contractual conditions with the Italian counterparts, especially concerning the determination of the times and methods of repair and replacement, largely parameterized based on criteria and choices of ASUS itself.</w:t>
      </w:r>
    </w:p>
    <w:p>
      <w:r>
        <w:t>38. Also in relation to the management methods of the legal warranty, the manager of the ASUS e-shop, namely Arvato, in response to the request for information, stated that the two Companies collectively manage only the warranty requests submitted by consumers within 14 days of purchase, while “all requests made by consumers beyond 14 days from the purchase are managed directly by ASUS. Arvato is only involved in the event that, following a decision made by ASUS, Arvato must initiate a refund procedure in favor of the consumer; ASUS informs Arvato when a refund procedure must be managed by the latter. In this case, Arvato receives from ASUS a credit note related to the aforementioned refund and begins the refund procedure in favor of the consumer.” Furthermore, the management of the assistance provided by the CAT and the assessment of the charge of diagnostic costs are exclusively the responsibility of ASUS.</w:t>
      </w:r>
    </w:p>
    <w:p>
      <w:r>
        <w:t>39. Moreover, in the updated version of the “Warranty Information Form” (attached to ASUS's final memorandum), a paragraph titled “Information pursuant to Legislative Decree 6.9.2005 (hereinafter the “Consumer Code”)” is included, which informs that “this Warranty has been drafted in accordance with the provisions of Article 133 of the Consumer Code and you also hold the rights provided for by Articles 128 et seq. of the Consumer Code (hereinafter “Legal Warranty”) and this Warranty does not prejudice such rights.” It is also specified that “This Warranty is provided independently and in addition to any other form of legal warranty provided in the country of purchase and does not condition or limit such legal warranty in any way. In Italy, the Legal Warranty is governed by Articles 128 et seq. of the Consumer Code” (emphasis in the original).</w:t>
      </w:r>
    </w:p>
    <w:p>
      <w:r>
        <w:t>40. In this regard, in the section of this form specifically dedicated to the “Legal Warranty for the consumer,” within the description of the rights deriving from Article 130 of the Consumer Code, it is specified that the consumer has the right to a reasonable reduction in price or to the resolution of the contract, in the event that, among other things, “ASUS has not provided for repair or replacement within a reasonable time.” This indication refers to the inadequate provision of assistance by ASUS in relation to the legal warranty. ASUS also adds that “If the consumer intends to avail themselves of the remedies provided by the Legal Warranty and decides to request them directly from the Manufacturer (i.e., ASUS) and not from the seller, they must contact customer service at the number 0697.626662 or refer to the information provided on the official ASUS website and available at the following address/link: https://www.asusworld.it/it-IT/support/.” Accordingly, at the bottom of the section dedicated to the legal warranty, the procedures for shipping the product to the ASUS repair center are described.</w:t>
      </w:r>
    </w:p>
    <w:p>
      <w:r>
        <w:t>41. That said regarding the organizational and contractual methods of providing technical assistance services on ASUS products, as far as the concrete conduct consisting of the failure or inadequate provision of the legal warranty by ASUS is concerned, the inspection activity carried out has allowed for the discovery of numerous confirmations of a series of behaviors overall aimed at denying and/or delaying the resolution intervention of the defects presented by the products, in order to contain the costs related to the provision of the warranty, resorting, as long as possible, to cheaper remedies (often proving to be useless) and thereby inducing the consumer to give up asserting their rights.</w:t>
      </w:r>
    </w:p>
    <w:p>
      <w:r>
        <w:t>42. The evidence acquired in the records fully confirms this obstructive policy of ASUS, as can also be inferred from internal communications within the group, in which the Professional invites the various interested structures to evaluate the possible adoption of cost containment measures that, however, would negatively impact the provision of the warranty, to the detriment of the legitimate needs of consumers. Reference is made, for example, to the measure aimed at replacing the product only after the fourth repair or to the extension of the warranty duration, or to the prolongation of repair times beyond which a refund to the customer is provided.</w:t>
      </w:r>
    </w:p>
    <w:p>
      <w:r>
        <w:t>43. In particular, the inspection documentation has allowed for the identification of the specific conduct through which the aforementioned dilatory and obstructive policy adopted by ASUS in providing the services related to the warranty on ASUS products is articulated, as detailed below.</w:t>
      </w:r>
    </w:p>
    <w:p>
      <w:r>
        <w:t>i) Refusal of warranty provision and dilatory attitude</w:t>
      </w:r>
    </w:p>
    <w:p>
      <w:r>
        <w:t>44. First of all, ASUS adopts a clearly dilatory attitude towards consumers who request the replacement or repair of a product that presents conformity defects or who complain about issues related to the provision of the warranty (delay, inadequate and repeated repair) or who request compensation for damages or payment of legal fees using standard response models, essentially designed to delay, thus inducing the dissatisfied customer to desist or, in case of their insistence, simultaneously activating internal procedures for managing the problem.</w:t>
      </w:r>
    </w:p>
    <w:p>
      <w:r>
        <w:t>45. In particular, the inspection evidence has shown that the approximately 300 complaints sent to ASUS and classified as legal in nature are managed according to this scheme, based on the systematic approach.</w:t>
      </w:r>
    </w:p>
    <w:p>
      <w:r>
        <w:rPr>
          <w:b/>
        </w:rPr>
        <w:t>[Pages 76–78]</w:t>
      </w:r>
    </w:p>
    <w:p>
      <w:r>
        <w:t>78 BULLETIN NO. 52 OF DECEMBER 30, 2019</w:t>
      </w:r>
    </w:p>
    <w:p>
      <w:r>
        <w:t>recourse to interim responses sent to the customer or to the lawyer representing them (in the latter case also by ASUS Legal)18, while cases that appear relevant (or not manageable by the legal service alone) are handled by ASUSTeK Italy through the so-called Escalation procedure - described further on - by directly contacting the customer or their lawyer for a settlement solution. Other complaints, submitted by customers directly or through sellers, are managed through an exchange of emails, both with the latter and internally within ASUSTeK Italy, generally in a contingent manner and without a specific procedure, unless it is deemed appropriate to handle some through Escalation19.</w:t>
      </w:r>
    </w:p>
    <w:p>
      <w:r>
        <w:t>46. The aforementioned modus operandi, based on the systematic use of generic interim responses provided along the lines of standard templates, has so far been widely implemented by ASUSTeK Italy, as evidenced by the fact that such template responses consistently recur within the replies to consumer complaints and are cited in internal emails, where reference is made to the "usual response" or to substantially equivalent expressions20. As can be inferred from the documents presented below, this indication is given even in cases where the customer's reasons appear prima facie plausible or, indeed, on the face of it worthy of acceptance, so much so that in several instances, despite the negative feedback provided to the customer, ASUS initiates procedures to ensure a satisfactory outcome of the complaint. In other cases, the Professional merely replies to the customer's (or their lawyer's) initial request with the aforementioned standardized response, not following up on claims that, while appearing legitimate, are not reiterated by the customer21.</w:t>
      </w:r>
    </w:p>
    <w:p>
      <w:r>
        <w:t>47. To demonstrate this practice, the following evidentiary findings are significant:</w:t>
        <w:br/>
        <w:t>- in an internal email from ASUSTeK Italy, prompted by ASUS Holland, it considers its templates valid, expressly used to "respond/delay" with customers who contact ASUS technical support, containing the following message: "First of all, we clarify that ASUSTeK Italy S.r.l. does not produce, sell, or provide repair services for personal computers or other various components, exclusively carrying out marketing activities on behalf of Asus Europe B.V. (so-called “ASUS”) based in the Netherlands. Our company therefore does not provide either sales or repair services for [...] and therefore cannot be considered a legitimate passive party to the requests you have made in your communication."</w:t>
      </w:r>
    </w:p>
    <w:p>
      <w:r>
        <w:t>18 The procedure is detailed in doc. 103 of the List of inspection documents DVD annex III to the inspection report ASUSTeK Italy. This interim response was provided, for example, to the lawyer of the consumer who sent the report prot. no. 28251 of April 8, 2016, but it is used, more generally, as a reply to almost all the complaints reported hereafter.</w:t>
      </w:r>
    </w:p>
    <w:p>
      <w:r>
        <w:t>19 Indicative in this regard appears the conduct held by ASUS towards the sender of the report prot. no. 39796 of May 11, 2017 (who, although practicing as a lawyer, clarifies that he purchased a mobile phone as a consumer): although ASUSTeK Italy on May 12, 2017 provides negative feedback (through the usual standard letter) to the two replacement requests made following a non-resolutive repair, just 7 days later ASUS Legal offers a full refund of the purchase price, while reiterating ASUSTeK Italy's extraneousness to the customer's claims (cf. docs. 200 and from 555 to 557 of the List of inspection documents DVD annex II to the inspection report ASUSTeK Italy). In this case as well, the aforementioned modus operandi recurs for a good part of the complaints reported below.</w:t>
      </w:r>
    </w:p>
    <w:p>
      <w:r>
        <w:t>20 See, for example, docs. 405, 522, 670, 688 of the List of inspection documents DVD annex II to the inspection report ASUSTeK Italy.</w:t>
      </w:r>
    </w:p>
    <w:p>
      <w:r>
        <w:t>21 See, for example, the usual dilatory response provided to the letter of formal notice from a lawyer who complains about the lack of refund in favor of his client for a mobile phone declared non-repairable by ASUS assistance (docs. 743 and 744 of the List of inspection documents DVD annex II to the inspection report ASUSTeK Italy).</w:t>
      </w:r>
    </w:p>
    <w:p>
      <w:r>
        <w:t>BULLETIN NO. 52 OF DECEMBER 30, 2019 79</w:t>
      </w:r>
    </w:p>
    <w:p>
      <w:r>
        <w:t>We therefore consider the complaints you reported in the letter in question to be overcome and we extend our best regards/With this we reject any request for reimbursement of expenses incurred / compensation for damages as they are generic and unfounded requests”22;</w:t>
      </w:r>
    </w:p>
    <w:p>
      <w:r>
        <w:t>- in the "Legal Form" folder, found on the computer used by the Service Regional Manager of ASUSTeK Italy, there are various templates for initial dilatory responses to be provided to customers who directly contact the aforementioned company23, which (at least at first) declares itself incompetent regarding any request, exclusively carrying out marketing activities on behalf of ASUS Europe and not providing sales or repair services (possibly providing some operational indication on the recipient of the requests)24;</w:t>
      </w:r>
    </w:p>
    <w:p>
      <w:r>
        <w:t>- in other emails, also in a dilatory perspective and to limit the involvement of ASUSTeK Italy, as early as 2015 the legal service (ASUS Legal) invites to suspend reading the certified emails, to avoid sending customers and lawyers the confirmation of reading25, while the management of the Italian company points out that Customer Care should not direct consumers to it but, on the contrary, deny that it plays a role in customer assistance (moreover, in response to a complaint from a customer who expressly refers to the legal warranty period still not expired for the product he purchased)26.</w:t>
      </w:r>
    </w:p>
    <w:p>
      <w:r>
        <w:t>48. As mentioned, from the inspection documentation it thus appears evident that ASUSTeK Italy actively manages customer complaints, interfacing with other companies in the group (mainly with ASUS Holland) to propose, in particular, a solution subject to the validation of its competent structures. This interaction takes place through the aforementioned Escalation procedure27, articulated on two vertical levels (local Service Manager or – in the case of Buy Back, which will be discussed further – European and European Service Director) and on horizontal collaboration between the various teams and offices involved, generally used for all cases that do not follow standard processes and/or involve additional costs for ASUS (such as the full refund of the purchase price of the non-repairable product, cases of replacement deemed doubtful, recognition of the defect of conformity initially denied or additional sums as compensation28). In such cases, within the aforementioned procedure, a reconstruction of the Case history is also provided for the benefit of the higher levels of ASUS, highlighting how the higher costs serve to avoid the opening of litigation.</w:t>
      </w:r>
    </w:p>
    <w:p>
      <w:r>
        <w:t>22 Doc. 167 of the List of inspection documents DVD annex II to the inspection report ASUSTeK Italy.</w:t>
      </w:r>
    </w:p>
    <w:p>
      <w:r>
        <w:t>23 The templates can be found in docs. from 2141 to 2146 of the List of inspection documents DVD annex II to the inspection report ASUSTeK Italy.</w:t>
      </w:r>
    </w:p>
    <w:p>
      <w:r>
        <w:t>24 The use of such a response is already evident from a certified email sent by ASUSTeK Italy on April 21, 2014, which is included among the attachments to the report prot. no. 23952 of April 22, 2014.</w:t>
      </w:r>
    </w:p>
    <w:p>
      <w:r>
        <w:t>25 Doc. 175 of the List of inspection documents DVD annex II to the inspection report ASUSTeK Italy.</w:t>
      </w:r>
    </w:p>
    <w:p>
      <w:r>
        <w:t>26 Doc. 2114 of the List of inspection documents DVD annex II to the inspection report ASUSTeK Italy.</w:t>
      </w:r>
    </w:p>
    <w:p>
      <w:r>
        <w:t>27 Thus doc. 10 of the List of inspection documents DVD annex III to the inspection report ASUSTeK Italy, which outlines the essential features of the procedure. Reports related to the procedure are available in docs. 166 and 185 of the List of inspection documents DVD annex II to the inspection report ASUSTeK Italy.</w:t>
      </w:r>
    </w:p>
    <w:p>
      <w:r>
        <w:t>28 Such as, for example, compensation for additional damages claimed for the inconvenience suffered and reimbursement of legal expenses: see, for example, docs. from 1828 to 1835 of the List of inspection documents DVD annex II to the inspection report ASUSTeK Italy, from which it emerges that a consumer (sender of the report prot. no. 60975 of September 23, 2016), after the initial usual denial, was granted a refund including the aforementioned items.</w:t>
      </w:r>
    </w:p>
    <w:p>
      <w:r>
        <w:t>80 BULLETIN NO. 52 OF DECEMBER 30, 2019</w:t>
      </w:r>
    </w:p>
    <w:p>
      <w:r>
        <w:t>49. Further confirmation of the active role played by ASUS in providing assistance services and managing related complaints emerges from the information provided by the Professional on May 21, 201929, indicating that ASUSTeK Italy can provide ASUS Holland with ancillary services such as: i) information regarding the performance of the contracted CATs and call centers; ii) telephone technical assistance to customers regarding ASUS products; iii) assistance regarding "warranty claims and possible conflicts, collecting and archiving the related requests," as well as acting as a point of contact between ASUS Holland and the law firms designated for the extrajudicial management of disputes.</w:t>
      </w:r>
    </w:p>
    <w:p>
      <w:r>
        <w:t>Obstacles related to the type of proof of purchase</w:t>
      </w:r>
    </w:p>
    <w:p>
      <w:r>
        <w:t>50. Also from the perspective of obstacles to the recognition of the warranty, an internal email within the ASUS group dated November 8, 201830, which invites acceptance of the Amazon sales order receipt as valid proof of purchase starting the following day, highlights what the different practice had been until then followed by the Company and fully corroborates the reports complaining about the denial of assistance opposed by ASUS in response to the presentation of such a document, prior to that date31.</w:t>
      </w:r>
    </w:p>
    <w:p>
      <w:r>
        <w:t>51. In this communication, an employee of ASUSTeK Italy writes verbatim to some colleagues of the same company and other structures of the ASUS group, referring to the sales order receipt attached to the email: "From tomorrow for Amazon customers, the type of document attached can be considered valid, it is important that it contains all the data and that they obviously match. This is because unfortunately Amazon in various situations (external retailers, stores that have ceased collaboration with Amazon, etc.) does not provide further documents and refers the customer to Asus assistance, generating a high flow of emails, calls, etc., and leading the customer to complain in various sectors online (...). Please call the customer from this morning and tell him that, exceptionally, the manager he referred to for the entire call has decided to accept the document."</w:t>
      </w:r>
    </w:p>
    <w:p>
      <w:r>
        <w:t>ii) inadequate performance of the repair, remedy chosen by the professional instead of replacement (swap) or refund (Buy Back)</w:t>
      </w:r>
    </w:p>
    <w:p>
      <w:r>
        <w:t>52. The documentation found during the inspections allows understanding the criteria for choosing between repair and replacement and the related impacts on the repair times expected by ASUS. The issue that emerges most clearly in this regard is the repeated recourse to repair, resulting in prolonged timelines, when the first is non-resolutive and necessitates further and multiple repair interventions on the products. This circumstance naturally generates the opening of a high number of assistance interventions (RMA, i.e., repair authorizations, as mentioned) which, in response to the information request of May 21, 2019, ASUS quantifies in a total ranging between 100,000 and 200,000 for each of the years from 2015 to 2018.</w:t>
      </w:r>
    </w:p>
    <w:p>
      <w:r>
        <w:t>53. In this regard, ASUS shows itself fully aware of the application of non-definitive and short-term solutions, likely to determine repeated returns for assistance of the products.</w:t>
      </w:r>
    </w:p>
    <w:p>
      <w:r>
        <w:t>29 Prot. no. 32769 of May 21, 2019.</w:t>
      </w:r>
    </w:p>
    <w:p>
      <w:r>
        <w:t>30 Doc. 5935 of the List of inspection documents DVD annex II to the inspection report ASUSTeK Italy.</w:t>
      </w:r>
    </w:p>
    <w:p>
      <w:r>
        <w:t>31 See the reports prot. no. 78907 of October 23, 2017, and prot. no. 43201 of May 23, 2018.</w:t>
      </w:r>
    </w:p>
    <w:p>
      <w:r>
        <w:rPr>
          <w:b/>
        </w:rPr>
        <w:t>[Pages 79–81]</w:t>
      </w:r>
    </w:p>
    <w:p>
      <w:r>
        <w:t>BULLETIN NO. 52 OF DECEMBER 30, 2019</w:t>
      </w:r>
    </w:p>
    <w:p>
      <w:r>
        <w:t>81</w:t>
      </w:r>
    </w:p>
    <w:p>
      <w:r>
        <w:t>In fact, the correlation between the quality level of repairs and the need for their repetition is highlighted by the ASUSTeK Italy staff itself, which, sharing via email the slide (see Image 1) of a corporate presentation regarding the ECN and RCN repair procedures (types of intervention with long-term and short-term effectiveness, respectively), comments: “We admit to applying non-definitive solutions (RCN) that could cause multiple returns”32.</w:t>
      </w:r>
    </w:p>
    <w:p>
      <w:r>
        <w:t>Image 1* [omitted]</w:t>
      </w:r>
    </w:p>
    <w:p>
      <w:r>
        <w:t>54. In another email specifically regarding the issue of multiple returns, ASUSTeK Italy identifies some cases of imperfect repairs, and therefore susceptible to generating the need for further assistance interventions, carried out by the CAT: “product assembly not performed to standard, including any scratches and/or missing keys not declared at the time of product acceptance by ASP” and “downgrade of the replacement parts replaced in the repair process”33.</w:t>
      </w:r>
    </w:p>
    <w:p>
      <w:r>
        <w:t>55. In particular, the persistent recourse to multiple non-resolutive repair interventions is evidenced by the documentation relating to the following cases, all reported via email to ASUSTeK Italy by the customer care of the UNIEURO chain:</w:t>
        <w:br/>
        <w:t>- to a consumer who expressly requested the replacement of the good after the second return for assistance, the product is returned twice in a row by the CAT, presenting the complained defect which was also found by the retailer (after a first successful return for a different problem)34;</w:t>
        <w:br/>
        <w:t>- in another case, the series of non-resolutive interventions continues up to the fifth attempt and the exceeding of the legal warranty period; significantly, the point of sale notes in its emails that “The product in question has already been sent for assistance four times, always being poorly repaired, as shortly after the customer returned it to me with similar or even identical problems. The customer, as you can imagine, is really furious and threatens legal actions as well as physical actions against the store; she requests, as is right, the replacement and in my opinion she is also right as the laptop has never worked well. I ask you to manage this problem as soon as possible as it is no longer possible for us to face this situation and the customer does not want to hear about repair again,” while customer care informs ASUSTeK Italy that “The customer is really angry and wants the product replaced as it is the 4th/5th return. She said she will contact a lawyer if she cannot resolve it with us”35;</w:t>
      </w:r>
    </w:p>
    <w:p>
      <w:r>
        <w:t>32 Doc. 5936 of the List of inspection documents DVD annex II to the inspection report ASUSTeK Italy.</w:t>
        <w:br/>
        <w:t>* In this version, some data are omitted, as elements of confidentiality or secrecy of the information were deemed to exist.</w:t>
        <w:br/>
        <w:t>33 Doc. 154 of the List of inspection documents DVD annex III to the inspection report ASUSTeK Italy.</w:t>
        <w:br/>
        <w:t>34 Doc. 18 of the List of inspection documents DVD annex II to the inspection report ASUSTeK Italy.</w:t>
        <w:br/>
        <w:t>35 Doc. 30 of the List of inspection documents DVD annex II to the inspection report ASUSTeK Italy.</w:t>
      </w:r>
    </w:p>
    <w:p>
      <w:r>
        <w:t>82</w:t>
      </w:r>
    </w:p>
    <w:p>
      <w:r>
        <w:t>- in a third case, similarly, the existence of an unresolved defect during the second repair attempt causes the problem to persist beyond the legal warranty period, resulting in a third return to technical assistance36;</w:t>
        <w:br/>
        <w:t>- in two other cases related to defective laptops, the email reporting to ASUS draws attention to the fifth return for repair of the product37 and, for one of them, it specifies that “The product is at the 5th repair, I ask you to evaluate the credit, the customer is very angry”38.</w:t>
        <w:br/>
        <w:t>- minimum number of repairs before the possible choice of an alternative remedy</w:t>
      </w:r>
    </w:p>
    <w:p>
      <w:r>
        <w:t>56. From the numerous documents acquired during the inspection, it emerges that ASUS, in general, provides for the replacement or refund of the product only after having unsuccessfully attempted three repair attempts39, according to a detailed procedure that requires validation by ASUS Holland and which will be better illustrated later. From the reports prepared by ASUS and found during the inspection40, the total number of replacements and refunds related to products that have recorded various repair attempts following multiple returns amounts to several thousand per year: the products replaced or refunded following a multiple number of repairs are about 3,000 in 201441, about 2,100 in 2015, about 3,800 in 2016, about 3,700 in 201742, and about 2,500 in 2018. Moreover, from the analysis of the data contained in the document just mentioned in the note, it can be inferred that in 2017 for over 2,000 customers, the wait for multiple repairs exceeded 100 days, with peaks of 1,000.</w:t>
      </w:r>
    </w:p>
    <w:p>
      <w:r>
        <w:t>57. The reports related to the analysis of customer comments in response to service quality surveys43 highlight inadequate repairs with specific reference to timing, reaching peaks of over 200 days for a single repair. From an examination of the comments expressed by dissatisfied customers (both in terms of quality and length of repair), summarized in a specific column of the reports, it also emerges that in not infrequent cases, the wait for the return of the product (following one or more often unsuccessful attempts) exceeds four months.</w:t>
      </w:r>
    </w:p>
    <w:p>
      <w:r>
        <w:t>58. Moreover, it has already been reported how the minimum number of three repairs is not only confirmed but also deemed insufficient in an internal email to the ASUS group from August 2017, where the possible adoption, as a cost containment measure, of resorting to product replacement only after the fourth repair attempt44: despite this indication being given pro forma, in various cases ASUS has opted for a fourth or fifth repair attempt, as illustrated below. Further evidence of this obstructive corporate policy is provided by another internal email to ASUS regarding the actions to be taken to address the numerous defects found in certain smartphone models, in which it is proposed to proceed with replacement or refund only after the second unsuccessful repair of the product, specifying that in general such remedies are adopted after three or more assistance interventions on the defective good and at the customer's request45. On the other hand, in an internal email to ASUSTeK Italy, there is the following unequivocal indication: “Conditions for replacement to the customer in case of inconveniences: the product is replaced upon the occurrence of the problem at the third hardware repair intervention under warranty”46.</w:t>
      </w:r>
    </w:p>
    <w:p>
      <w:r>
        <w:t>59. The preference given by ASUS to multiple repairs, instead of other remedies, is largely explained based on the agreements made with the Authorized Service Providers (ASP), which coincide with the companies to which the technical assistance centers (CAT) belong, particularly concerning the cost-sharing mechanism: in cases where the responsibility for the imperfect repair is to be attributed to them, ASUS can transfer the related economic burdens47.</w:t>
      </w:r>
    </w:p>
    <w:p>
      <w:r>
        <w:t>60. From the investigative evidence, as mentioned, a different method of managing complaints and providing technical assistance by ASUS is evident, implemented where the risk of legal actions is found. This commercial policy clearly emerges, for example, from an email in which the UNIEURO GDO chain appeals precisely to the legal nature of the complaint (advanced in this case through ADICONSUM) to obtain – contrary to the usual new repair attempt proposed to other customers – the replacement of the defective computer48: in compensation policy, like prolong the TAT before CB/swap, compensate the multiple return cases only when it up to 4th time HW repair…etc.”.</w:t>
      </w:r>
    </w:p>
    <w:p>
      <w:r>
        <w:t>45 See doc. 177 of the List of inspection documents DVD annex II to the inspection report ASUSTeK Italy.</w:t>
        <w:br/>
        <w:t>46 See doc. 5966 of the List of inspection documents DVD annex II to the inspection report ASUSTeK Italy.</w:t>
        <w:br/>
        <w:t>47 Precisely from the perspective of cost charging, in a previously mentioned email regarding multiple returns, ASUSTeK Italy also identifies as cases of imperfect repairs by the CAT “product assembly not performed to standard, including any scratches and/or missing keys not declared at the time of product acceptance by ASP” and “downgrade of the replacement parts replaced in the repair process”: in such cases, the cost of replacement parts and related transport is deducted from the amounts due to the CAT, to which the payment for the repair is not made (doc. 154 of the List of inspection documents DVD annex III to the inspection report ASUSTeK Italy). In general, the agreement with the ASP provides for a maximum term (so-called TAT, Turn Around Time) of 3 actual working days for the repair of products; if this term is exceeded, ASUS reserves the right on the one hand to deduct from the amount due for the repair 12.5% for each day of delay (up to the fourth, for a maximum of 50%), and on the other hand to issue a credit note to the customer instead of completing the repair once 14 days have passed, charging the ASP an amount equal to 105% of the purchase price of the product (in this regard, see docs. 7 and 8 of the List of inspection documents DVD annex III to the inspection report Video Pacini, containing the Service Agreements entered into with this ASP by ASUS Holland respectively in 2015 and 2018). Additionally, the performance indicators set by ASUS (KPI, Key Performance Indicator) require that the repair be completed within 5 working days in at least 90% of cases (doc. 6065 of the List of inspection documents DVD annex II to the inspection report ASUSTeK Italy). Based on these criteria, ASUSTeK Italy conducts daily monitoring of the performance of the CAT, which is then summarized in periodic reports (docs. 5880 to 5912 of the List of inspection documents DVD annex II to the inspection report ASUSTeK Italy). More generally, the service agreement with the ASP Video Pacini provides that, in the case of multiple returns within 3 months for which responsibility can be attributed to the CAT, ASUS may not recognize the payment for the repair and, in the case of a transaction with the customer, charge the ASP an amount equal to 105% of the purchase price of the product, plus transport costs and any damages awarded to the customer (in this regard, see the aforementioned docs. 7 and 8 of the List of inspection documents DVD annex III to the inspection report Video Pacini).</w:t>
      </w:r>
    </w:p>
    <w:p>
      <w:r>
        <w:t>48 Doc. 27 of the List of inspection documents DVD annex II to the inspection report ASUSTeK Italy.</w:t>
      </w:r>
    </w:p>
    <w:p>
      <w:r>
        <w:rPr>
          <w:b/>
        </w:rPr>
        <w:t>[Pages 82–84]</w:t>
      </w:r>
    </w:p>
    <w:p>
      <w:r>
        <w:t>84 BULLETIN NO. 52 OF DECEMBER 30, 2019</w:t>
      </w:r>
    </w:p>
    <w:p>
      <w:r>
        <w:t>response, ASUSTeK Italy contacts the parent company according to the aforementioned Escalation procedure to initiate the product replacement process.</w:t>
      </w:r>
    </w:p>
    <w:p>
      <w:r>
        <w:t>61. From an additional internal email within the ASUS group, which comments on the content of a complaint published on Facebook by a consumer who, after sending the product for assistance only once, received a refund from her seller, it is confirmed that the replacement or refund recognized by the seller after a single unsuccessful repair is considered by ASUS an exceptional event, in which it is the seller's autonomous choice that allows the customer to obtain "everything they are entitled to by law even if they have had only one repair," provided that the distribution agreement does not foresee particular modalities. To support this, it is highlighted that in response to the claims made by the same consumer (sender of report no. 25347 of March 6, 2018) after a first repair, ASUS technical support replied by requesting a second repair submission (see response included in the aforementioned report), while ASUSTeK Italy responded with the usual interim letter (inviting, this time, to contact the retailer) to the lawyer's correspondence.</w:t>
      </w:r>
    </w:p>
    <w:p>
      <w:r>
        <w:t>Product Replacement (Swap)</w:t>
      </w:r>
    </w:p>
    <w:p>
      <w:r>
        <w:t>62. The remedial action consisting of the replacement of the defective product (swap) is considered by ASUS, as seen, only after the third unsuccessful repair attempt, and is decided at the end of a complex process articulated in various steps, some of which are alternative to each other, as fully emerges from the description of the procedures through which the interaction between the various ASUS structures, the CAT, and the customers takes place for the choice of remedy. It is up to a specific team established within ASUSTeK Italy (which in the process in question has as its sole interlocutor the CAT, to which responsibilities and costs may be attributed) to evaluate the appropriateness of the swap.</w:t>
      </w:r>
    </w:p>
    <w:p>
      <w:r>
        <w:t>63. The examination by ASUS of customer complaints (processed through the aforementioned Escalation procedure) confirms—consistent with what has already been noted previously—that the recourse to product replacement or full refund of its price (to which legal fees and damages may be added) is constantly justified by ASUSTeK Italy with the opportunity to avoid a legal action by the customer. This conduct therefore demonstrates that the Professional, in numerous cases of multiple or excessively prolonged repairs, instead of automatically following its replacement or refund procedures, procrastinates the definitive solution and arrives at the resolution of the dispute only after a significant number of repair attempts, as evidenced by documentation reporting cases of as many as 455 or even 5-6 unsuccessful repairs over a period of 11 months, between the originally purchased product and the replacement.</w:t>
      </w:r>
    </w:p>
    <w:p>
      <w:r>
        <w:t>64. In particular, within the documentation related to the aforementioned case in which the defective product underwent 5 repairs over a period of 11 months, there are the 4 RMAs opened on each occasion of non-resolutive repair on the original product (carried out over a period of more than 9 months, between May 6, 2017—i.e., less than 15 days from the date of purchase of the product—and February 16, 2018) and the last RMA opened for an additional intervention on the replacement product (requested on March 27, 2018, also in this case less than 15 days from the delivery of the replacement product); the Legal case history prepared by ASUSTeK Italy after summarizing this troubled process informs the higher levels of ASUS of the agreements made with the customer's lawyer in order to avoid litigation (specifically the total refund of the price of the good plus damages), illustrated under the standard title "ASUS offer to the customer in order to avoid going to Court."</w:t>
      </w:r>
    </w:p>
    <w:p>
      <w:r>
        <w:t>65. To confirm the prudent practice adopted by ASUS in case of recourse by the consumer to a lawyer, the documentation showing that consumers who request an alternative remedy after three unsuccessful repairs by contacting a lawyer, after receiving an interim response, are contacted for the replacement of the product, while those who submit their request personally or through the retailer are invited to send the product back for repair, even up to the fifth time. Exemplifying this attitude is the internal email to ASUSTeK Italy forwarding the certified email from a customer's lawyer requesting the replacement of a mobile phone subject to 3 unsuccessful repair attempts, which contains the following invitation: "can you please check if the swap has been managed and if we have responded to the lawyer with the standard response?"</w:t>
      </w:r>
    </w:p>
    <w:p>
      <w:r>
        <w:t>66. In contrast, the investigative evidence reveals a very different treatment reserved for requests from customers not assisted by a lawyer. In particular, various emails from the customer care of the UNIEURO group (some of which have already been cited as examples of recourse to infinite repairs) draw ASUSTeK's attention to the case of customers coming from the third or fourth unsuccessful repair attempt, asking to monitor the situation so that the last intervention is resolutive, without replacement or refund being considered by ASUSTeK Italy.</w:t>
      </w:r>
    </w:p>
    <w:p>
      <w:r>
        <w:t>67. The product replacement procedure, which involves all levels of the ASUS group, up to the parent company, is very complex and cumbersome. The feasibility of the swap is determined by comparing the quantity of available replacement products and the demand: if the latter is not fully covered, some customers are offered a refund of the purchase price (based on decisions made by professional figures within the ASUS group positioned at various levels of the decision-making chain, following predetermined types of checks); if replacement is opted for, the compilation of lists of products to be replaced is followed by the formulation of the relevant proposal to the interested customers. Individual cases are then closed with the delivery of the new device or processed through the aforementioned Escalation procedure (activated in the presence of cases that present exceptional profiles compared to ordinary and standardized schemes) for the elaboration of an alternative proposal to that possibly refused by the consumer or for a refund if the replacement product is not available within approximately 6 days.</w:t>
      </w:r>
    </w:p>
    <w:p>
      <w:r>
        <w:t>68. The complex process of the aforementioned procedure aimed at the replacement or refund of the product is articulated in various steps, some of which are alternative to each other, the cumbersome nature of which fully emerges from three flowcharts illustrating the interaction schemes between the various ASUS structures, the CAT, and the customers for the swap.</w:t>
      </w:r>
    </w:p>
    <w:p>
      <w:r>
        <w:t>69. Firstly, as can be seen from the diagram reproduced under Image 2, multiple returns (at least 3) of the same product trigger automatic replacement only if they occur within a period of 30 calendar days and, therefore, when the three interventions are quick but entirely ineffective. If this time frame is exceeded, it is up to a specific team established within ASUSTeK Italy (which in the process in question has as its sole interlocutor the CAT, to which responsibilities and costs may be attributed) to evaluate the appropriateness of the swap.</w:t>
      </w:r>
    </w:p>
    <w:p>
      <w:r>
        <w:t>Image 2 [omitted]</w:t>
      </w:r>
    </w:p>
    <w:p>
      <w:r>
        <w:t>70. Equally complex is the subsequent phase of the procedural process related to the evaluation of the substitutability/refund of the defective product (which involves all levels of the ASUS group, up to the parent company), illustrated under Image 3, in which—as anticipated—the feasibility of the swap is determined by comparing the quantity of available replacement products and the demand: if the latter is not fully covered, some customers are offered a refund of the purchase price. In any case, both intermediate and final choices are made by individuals.</w:t>
      </w:r>
    </w:p>
    <w:p>
      <w:r>
        <w:rPr>
          <w:b/>
        </w:rPr>
        <w:t>[Pages 85–87]</w:t>
      </w:r>
    </w:p>
    <w:p>
      <w:r>
        <w:t>BULLETIN NO. 52 OF DECEMBER 30, 2019 87</w:t>
      </w:r>
    </w:p>
    <w:p>
      <w:r>
        <w:t>competent authorities, positioned at various levels of the decision-making chain, following predetermined types of controls.</w:t>
      </w:r>
    </w:p>
    <w:p>
      <w:r>
        <w:t>Image 3 [omitted]</w:t>
      </w:r>
    </w:p>
    <w:p>
      <w:r>
        <w:t>71. The last phase of the swap procedure, represented in the diagram under Image 4, includes the activity of compiling lists of products to be replaced, as well as the subsequent formulation of the replacement proposal to the affected customers. Individual cases are then closed with the delivery of the new device or processed through the Escalation procedure for the development of an alternative proposal to that possibly rejected by the consumer or for a refund if the replacement product is not available within approximately 6 days.</w:t>
      </w:r>
    </w:p>
    <w:p>
      <w:r>
        <w:t>Image 4 [omitted]</w:t>
      </w:r>
    </w:p>
    <w:p>
      <w:r>
        <w:t>72. From the perspective of replacing products purchased as new with refurbished (or reconditioned) products, on one hand, the periodic reports regarding the replacements made testify that this solution is quite frequent, on the other hand, a complaint regarding the offer to replace a notebook with technical characteristics inferior to the defective one is closed through the aforementioned Escalation procedure with a full refund of the purchase price and the legal expenses incurred by the consumer. Furthermore, there are other complaints regarding the provision of replacement products with inferior characteristics, damaged, or refurbished.</w:t>
      </w:r>
    </w:p>
    <w:p>
      <w:r>
        <w:t>iii) refund of the purchase price of the product.</w:t>
      </w:r>
    </w:p>
    <w:p>
      <w:r>
        <w:t>73. As already mentioned, generally speaking, for ASUS, the full refund of the purchase price represents a costly remedy, to be pursued as a last resort when replacement with an immediately available product is not possible or is refused by the customer, according to what is illustrated in the flowchart that exemplifies the various cases. Therefore, monetary compensation, especially when extended to further damages and legal expenses, requires in almost all cases recourse to the aforementioned Escalation procedure.</w:t>
      </w:r>
    </w:p>
    <w:p>
      <w:r>
        <w:t>An example of this corporate policy is an internal email to ASUSTeK Italy, which forwards the certified email sent by a consumer's lawyer requesting the replacement or refund of a mobile phone that has undergone three unsuccessful repair attempts, which contains the indication to provide the usual delaying response to the lawyer, while simultaneously contacting the customer for the refund (BB-Buy Back): “can you please check the RMA history and respond to the lawyer with the standard response. In the meantime, let’s contact the customer for the BB.”</w:t>
      </w:r>
    </w:p>
    <w:p>
      <w:r>
        <w:t>74. From the aforementioned flowchart, it emerges in particular how most of the time the decision to proceed with the refund by ASUS is made following the activation of two procedures: first, a considerable number of structures (ASP controller, Compensation agent, ASP, call center, and Europe Service Director) must assess the irreparability of the product within the stipulated 14 days or following multiple returns, the possibility of proposing a replacement to the customer based on product availability; secondly, in case of inability to proceed with the replacement (because the product is not available or the customer refuses), ASUS activates the aforementioned Escalation procedure.</w:t>
      </w:r>
    </w:p>
    <w:p>
      <w:r>
        <w:t>Image 5 [omitted]</w:t>
      </w:r>
    </w:p>
    <w:p>
      <w:r>
        <w:t>75. Once the evaluative process just described is completed, if the decision is made to proceed with the refund of the purchase price of the defective good (instead of replacement), an additional procedure is initiated aimed at validating the refund (so-called BB, Buy Back), the average timing for which, following the submission of documentation and the return by the consumer, is estimated in the standard form signed for acceptance by the customer (compensation form) at 30 days from the confirmation of the refund sent by ASUS to the customer. This time frame is considered by ASUSTeK Italy itself to be too long.</w:t>
      </w:r>
    </w:p>
    <w:p>
      <w:r>
        <w:t>76. Even in this case, the cumbersome nature of the process, which unfolds through a decision-making chain involving a large number of structures, distributed across different hierarchical and functional levels, results in considerable procedural complexity that extends over a long period. In fact, after the confirmation of the decision to proceed with the refund, the local competent unit of ASUS (and thus ASUSTeK Italy for Italy) contacts the customer for acceptance of the offer and checks the completeness and compliance of the documents sent by them (which are then subjected to a second-level check by ASUS Holland), subsequently contacting them again for the return of the product; thereafter, ASUS Holland (following the receipt of the product and an additional document check) confirms the refund, informing the customer of the expected credit within 30 days and sending the request to the parent company (which in turn carries out the necessary checks and arranges the payment through the Finance and Accounting departments, informing ASUS Holland of the payment date to allow it to close the case). All this results in the estimated timing for the conclusion of the process being 20-29 working days (excluding the credit timing from the bank), and in a considerable number of cases, due to the described procedural complexity, this term is significantly exceeded.</w:t>
      </w:r>
    </w:p>
    <w:p>
      <w:r>
        <w:t>Image 6 [omitted]</w:t>
      </w:r>
    </w:p>
    <w:p>
      <w:r>
        <w:t>77. In confirmation of this, from the analysis of internal communications within the ASUS group regarding consumer complaints, times exceeding 40 days from the submission of documentation for the issuance of the bank transfer emerge, with peaks of even 6 months: even in these cases, the request to the accounting offices to expedite the issuance of the refund is justified by the need to avoid legal actions by consumers, but the same departments are unable to even estimate an indicative date for the payment. Furthermore, an email from the seller UNIEURO reports on the prolonged wait for a refund for three months by one of its customers. Again, in the internal email exchange at ASUSTeK Italy regarding messages posted on Facebook by a consumer, it appears that the latter, despite having returned the mobile phone (refurbished and defective) received in replacement of the originally purchased one between January and February 2018, is still waiting for the promised bank transfer as of May 17, 2018 (of which the Italian office of ASUS has no news from the Dutch office). In other cases, the delay in the refund of the price is a consequence of the unjustified extension of the phases following the declaration of irreparability of the product and the consequent failure to send the compensation form to the customer, which is why ASUSTeK Italy, in uncertainty about the reasons for the delay and the status of the practice, is able to respond to complaints only by resorting to the previously mentioned interlocutory responses. Furthermore, complaints found during inspections concern the failure to refund after almost 2 and over 3 months from the fulfillment of the related obligations by the customers.</w:t>
      </w:r>
    </w:p>
    <w:p>
      <w:r>
        <w:t>80. The summary tables of refunds issued between 2014 and 2018 reveal (clearly limiting the examination to refunds issued in favor of Italian customers) in 2015 and 2018 peaks of over 100 days and in 2016 even over 200 between the date of the request and that of the payment (highlighted in the column “Req-pay tat”).</w:t>
      </w:r>
    </w:p>
    <w:p>
      <w:r>
        <w:t>81. See, for example, documents 189 and 190 of the Inspection Document List DVD annex II to the inspection report ASUSTeK Italy. In the report prot. n. 90493 of December 11, 2017, a consumer complains of a wait of about 2 and a half months (having sent the documents to obtain the refund credit on September 27, 2017), in the absence of information regarding the status of their practice.</w:t>
      </w:r>
    </w:p>
    <w:p>
      <w:r>
        <w:t>82. Document 192 of the Inspection Document List DVD annex II to the inspection report ASUSTeK Italy.</w:t>
      </w:r>
    </w:p>
    <w:p>
      <w:r>
        <w:t>83. Document 194 of the Inspection Document List DVD annex II to the inspection report ASUSTeK Italy.</w:t>
      </w:r>
    </w:p>
    <w:p>
      <w:r>
        <w:t>84. Document 36 of the Inspection Document List DVD annex II to the inspection report ASUSTeK Italy.</w:t>
      </w:r>
    </w:p>
    <w:p>
      <w:r>
        <w:t>85. Document 5986 of the Inspection Document List DVD annex II to the inspection report ASUSTeK Italy.</w:t>
      </w:r>
    </w:p>
    <w:p>
      <w:r>
        <w:t>86. For example, documents 757 and 758 of the Inspection Document List DVD annex II to the inspection report ASUSTeK Italy.</w:t>
      </w:r>
    </w:p>
    <w:p>
      <w:r>
        <w:t>87. Document 585 of the Inspection Document List DVD annex II to the inspection report ASUSTeK Italy.</w:t>
      </w:r>
    </w:p>
    <w:p>
      <w:r>
        <w:t>88. Document 438 of the Inspection Document List DVD annex II to the inspection report ASUSTeK Italy.</w:t>
      </w:r>
    </w:p>
    <w:p>
      <w:r>
        <w:rPr>
          <w:b/>
        </w:rPr>
        <w:t>[Pages 88–90]</w:t>
      </w:r>
    </w:p>
    <w:p>
      <w:r>
        <w:t>90 BULLETIN NO. 52 OF DECEMBER 30, 2019</w:t>
      </w:r>
    </w:p>
    <w:p>
      <w:r>
        <w:t>A.3) Unjustified charges to consumers for the provision of the legal warranty: request to the customer to pay a sum for the refused estimate</w:t>
      </w:r>
    </w:p>
    <w:p>
      <w:r>
        <w:t>78. Another conduct related to the performance aspect of the warranty is the obstacle to the verification of the existence of the conformity defect through the imposition of predetermined flat-rate charges for product verification. In this regard, the material acquired during the inspection confirms how ASUS informs the customer to independently open a request for assistance (so-called RMA), even under the legal warranty, about the possibility of having to pay a fixed and predetermined amount for the diagnostic intervention if the CAT does not recognize the product as under warranty or considers the alleged conformity defect to be non-existent, as illustrated both in the customer instruction form and in the acceptance declaration of the potential charge for such expenses that the customer is required to complete.</w:t>
      </w:r>
    </w:p>
    <w:p>
      <w:r>
        <w:t>79. These amounts are requested from consumers in relation to both the accepted and the refused estimate (with the fixed amount of €35); in the latter case, along with any transportation costs (for a total of about €60) and under penalty of non-return of the non-repaired product and consequent scrapping. Furthermore, these amounts are higher (in various cases even significantly) than the fees recognized by ASUS to the ASPs for the interventions carried out.</w:t>
      </w:r>
    </w:p>
    <w:p>
      <w:r>
        <w:t>80. The charges in question appear to be applied generally, regardless of the circumstance that the product was purchased less than six months ago; this circumstance has been widely confirmed by ASUS during the hearing. Moreover, in the comparative tables called “Italy benchmarking,” which quarterly compare the main differences between ASUS and its main competitors in the management of assistance for marketed products, the same manufacturer highlights how in various cases competitors do not charge diagnostic and/or transportation costs if a damage not qualifying as a conformity defect is found during the period of operation of the legal warranty.</w:t>
      </w:r>
    </w:p>
    <w:p>
      <w:r>
        <w:t>B. The conduct of Arvato regarding the technical assistance phone number</w:t>
      </w:r>
    </w:p>
    <w:p>
      <w:r>
        <w:t>81. The acquisition of instructional and inspection material, as well as the clarifications provided by the Professionals, confirms that on the ASUS e-shop website, the phone number 199400089 was indicated, without specification of the related costs, as the number made available to consumers for the provision of technical assistance and, therefore, the legal warranty related to products sold through the ASUS e-shop. However, this number with the prefix 199 is excluded, as will be seen later, from the list of numbers allowed for consumer assistance regarding the concluded contract, as it is a service that falls within the scope of “basic rate telephone communications” under the current National Numbering Plan.</w:t>
      </w:r>
    </w:p>
    <w:p>
      <w:r>
        <w:t>82. This conduct is attributable to Arvato, which manages the ASUS e-shop as an authorized retailer. In this regard, Arvato itself admits to having hosted, until January 2019, the indication on the ASUS website e-shop of the aforementioned phone number (199400089) dedicated to technical support, without providing any indication of costs. In this regard, the site states: “© 2019 ASUSTeK Computer Inc. All rights reserved. This site and the services offered by it are provided by Arvato Distribution GmbH, an independent authorized retailer of ASUS.”</w:t>
      </w:r>
    </w:p>
    <w:p>
      <w:r>
        <w:t>3) The defensive arguments of the Parties</w:t>
      </w:r>
    </w:p>
    <w:p>
      <w:r>
        <w:t>83. ASUS, in the defensive memorandum submitted on October 1, 2019, responded to the Authority's allegations through the following remarks:</w:t>
        <w:br/>
        <w:t>- the notification of the initiation of the procedure to only ASUSTeK Italy, rather than also to ASUS Europe and ASUS Holland, would have violated, in the initial phases of the procedure, the right of defense of the ASUS Group, excessively reducing the time available to the companies, also considering the time required for the translation of the provisions into Dutch, for drafting their defenses, and for preparing the proposal for commitments;</w:t>
        <w:br/>
        <w:t>- the proposed commitments would, in turn, be valid and effective and, in any case, deserving of possible reconsideration at least for the recognition of ASUS's collaborative attitude;</w:t>
        <w:br/>
        <w:t>- the warranty form evaluated and the phone number 199 would no longer have been in use at the time of the initiation of the procedure (the latter, in particular, since December 2017) and, in any case, would not have implied any violation of the Consumer Code, also in light of the Authority's precedents;</w:t>
        <w:br/>
        <w:t>- the Authority would have kept the pre-investigation procedure open for an unreasonable number of years, given the relatively small number of reports received, and acquired an unreasonable number of documents compared to those actually used in the communication of the investigative findings, and, moreover, the correct numbering of some of those cited in this last document would have been made available with reduced advance notice compared to the deadline for submitting the final memorandum;</w:t>
        <w:br/>
        <w:t>- the requirements for identifying an unfair commercial practice would be lacking, particularly due to the small number of reports, their unfounded nature, and their inadequacy to negatively impact consumers;</w:t>
        <w:br/>
        <w:t>- ASUS, as a manufacturer, would not be obliged to provide the legal warranty of conformity to consumers, nor would it be able to influence the manner of provision by sellers;</w:t>
        <w:br/>
        <w:t>- the procedures followed by the ASUS group would be fully adequate to ensure a satisfactory level of speed and efficiency in repairs, replacements, and refunds and would not involve significant shortcomings;</w:t>
        <w:br/>
        <w:t>- the charge for expenses in relation to the provision of the legal warranty of conformity would be limited to cases of manifest non-existence of the defect;</w:t>
        <w:br/>
        <w:t>- the improvements made to the procedures and the information provided, subsequent to the initiation of the procedure, would be deserving of positive evaluation by the Authority.</w:t>
      </w:r>
    </w:p>
    <w:p>
      <w:r>
        <w:t>84. With specific regard to the improvement measures adopted by ASUS, the professional stated that he decided (for the Italian market) not to request any contribution (i.e., Diagnostic Fee) from consumers for covering the costs incurred for diagnostics, nor any sum for returning the product to the consumer (i.e., Retention Fee) in case of requests within the first six months from the delivery of the product, where the defect found is compatible with the nature of the good or with the nature of the conformity defect. This change would be the result of a review process of the “Information Form on the Legal Warranty for the Consumer” that ASUS claims to have undertaken to remove the profiles of informational inadequacy regarding the legal and conventional warranty. In addition to these measures, ASUS communicated that it organized a “training and compliance course” on Italian and community legislation regarding the legal and conventional warranty, which would have been attended by 40 senior figures from ASUS operating in all EU countries where the Professional is present, pertaining to the Business Units most exposed to the risk of unfair and/or aggressive commercial practices.</w:t>
      </w:r>
    </w:p>
    <w:p>
      <w:r>
        <w:t>85. Arvato, in the defensive memorandum submitted on September 30, 2019, responded to the Authority's allegations through the following remarks:</w:t>
        <w:br/>
        <w:t>- the practice consisting of the provision of a 199 phone line in the e-shop section of the ASUS website, without indication of costs, would not be attributable to Arvato, but exclusively to the ASUS group and/or the external telephone operators of the line itself;</w:t>
        <w:br/>
        <w:t>- in any case, this practice would not be deemed either unfair or, let alone, aggressive, also in light of the Authority's precedents, as the number 199 used would not be at a surcharge based on the national numbering plan of telecommunications networks and services developed by the Authority for Communications Guarantees and, according to the latter, the information on costs would be provided directly at the time of the call.</w:t>
      </w:r>
    </w:p>
    <w:p>
      <w:r>
        <w:t>IV. OPINION OF THE AUTHORITY FOR COMMUNICATIONS GUARANTEES</w:t>
      </w:r>
    </w:p>
    <w:p>
      <w:r>
        <w:t>86. Since the commercial practice subject to this provision was disseminated through the Professional's website, on October 14, 2019, the opinion of the Authority for Communications Guarantees (hereinafter, AGCOM) was requested, pursuant to Article 27, paragraph 6, of the Consumer Code.</w:t>
      </w:r>
    </w:p>
    <w:p>
      <w:r>
        <w:t>87. In a communication received on November 14, 2019, the aforementioned Authority transmitted resolution no. 439/19/CONS, in which it expressed the requested opinion limiting its evaluations to the deemed suitability in this case of the specific internet means to significantly influence the realization of the commercial practice subject to the request for opinion.</w:t>
      </w:r>
    </w:p>
    <w:p>
      <w:r>
        <w:rPr>
          <w:b/>
        </w:rPr>
        <w:t>[Pages 91–93]</w:t>
      </w:r>
    </w:p>
    <w:p>
      <w:r>
        <w:t>BULLETIN NO. 52 OF DECEMBER 30, 2019</w:t>
      </w:r>
    </w:p>
    <w:p>
      <w:r>
        <w:t>88. With particular reference to the conduct related to the indication of the technical assistance phone number 199400089 for purchases made online through the e-shop, the aforementioned Authority considered that “the premium number 199400089 – which falls among the numbers for unique or personal services referred to in Article 18 of resolution no. 8/15/CIR, which are explicitly excluded from the list of numbers allowed for basic rate telephone communications – is used by the Company in question for consumer assistance also regarding the concluded contract and that this service falls among the basic rate telephone communications pursuant to the current National Numbering Plan.” In conclusion, AGCOM deemed that “with reference to the case at hand, the consumer, having not found precise indications on the professional's website regarding the application of the legal and conventional warranty, may have been led to commercial decisions that they otherwise would not have made.”</w:t>
      </w:r>
    </w:p>
    <w:p>
      <w:r>
        <w:t>V. CONCLUDING EVALUATIONS</w:t>
      </w:r>
    </w:p>
    <w:p>
      <w:r>
        <w:t>89. The present proceeding concerns the conduct carried out by ASUS and Arvato, according to the methods detailed below, in relation to the technical assistance activity on ASUS branded products. Before proceeding with the analysis and evaluation of the behaviors carried out by the Professionals in violation of the Consumer Code, it seems appropriate to examine the procedural exceptions raised in the defense memoranda, in order to highlight their obvious irrelevance and unfoundedness.</w:t>
      </w:r>
    </w:p>
    <w:p>
      <w:r>
        <w:t>The procedural profiles</w:t>
      </w:r>
    </w:p>
    <w:p>
      <w:r>
        <w:t>90. It is emphasized, first of all, the irrelevance of the observations made by ASUS in its concluding memorandum regarding certain alleged procedural and/or substantive deficiencies in the investigation, as they are entirely inadequate to affect the validity of the complex and thorough activity carried out by the Authority in full compliance with the principle of contradiction and the right of defense of all Professionals involved in the investigative procedure, fully protected also considering the extensions of the deadline for the conclusion of the procedure granted to the applicants during the subjective extension of the procedure.</w:t>
      </w:r>
    </w:p>
    <w:p>
      <w:r>
        <w:t>91. It is worth summarizing how the complete observance in this case of the rules of defensive participation is attested by the actual exercise by the professionals of the participatory guarantees duly made available to the Professionals in this case, suitable to allow the concrete knowledge of all the useful investigative elements for the full exercise of the right of defense in the procedural context, starting from access to documents (exercised by ASUS on January 11, June 17, and August 6, 2019, and by Arvato on January 11 and August 2, 2019), to the presentation of memoranda and documentation (filed on several occasions by the Professionals during the procedure, as indicated in the section dedicated to the procedural process), to the opportunity granted to ASUS to be heard in a hearing on June 26, 2019, to the granting of extensions of the deadlines for the conclusion of the procedure and also of the investigative phase, not only on the occasion of the subjective extension of the procedure to ASUS Europe and ASUS Holland, but also in acceptance of the related requests from the Professionals. That said, it is demonstrated that the principle of democratic participation in the procedure and its corollaries constituted by the right of defense and the contradiction have been observed, and consequently, the unproven insinuation that the use of the Italian language would have hindered the effective participation of the Professionals in the procedure is unfounded.</w:t>
      </w:r>
    </w:p>
    <w:p>
      <w:r>
        <w:t>92. Regarding the alleged excessive duration of the pre-investigative phase, as recognized by established jurisprudence, there is no peremptory term - nor even of an accelerating nature - running from the date of submission of the reports and within which the communication of the initiation of the procedure must occur. The duration of the pre-investigative deliberation, given the relevance of the interests preserved by the consumer protection regulations, is left to the discretionary evaluation of the Authority, taking into account the characteristics of the case under examination and, therefore, the time necessary for the complete conduct of the investigative activity aimed at the thorough evaluation of the contested behaviors and aimed at verifying the existence or otherwise of the profiles of illegality.</w:t>
      </w:r>
    </w:p>
    <w:p>
      <w:r>
        <w:t>93. It is also entirely irrelevant the reference by ASUS to the PS10531 procedure, given the diversity of the profiles of illegitimacy contested therein concerning certain violations committed solely by Arvato through the website http://eshop.asus.com/it-IT/, regarding the information disseminated on the right of withdrawal and the omission of the reminder regarding the legal warranty of conformity, which Arvato has integrated into the text of the "Sales Conditions" prepared by it and applicable exclusively to transactions made through the aforementioned website managed by it.</w:t>
      </w:r>
    </w:p>
    <w:p>
      <w:r>
        <w:t>94. Likewise, the alleged issues related to the small number of reports and the excessive amount of documents acquired during the inspection are irrelevant to the validity of the activity carried out by the Authority. Regarding the first exception, it should be noted that the complaints acquired are overall numerous, even if distributed over a significant time frame, and they were also received during the investigative phase and, therefore, are suitable to prove a commercial conduct generally adopted by the professional. It is worth recalling that the constant jurisprudential conclusion is that consumer-related illicit acts are “mere danger” and not “damage,” with the consequence that the actual impact of the unfair commercial practice on consumers' choices does not constitute an element capable of eliminating or reducing the profiles of unfairness of the same. Similarly unfounded is the second defensive argument regarding the excessive amount of inspection documentation, as all the documents acquired are relevant to the subject of the procedure and pertain to the overall evaluation of the context in which the commercial practice under investigation is inserted and the specific profiles of unfairness highlighted during the procedure. The documentation on file, and in particular the inspection documentation, has therefore been instrumental in ensuring the complete analysis and evaluation of significant, relevant, and complex profiles of illegality of the identified behaviors.</w:t>
      </w:r>
    </w:p>
    <w:p>
      <w:r>
        <w:t>95. Finally, regarding the documents whose numbering was corrected close to the deadline of the procedural term, it is noted that their number is extremely small (in particular, a group of documents was simply circumscribed due to the erroneous indication of the initial document – preceding by a few units the actual one – and in light of the subsequent expungement of some of them) and that in any case they were easily identifiable; on the other hand, in ASUS's concluding memorandum, the particular relevance of these documents is not specified, nor is the alleged prejudice that would have resulted to the right of defense identified.</w:t>
      </w:r>
    </w:p>
    <w:p>
      <w:r>
        <w:t>The violations of the Consumer Code</w:t>
      </w:r>
    </w:p>
    <w:p>
      <w:r>
        <w:t>96. The violations of the Consumer Code contested in this provision concern: a) a first infraction, attributable to ASUS, relating to the incomplete and inadequate information on the legal and conventional warranty, as well as the incorrect methods of providing assistance services on ASUS products and the consequent obstacle to the exercise of the protections due to purchasing consumers; b) a second violation, attributable to Arvato, concerning the use, in the e-shop section of the ASUS website managed by it, of a phone number with the prefix 199 without specification of the related costs.</w:t>
      </w:r>
    </w:p>
    <w:p>
      <w:r>
        <w:t>97. In the case at hand, considering that ASUS – as illustrated above – has organized its own network of Technical Assistance Centers where it offers technical assistance for its products, within which it also provides, based on agreements with retailers, the replacement/repair related to the legal warranty of conformity, the establishment of suitable procedures assumes particular importance, such as to ensure the consumer the effective exercise of their right to legal conformity assistance through a clear definition of the relationships between the manufacturer and the seller, and the preparation of clear and comprehensible information addressed to the consumer, so as to exclude the possibility that the latter may be incorrectly directed regarding the methods to follow to enjoy their right to the legal warranty of conformity for a period of 24 months from the purchase, without charge of costs and without limitations on the coverage of all parts and components of the product.</w:t>
      </w:r>
    </w:p>
    <w:p>
      <w:r>
        <w:t>98. To confirm the active and central role played by ASUS in the provision of assistance services related to the legal warranty, it is emphasized that even in the “ASUS Warranty Information Form” (filed together with the final memorandum and allegedly being progressively disseminated), in the new section specifically dedicated to the description of the legal warranty, in describing the consumer's right to a fair reduction of the price or to the termination of the contract, recognized to the consumer by Article 130 of the Consumer Code, it is stated that this right to a reduction of the price or termination of the contract belongs to the consumer if “ASUS has not provided for the repair or replacement within a reasonable time.”</w:t>
      </w:r>
    </w:p>
    <w:p>
      <w:r>
        <w:t>The joint liability for the conduct attributable to ASUS</w:t>
      </w:r>
    </w:p>
    <w:p>
      <w:r>
        <w:t>99. With specific regard to the attribution of the violations ascertained in this provision, in light of the elements acquired and the corporate/contractual relationships that emerged during the procedure, it is believed that the three companies ASUSTeK Italy, ASUS Europe, and ASUS Holland should be considered jointly responsible for the commercial practices ascertained. The investigation has indeed revealed that the multinational group ASUS is structured in various companies that perform different functions in the process of production, distribution, and sale. In particular, as mentioned, ASUSTeK Italy carries out help desk and marketing activities for its parent company ASUS Europe, which holds all rights to the ASUS products marketed in Italy and engages in wholesale trade and the provision of after-sales services for electronic and IT products branded ASUS in the European market; ASUS Holland manages the activities of providing assistance on ASUS branded products marketed in the European market, directly entering into service agreements with technical assistance centers and exercising broad decision-making and operational power over the methods of providing the warranty.</w:t>
      </w:r>
    </w:p>
    <w:p>
      <w:r>
        <w:rPr>
          <w:b/>
        </w:rPr>
        <w:t>[Pages 94–96]</w:t>
      </w:r>
    </w:p>
    <w:p>
      <w:r>
        <w:t>96 BULLETIN NO. 52 OF DECEMBER 30, 2019</w:t>
      </w:r>
    </w:p>
    <w:p>
      <w:r>
        <w:t>100. All the subjects described above have jointly contributed to the implementation of the conduct subject to this measure and have adopted a substantially unified behavior throughout the management of technical assistance services, repairs, and any replacements and refunds of ASUS-branded products under warranty. The companies in question therefore fall within the definition of "professional" pursuant to the Consumer Code, as they have actively contributed to the realization of the commercial practices in question, from which they derive reputational and economic benefits.</w:t>
      </w:r>
    </w:p>
    <w:p>
      <w:r>
        <w:t>Violation A)</w:t>
      </w:r>
    </w:p>
    <w:p>
      <w:r>
        <w:t>101. The commercial practice carried out by ASUS in violation of the Consumer Code relates, first of all, to the informational aspects regarding legal and conventional warranty (A.1). In fact, as previously reported, the "ASUS Warranty Information Form" (attached to each product and available at the link https://www.asus.com/support/images/pdf/I8549.pdf), as well as the one updated in May 2018 - I14357/Corrected and Revised Edition v6 - still available at the address related to the Zenfone 4 product https://www.asus.com/support/images/upload/warranty/it_ZenFone.pdf, on the one hand, does not clearly identify the warranty offered by the manufacturer as conventional, stating that "This ASUS warranty certificate (hereinafter referred to as 'Warranty') is granted by ASUSTeK Computer Inc. (hereinafter referred to as 'ASUS') to the customer (hereinafter referred to as 'You') of the ASUS product (hereinafter referred to as 'Product'). The warranty certificate is provided together with the Product and is subject to the following terms and conditions. ASUS service agents and repair centers will provide the service provided by this Warranty." On the other hand, the information provided on its website and in the documentation accompanying the products, referring expressly and exclusively - as illustrated - to the warranty of the product against "defects in materials and workmanship" with various limitations, with only a generic and confusing reference to the retention of rights under applicable national laws, is likely to create confusion between the conventional warranty, possibly offered by the manufacturer (ASUS), and the legal warranty of conformity lasting two years that the seller is required to provide to the buyer by law, thus avoiding the recognition and provision of the latter in favor of the consumer.</w:t>
      </w:r>
    </w:p>
    <w:p>
      <w:r>
        <w:t>102. Essentially, the information conveyed through the material disseminated on its website and also through the packaging of the products is likely to generate confusion in the consumer, as it does not specify in any way what the nature of the described warranty is, not allowing an understanding of whether the indications refer to the legal and/or conventional warranty. In this context, the indications warning that "This Warranty is provided independently of any other form of legal warranty provided in the country of purchase and does not condition or limit such legal warranty in any way," are not only insufficient to clarify to consumers that the advertised warranty is an additional warranty compared to that operating ex lege, but even reinforce the confusing effect on consumers, as they are provided under the title "Legal Warranty to the Customer" without any indication regarding the fact that it is a warranty different from that advertised, namely the conventional warranty offered by the manufacturer.</w:t>
      </w:r>
    </w:p>
    <w:p>
      <w:r>
        <w:t>103. As for the information provided by ASUS in response to the request made in the communication initiating the proceedings, where it is pointed out that on the site https://www.asusworld.it, accessible via a specific link from the site https://www.asus.com/it, a less generic information is available, it is noted that, although the conventional warranty is identified more precisely and a reference to the territorial extension and duration is included, there is still a complete lack of even a brief description of the rights recognized to the consumer in relation to the defect of conformity and the legal warranty operating ex lege and actionable against the seller.</w:t>
      </w:r>
    </w:p>
    <w:p>
      <w:r>
        <w:t>104. In light of the above, the formulations adopted by ASUS in the material containing the description of the warranty it offers on its products are likely, both in themselves and in their combined effect, to mislead and create confusion in an average consumer regarding the substance, timing, and methods of exercising the warranty, without specifying the coexistence of the two types of warranty, legal and conventional. Such conduct by ASUS, consisting of providing ambiguous information regarding the characteristics and methods of enjoyment of the conventional warranty it offers for its products, constitutes an unfair commercial practice as it prevents consumers from understanding, upstream, the rights due to them ex lege, and, downstream, the informed choice regarding the warranty to activate.</w:t>
      </w:r>
    </w:p>
    <w:p>
      <w:r>
        <w:t>105. Considering the prominent role of the warranty for the actual enjoyment of the good, the conduct likely to mislead the consumer regarding the operation of the different legal warranty provided for by Article 130 of the Consumer Code and the consequent possibility of activating it against the seller represents a typical violation of the rules established to protect the consumer, which affirm the right of consumers to be correctly informed about the existence and duration of the warranty due by law, as opposed to that autonomously offered by ASUS. The conduct in question, being ambiguous and omissive and capable of unduly hindering the exercise of consumer rights in a manner not compliant with the level of professional diligence reasonably required under the provisions of the Consumer Code, is detrimental to the provisions of Articles 20 and 21 of the aforementioned Code.</w:t>
      </w:r>
    </w:p>
    <w:p>
      <w:r>
        <w:t>106. In addition to the infringement outlined above, ASUS's behavior has also been found to be unfair regarding the provision of assistance services to consumers in relation to products under warranty (conduct A.2), to the extent that it has:</w:t>
      </w:r>
    </w:p>
    <w:p>
      <w:r>
        <w:t>i) imposed non-contractual, burdensome, or disproportionate obstacles on consumers' exercise of rights deriving from the warranty on defective products;</w:t>
      </w:r>
    </w:p>
    <w:p>
      <w:r>
        <w:t>ii) excessively prolonged the time for assistance interventions, through procedures that provide for repeated repair of products instead of their replacement, which is often denied or obtained only after numerous and repeated repair attempts and/or with unsatisfactory methods and significant delays;</w:t>
      </w:r>
    </w:p>
    <w:p>
      <w:r>
        <w:t>iii) hindered and delayed the provision of refunds for non-repairable products.</w:t>
      </w:r>
    </w:p>
    <w:p>
      <w:r>
        <w:t>107. Finally, as seen, the further conduct (A.3) consisting of requesting consumers to pay a sum for the refused estimate, during the period of operation of the legal warranty of conformity and under penalty of non-return of the product, even when it is sent for assistance within six months of purchase, and therefore within the period during which the presumption of the original existence of the defect under Article 132, paragraph 3, applies, integrates - together with the above-mentioned aspects - the elements of an unfair commercial practice in violation of Articles 20, 24, and 25 of the Consumer Code.</w:t>
      </w:r>
    </w:p>
    <w:p>
      <w:r>
        <w:t>108. From the perspective of the producer's liability for the issues related to the provision of the legal warranty, denied in the final memorandum submitted by ASUS, it is reiterated that it has organized its own network of Technical Assistance Centers within which it provides assistance for its products and, based on agreements with retailers, carries out repair/replacement/refund activities related to the legal warranty of conformity, towards all consumers who turn to the same sellers or even directly to the Professional. Moreover, from the investigative findings previously reported, it clearly emerges how the obstacle to the exercise of rights due to consumers is attributable to an overall dissuasive and misleading attitude adopted by ASUS, established at the level of commercial policy and how the related contractual power, de facto and/or based on commercial agreements with sellers, allows ASUS and its CAT network to manage the methods of providing the warranty.</w:t>
      </w:r>
    </w:p>
    <w:p>
      <w:r>
        <w:t>109. In the described context, the characteristics of the above-mentioned repair, replacement, and refund procedures adopted by ASUS assume particular importance for the attribution of responsibility for the contested conduct to the Professional, such as to prevent or delay the actual exercise by the consumer of their right to the legal warranty of conformity; in addition to the direct responsibility of the professional, the lack of ordinary diligence that can reasonably be expected from the commercial operator with reference to the conduct of subjects it employs for the provision of assistance on its products must also be noted.</w:t>
      </w:r>
    </w:p>
    <w:p>
      <w:r>
        <w:t>110. Furthermore, the investigative findings mentioned and, in particular, the complaints and numerous inspection evidences, as well as the technical assistance procedures of the professional, represent a coherent and complete picture of the systematic dilatory and obstructive behaviors regarding the provision of the warranty with recourse to appropriate remedies only in case of actual risk of exposure to legal actions. For these reasons, the reconstruction by the party, according to which the unsatisfactory or denied provision of the warranty would be limited to sporadic episodes or unfounded reports, does not appear to be shareable. It is evident, in fact, how the various examples of interaction with sellers for the management of issues during the provision of the warranty and the references to the contractual models and their related changes reported in the description of the findings confirm the observations just made, contrary to what was asserted in the aforementioned memorandum.</w:t>
      </w:r>
    </w:p>
    <w:p>
      <w:r>
        <w:rPr>
          <w:b/>
        </w:rPr>
        <w:t>[Pages 97–99]</w:t>
      </w:r>
    </w:p>
    <w:p>
      <w:r>
        <w:t>BULLETIN NO. 52 OF DECEMBER 30, 2019 99</w:t>
      </w:r>
    </w:p>
    <w:p>
      <w:r>
        <w:t>111. In this regard, it has been reported that the inspection activity carried out has allowed for the discovery of numerous confirmations of a series of behaviors overall aimed at denying and/or delaying the resolution of defects presented by the products, with the evident aim of containing the costs related to the performance of the warranty, resorting, as long as possible, to cheaper remedies (the repeated repair that often proves useless) and thereby inducing the consumer to give up asserting their rights: full confirmation of this policy is also derived from internal communications within the ASUS group, from which it emerges that cost containment is considered a priority over consumer rights.</w:t>
      </w:r>
    </w:p>
    <w:p>
      <w:r>
        <w:t>112. Summarizing the most significant evidence supporting what has just been reiterated, first of all, extensive confirmations have been provided of how ASUS adopts a clearly dilatory attitude towards consumers who request the replacement or repair of the product or complain about issues related to the performance of the warranty (delay, inadequate and repeated repair) or who request compensation for damages or payment of expenses, based on the systematic use of standard response models, essentially designed to buy time. This is with the evident aim of inducing the dissatisfied customer to desist or, in case of their insistence, to buy time to activate and manage the internal procedures for addressing the problem. In particular, in this regard, it is necessary to recall, inter alia, the email in which ASUS invited its structures to suspend the confirmations of receipt of certified emails containing customer assistance requests, justified in the concluding memorandum by the imminence of the summer period, which evidently demonstrates once again the evasive and dilatory nature of the conduct carried out by ASUS.</w:t>
      </w:r>
    </w:p>
    <w:p>
      <w:r>
        <w:t>113. Moreover, it has been noted how ASUSTeK Italy, on one hand, responds by denying any responsibility and role, while on the other hand, it directly and actively manages customer complaints, interfacing with other companies in the group (and in particular with ASUS Holland) specifically to propose a solution to be submitted for validation by the competent structures, through the aforementioned Escalation procedure.</w:t>
      </w:r>
    </w:p>
    <w:p>
      <w:r>
        <w:t>114. Further evidence of both the active role played by ASUSTeK Italy and the critical issues in the performance of the warranty has been highlighted by the correlation between the quality level of repairs and the need for their repetition, as noted by the staff of the aforementioned company, who, sharing via email the slide of a corporate presentation regarding ECN and RCN repair procedures (respectively Engineer Change Notice, long-term, and Repair Change Notice, short-term), comments: “We admit to applying non-definitive solutions (RCN) that could cause multiple returns.” On the other hand, it has also been reported that the examination of comments expressed by dissatisfied customers (both in terms of quality and length of repair), summarized in a specific column of reports prepared by the same company, reveals that in not infrequent cases, the wait for the return of the product (following one or more often unsuccessful attempts) exceeds four months: this situation is often determined by ASUS's policy of providing for the replacement of the product only after having unsuccessfully attempted three repairs (as well as when the CAT does not meet the expected processing times), according to a detailed procedure that requires validation by ASUS Holland and the initial assessment, again, by ASUSTeK Italy.</w:t>
      </w:r>
    </w:p>
    <w:p>
      <w:r>
        <w:t>115. Likewise, it has been reported how the recourse to the replacement of the product or the full refund of its price constitutes an extreme measure and is constantly justified by ASUS with the opportunity to avoid a legal action by the customer, so that numerous cases of multiple or excessively prolonged repairs are not automatically resolved even after the "canonical" 3 repairs, but rather after a total of 4 or even 5-6 repairs (over a period of 11 months, between the originally purchased product and the replacement) that have not been successful. Furthermore, it has been extensively argued that, also due to the cumbersome and complex nature of the procedures, the 30-day term for the provision of refunds, in the face of products already returned and documents duly completed and sent by customers, is often greatly exceeded, without ASUS bothering to provide the requested feedback in vain.</w:t>
      </w:r>
    </w:p>
    <w:p>
      <w:r>
        <w:t>116. The numerous findings supporting the reconstruction now briefly retraced demonstrate how the highlighted critical issues, far from being characterized by sporadic and episodic nature, represent the implementation of a commercial policy by the Professional aimed at hindering the exercise of consumer rights deriving from the legal warranty of conformity, through the unjustified postponement of assistance timelines and the recourse to repeated repair procedures aimed at denying the provision of assistance and thus negating the protection provided by the legal warranty, proceeding only as a last resort, after a long period of time - and frequently only to avert legal actions - to the replacement of the product and the refund of the price.</w:t>
      </w:r>
    </w:p>
    <w:p>
      <w:r>
        <w:t>117. Moreover, the request for flat-rate fees in case of non-recognition of the legal warranty (so-called Diagnostic fee and Retention fee) appears indisputable: such fees are generally applied, regardless of the circumstance that the product has been purchased for less than six months, as confirmed by the same representatives of ASUS during the hearing, as well as attested by the declared elimination of the same as a measure allegedly aimed at overcoming the contestation of unfairness in this regard raised by the Authority. Also from the pre-printed ASUS form (to be filled out with the declaration of delivery of the good for repair at a CAT), it is evident that the consumer is imposed the acceptance of the payment of diagnostic fees (so-called intervention fee) always and regardless of the timing of the return of the defective product; as established by the jurisprudence of the Council of State, this request for payment must be considered illegitimate. It is evident, in fact, that the imposition of the payment of diagnostic fees for the defect of the product returned within 6 months of purchase (even when, following the diagnosis, it is verified that the defect is not one of conformity) aggravates the position of the consumer who is obliged to pay them in any case, if they wish to obtain the repair of the product, being required to sign a specific adhesion form pre-printed.</w:t>
      </w:r>
    </w:p>
    <w:p>
      <w:r>
        <w:t>118. In light of the above, the behaviors of ASUS constitute an unfair commercial practice to the extent that they integrate the elements of misleading and deceptive communication regarding the subject, duration, limits, and conditions of assistance both in relation to consumer rights (art. 21, paragraph 1, letters b) and g), and in relation to the scope of the Professional's commitments (art. 21, paragraph 1, letters b) and c); they also conflict with the duty of diligence set forth in art. 20 of the aforementioned Code, which imposes on professionals a burden of completeness and clarity of information, in this case in relation to the conditions of usability of the conventional warranty and the legal warranty, in order to allow consumers an informed and conscious choice regarding the exercise of their protections.</w:t>
      </w:r>
    </w:p>
    <w:p>
      <w:r>
        <w:t>119. Furthermore, the aforementioned conduct of ASUS, involving the denial and/or unsatisfactory performance of the warranty and the aforementioned charge of unjustified expenses, constitutes a seriously unfair and aggressive commercial practice, integrating the violation of arts. 20, 24, and 25 of the Consumer Code, as they are contrary to professional diligence and represent non-contractual, burdensome, and disproportionate obstacles to the exercise of contractual rights by the consumer, both those deriving from the conventional warranty and those relating to the performance of the legal warranty of conformity.</w:t>
      </w:r>
    </w:p>
    <w:p>
      <w:r>
        <w:rPr>
          <w:b/>
        </w:rPr>
        <w:t>[Pages 100–102]</w:t>
      </w:r>
    </w:p>
    <w:p>
      <w:r>
        <w:t>102 BULLETIN NO. 52 OF DECEMBER 30, 2019</w:t>
      </w:r>
    </w:p>
    <w:p>
      <w:r>
        <w:t>120. Given the lack of clarity and the ambiguity in the presentation to the public of the conditions of the warranty offered by ASUS, the non-compliance with the duty of diligence comes into play in this case, which manifests itself in the correctness and completeness of information, which must characterize the commercial communication of the Professional. From this, it follows, as an indispensable corollary, that ASUS, once it has decided to offer the consumer a form of warranty that overlaps, in terms of content, with the legal warranty, is obliged to provide a description of the contents of this legal warranty, which constitutes an unavoidable basis for consumer protection, without it being possible to configure an undue additional informational burden, as this is necessary information to allow the consumer to understand the rights to which they are entitled ex lege, as well as to choose which warranty to activate.</w:t>
      </w:r>
    </w:p>
    <w:p>
      <w:r>
        <w:t>Violation B)</w:t>
      </w:r>
    </w:p>
    <w:p>
      <w:r>
        <w:t>121. The infringement of the provisions of the Consumer Code attributable to Arvato consists in the use and indication in the e-shop section of the ASUS website accessible to consumers of a telephone number with the prefix 199 for the provision of technical assistance services and the legal warranty in relation to products sold through the ASUS e-shop. This number, as emerges from the evidence on record, is attributable to Arvato as expressly indicated at the bottom of the homepage ("This site and the services offered by it are provided by Arvato Distribution GmbH, an independent retailer authorized by ASUS").</w:t>
      </w:r>
    </w:p>
    <w:p>
      <w:r>
        <w:t>122. The aforementioned number 199400089, which falls among the numbers for unique or personal services referred to in Article 18 of AGCOM Resolution No. 8/15/CIR (National numbering plan), is actually excluded from the list of numbers allowed for "basic rate telephone communications," among which the technical assistance service provided by Arvato to consumers on products purchased through the ASUS e-shop falls.</w:t>
      </w:r>
    </w:p>
    <w:p>
      <w:r>
        <w:t>123. Therefore, considering that customer assistance services following already concluded contracts must be provided exclusively through "basic rate" numbers, such as those indicated in Article 1, paragraph 1, letter s) of the PNN, the conduct consisting of using, for the provision of the legal warranty on products sold through the ASUS e-shop, a telephone line with the prefix 199—which does not fall among the "basic rate" numbers—without simultaneously indicating the costs, constitutes a violation of Article 64 of the Consumer Code, according to which if the Professional uses a telephone line for the purpose of being contacted by the consumer by phone regarding the concluded contract, the consumer is not required to pay "more than the basic rate."</w:t>
      </w:r>
    </w:p>
    <w:p>
      <w:r>
        <w:t>124. In this regard, as established by the Court of Justice and shared by recent national jurisprudence, "The notion of 'basic rate,' as referred to in Article 21 of Directive 2011/83/EU on consumer rights, must be interpreted to mean that the cost of a call related to a concluded contract, made on a telephone assistance line managed by a professional, cannot exceed the cost of a call to a geographic fixed number or to a standard mobile number. Provided that this limit is respected, the fact that the professional concerned makes a profit or not through this telephone assistance line is irrelevant" (see T.A.R. Lazio, Section I, Judgment of April 29, 2019, No. 5360, which refers to the judgment of the Court of Justice of the EU, Section VII, March 2, 2017, in case C-568/2015).</w:t>
      </w:r>
    </w:p>
    <w:p>
      <w:r>
        <w:t>125. In particular, the aforementioned judgment of the Court of Justice was pronounced in the context of a preliminary ruling on the interpretation of Article 21 of Directive 2011/83/EU—namely, the provision transposed at the national level by Article 64 of the Consumer Code—in relation to a case concerning the use of a telephone line with a cost comparable (euro 0.14 per minute from a fixed phone) to that of the number in question (euro 0.14 per minute); in that context, the European Judge clarified that "an interpretation of the notion of 'basic rate' in the sense that professionals would be authorized to charge rates higher than that of a standard call to a geographic fixed number or to a mobile number would discourage consumers from using a telephone assistance line to obtain information related to the concluded contract or to assert their rights regarding, in particular, the warranty or withdrawal."</w:t>
      </w:r>
    </w:p>
    <w:p>
      <w:r>
        <w:t>126. As highlighted above, the unlawful conduct illustrated above is attributable to Arvato, which confirms that it hosted, until January 2019, the indication on the ASUS e-shop of the telephone number 199400089 dedicated to technical support for purchases made there, without providing information on the related costs.</w:t>
      </w:r>
    </w:p>
    <w:p>
      <w:r>
        <w:t>VI. QUANTIFICATION OF THE SANCTION</w:t>
      </w:r>
    </w:p>
    <w:p>
      <w:r>
        <w:t>127.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128. Regarding the quantification of the sanction, the criteria identified by Article 11 of Law No. 689/81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129. Regarding the severity of the violations, account is taken of the economic size and relevance of the professionals, all of whom belong to major multinational groups active worldwide, such as, in this case, the ASUS Group, which in 2018 achieved a global turnover of over 10 billion euros, and the Arvato Bertelsmann Group, which in 2018 achieved a global turnover of approximately 4 billion euros and is in turn part of the Bertelsmann Group, with a global turnover of approximately 18 billion euros.</w:t>
      </w:r>
    </w:p>
    <w:p>
      <w:r>
        <w:t>130. In assessing the severity of the violations, account is also taken of: i) the type of infringements, characterized by a significant degree of offensiveness and, in the case of ASUS, by a multi-offensive nature; ii) the degree of dissemination of the commercial practices, significantly impactful as they are carried out systematically throughout the national territory and, regarding the information conveyed via the internet, possessing a high capacity to quickly reach a large number of consumers; iii) the extent of the economic harm caused to consumers, regarding the unavailability of the defective good and the economic outlays required for the exercise of rights related to the legal warranty.</w:t>
      </w:r>
    </w:p>
    <w:p>
      <w:r>
        <w:t>131. Regarding the duration of the violations, from the elements acquired in the records, it appears that the commercial practice referred to in point II, letter A) has been carried out by ASUS at least since April 2014 and is still ongoing; the violation referred to in point II, letter B) has been carried out by Arvato at least since June 13, 2014 and has ceased since January 2019.</w:t>
      </w:r>
    </w:p>
    <w:p>
      <w:r>
        <w:t>132. Based on these elements, it is deemed appropriate to determine the amount of the administrative pecuniary sanction applicable to the professionals of the ASUS group for the unfair commercial practice referred to in point II, letter A) in the amount of 3,000,000 euros (three million).</w:t>
      </w:r>
    </w:p>
    <w:p>
      <w:r>
        <w:t>133. Furthermore, considering that the companies involved in the proceedings belonging to the ASUS group perform specific functions related to the management of technical assistance services, repairs, and any replacements and refunds of ASUS-branded products under warranty, it is deemed necessary to apply the aforementioned sanctions jointly.</w:t>
      </w:r>
    </w:p>
    <w:p>
      <w:r>
        <w:t>134. It is also deemed, in light of the aforementioned elements, to determine the amount of the administrative pecuniary sanction applicable to Arvato for the violation referred to in point II, letter B) in the amount of 100,000 euros (one hundred thousand euros).</w:t>
      </w:r>
    </w:p>
    <w:p>
      <w:r>
        <w:t>THEREFORE, CONSIDERING, in accordance with the opinion of the Authority for Communications Guarantees, based on the considerations set forth above, that the commercial practice described in point II, letter A) is unfair pursuant to Articles 20, 21 paragraph 1, letters b), c) and g), 24 and 25 of the Consumer Code, as, on the one hand, the dissemination of ambiguous and unclear information about the legal and conventional warranty conflicts with the duty of diligence and constitutes the elements of misleading or deceptive communication regarding the subject, duration, limits, and conditions of assistance both concerning the rights of the consumer and the scope of the commitments of the Professional, and on the other hand, the inadequate provision of warranty assistance services on ASUS products and the charging of unjustified expenses are contrary to professional diligence and likely to create non-contractual, burdensome, and disproportionate obstacles to the exercise of contractual rights by the consumer;</w:t>
      </w:r>
    </w:p>
    <w:p>
      <w:r>
        <w:t>THEREFORE, CONSIDERING, in accordance with the opinion of the Authority for Communications Guarantees, based on the considerations set forth above, that the conduct described in point II, letter B), consisting of Arvato's use of a telephone number (199400089), which falls among the numbers for unique or personal services referred to in Article 18 of the PNN but is excluded from the list of numbers allowed for "basic rate telephone communications," among which certainly falls the technical assistance service provided by Arvato to consumers on products purchased through the ASUS e-shop, is in violation of Article 64 of the Consumer Code, as the consumer is not required to pay more than the basic rate when contacting the professional regarding the concluded contract;</w:t>
      </w:r>
    </w:p>
    <w:p>
      <w:r>
        <w:t>DECIDES</w:t>
      </w:r>
    </w:p>
    <w:p>
      <w:r>
        <w:t>a) that the commercial practice described in point II, letter A) of this provision, carried out by the companies ASUSTeK Italy S.r.l., ASUS Europe B.V., and ASUS Holland B.V., constitutes, for the reasons and within the limits set forth in the motivation, an unfair commercial practice pursuant to Articles 20, 21, 24, and 25 of the Consumer Code;</w:t>
      </w:r>
    </w:p>
    <w:p>
      <w:r>
        <w:rPr>
          <w:b/>
        </w:rPr>
        <w:t>[Pages 103–105]</w:t>
      </w:r>
    </w:p>
    <w:p>
      <w:r>
        <w:t>BULLETIN NO. 52 OF DECEMBER 30, 2019</w:t>
      </w:r>
    </w:p>
    <w:p>
      <w:r>
        <w:t>105</w:t>
      </w:r>
    </w:p>
    <w:p>
      <w:r>
        <w:t>20, 21, paragraph 1, letters b), c) and g), 24 and 25 of the Consumer Code, and prohibits its dissemination or continuation;</w:t>
      </w:r>
    </w:p>
    <w:p>
      <w:r>
        <w:t>b) that the conduct described in point II, letter B), of this provision, carried out by the company Arvato Distribution GmbH, constitutes, for the reasons and within the limits set out in the motivation, a violation of Article 64 of the Consumer Code, and prohibits its dissemination or continuation;</w:t>
      </w:r>
    </w:p>
    <w:p>
      <w:r>
        <w:t>c) to impose, jointly and severally, on the companies ASUSTeK Italy S.r.l., ASUS Europe B.V. and ASUS Holland B.V. the administrative pecuniary sanction of €3,000,000 (three million euros) for the violation referred to in letter a);</w:t>
      </w:r>
    </w:p>
    <w:p>
      <w:r>
        <w:t>d) to impose on the company Arvato Distribution GmbH the administrative pecuniary sanction of €100,000 (one hundred thousand euros) for the violation referred to in letter b);</w:t>
      </w:r>
    </w:p>
    <w:p>
      <w:r>
        <w:t>e) that the professionals communicate to the Authority, within sixty days from the notification of this provision, the initiatives taken in compliance with the injunction referred to in point a).</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Filippo Arena Roberto Rustichelli</w:t>
      </w:r>
    </w:p>
    <w:p>
      <w:r>
        <w:t>BULLETIN NO. 52 OF DECEMBER 30, 2019</w:t>
      </w:r>
    </w:p>
    <w:p>
      <w:r>
        <w:t>107</w:t>
      </w:r>
    </w:p>
    <w:p>
      <w:r>
        <w:t>PS11198 - COMPASS - ASSOCIATED POLICIES</w:t>
        <w:br/>
        <w:t>Provision No. 28011</w:t>
        <w:br/>
        <w:t>THE ANTITRUST AUTHORITY</w:t>
      </w:r>
    </w:p>
    <w:p>
      <w:r>
        <w:t>IN ITS MEETING of November 27, 2019;</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November 6, 2018, and the subsequent integrations of February 1, March 12, and finally June 12, 2019, with which the insurance companies MetLife Europe Dac and MetLife Europe Insurance Dac presented commitments pursuant to Article 27, paragraph 7, of the Consumer Code and Article 9 of the Regulation;</w:t>
      </w:r>
    </w:p>
    <w:p>
      <w:r>
        <w:t>VIEWED the communication received on November 6, 2018, and the subsequent integrations of February 1, March 12, and finally June 7, 2019, with which the company Europ Assistance Italia S.p.A. presented commitments pursuant to Article 27, paragraph 7, of the Consumer Code and Article 9 of the Regulation;</w:t>
      </w:r>
    </w:p>
    <w:p>
      <w:r>
        <w:t>VIEWED its resolutions of January 10, March 27, May 22, July 31, and finally September 19, 2019, with which, pursuant to Article 7, paragraph 3, of the Regulation, five distinct extensions of the deadline for concluding the procedure were ordered;</w:t>
      </w:r>
    </w:p>
    <w:p>
      <w:r>
        <w:t>VIEWED the acts of the procedure;</w:t>
      </w:r>
    </w:p>
    <w:p>
      <w:r>
        <w:t>I. THE PARTIES</w:t>
      </w:r>
    </w:p>
    <w:p>
      <w:r>
        <w:t>1. COMPASS BANCA S.p.A. (hereinafter 'Compass'), as a professional, pursuant to Article 18, letter b), of the Consumer Code. The company, wholly owned by Mediobanca Banca di Credito Finanziario S.p.A., in line with what is provided for the determination of the turnover of credit institutions and other financial institutions by Article 5, paragraph 3, of Regulation No. 139/2004/EC on concentrations, achieved during the financial year ending June 30, 2018, a turnover of approximately €1 billion.</w:t>
      </w:r>
    </w:p>
    <w:p>
      <w:r>
        <w:t>1 Docs. No. 63, 64 and 65, communications to the Parties of 14.01.2019; Docs. No. 88, 89, 90, communications of 2.04.2019; Docs. No. 104, 105 and 106, communications of 22/05/2019; Docs. No. 126, 127 and 128, communications of 31.07.2019; finally, Docs. No. 139, 140 and 141, communications of 19.09.2019.</w:t>
      </w:r>
    </w:p>
    <w:p>
      <w:r>
        <w:t>2 Doc. No. 142, attachment No. 9 Financial Statements as of June 30, 2018, provided by Compass Banca S.p.A. attached to the concluding memoranda.</w:t>
      </w:r>
    </w:p>
    <w:p>
      <w:r>
        <w:rPr>
          <w:b/>
        </w:rPr>
        <w:t>[Pages 106–108]</w:t>
      </w:r>
    </w:p>
    <w:p>
      <w:r>
        <w:t>108 BULLETIN NO. 52 OF DECEMBER 30, 2019</w:t>
      </w:r>
    </w:p>
    <w:p>
      <w:r>
        <w:t>2. EUROP ASSISTANCE ITALIA S.p.A. (hereinafter EA), as a professional, pursuant to Article 18, letter b), of the Consumer Code. The financial statements as of December 31, 2018 recorded a turnover of approximately 260 million euros.</w:t>
      </w:r>
    </w:p>
    <w:p>
      <w:r>
        <w:t>3. METLIFE EUROPE DAC (hereinafter MEDAC or also, jointly with MetLife Europe Insurance Dac, a company of the Met Life Group), as a professional, pursuant to Article 18, letter b), of the Consumer Code. The financial statements as of December 31, 2018 recorded a turnover of approximately 1 billion euros.</w:t>
      </w:r>
    </w:p>
    <w:p>
      <w:r>
        <w:t>4. METLIFE EUROPE INSURANCE DAC (hereinafter MEIDAC or also, jointly with MetLife Europe Dac, a company of the Met Life Group), as a professional, pursuant to Article 18, letter b), of the Consumer Code. The financial statements as of December 31, 2018 recorded a turnover of approximately 63 million euros.</w:t>
      </w:r>
    </w:p>
    <w:p>
      <w:r>
        <w:t>II. COMMERCIAL PRACTICES</w:t>
      </w:r>
    </w:p>
    <w:p>
      <w:r>
        <w:t>5. The procedure concerns the following conducts:</w:t>
      </w:r>
    </w:p>
    <w:p>
      <w:r>
        <w:t>Practice A):</w:t>
        <w:br/>
        <w:t>Compass Banca S.p.A. conditioned and/or significantly limited the freedom of choice of consumers regarding its financing products, in that it proposed to consumers intending to request loans, the possibility of accessing these only by subscribing to insurance policies that have nothing to do with the financing, effectively implementing a forced bundling of financing products and insurance products.</w:t>
      </w:r>
    </w:p>
    <w:p>
      <w:r>
        <w:t>Practice B):</w:t>
        <w:br/>
        <w:t>MEDAC, MEIDAC, and EA would have failed in their duties of control over the placement of their policies carried out by Compass, despite being made aware of their distribution in forced bundling with loans at least from the requests for reimbursement of the premium paid for the unused coverage period, following the early repayment of the loans.</w:t>
      </w:r>
    </w:p>
    <w:p>
      <w:r>
        <w:t>III. OUTCOMES OF THE PROCEDURE</w:t>
      </w:r>
    </w:p>
    <w:p>
      <w:r>
        <w:t>1) The course of the procedure</w:t>
      </w:r>
    </w:p>
    <w:p>
      <w:r>
        <w:t>6. By act of September 13, 2018, Compass was notified of the initiation of the investigative procedure PS11198 to verify the existence of an alleged unfair commercial practice in violation of Articles 24 and 25, paragraph 1, letter a), of Legislative Decree No. 206 of September 6, 2005, containing the "Consumer Code," in relation to the placement of insurance policies not connected to personal loans, at the time of granting them.</w:t>
      </w:r>
    </w:p>
    <w:p>
      <w:r>
        <w:t>7. In the same initiation communication, the insurance companies Europ Assistance Italia S.p.A., MetLife Europe dac, and MetLife Europe Insurance dac were accused of insufficient or lack of control over the placement of their insurance products carried out by the distributing financial company, in alleged violation of Article 20, paragraph 2, of the Consumer Code.</w:t>
      </w:r>
    </w:p>
    <w:p>
      <w:r>
        <w:t>109 BULLETIN NO. 52 OF DECEMBER 30, 2019</w:t>
      </w:r>
    </w:p>
    <w:p>
      <w:r>
        <w:t>8. On September 19, 2018, inspections were carried out at the legal headquarters of EA, the General Representation for Italy, and the operational headquarters of MEDAC and MEIDAC, as well as at the legal headquarters of the financial company Compass, resulting in the acquisition of information and documentation, including internal documents, regarding the conducts subject to contestation in the initiation communication.</w:t>
      </w:r>
    </w:p>
    <w:p>
      <w:r>
        <w:t>9. The companies of the Met Life Group submitted a defensive memorandum with a simultaneous response to the requests for information made at the outset, on October 19, 2018.</w:t>
      </w:r>
    </w:p>
    <w:p>
      <w:r>
        <w:t>10. The company Compass, on October 22, 2018, submitted the first defensive memorandum, with subsequent documentary integration on November 2, 2018.</w:t>
      </w:r>
    </w:p>
    <w:p>
      <w:r>
        <w:t>11. The insurance company EA submitted the defensive memorandum and the response to the request for information contained in the initiation communication on October 22, 2018.</w:t>
      </w:r>
    </w:p>
    <w:p>
      <w:r>
        <w:t>12. On November 6, 2018, the companies EA, MEDAC, and MEIDAC presented a first version of commitments pursuant to Article 27, paragraph 7, of the Consumer Code and Article 9 of the Regulation, aimed at removing the profiles of unfairness of their respective contested commercial practices.</w:t>
      </w:r>
    </w:p>
    <w:p>
      <w:r>
        <w:t>13. On the same date of November 6, 2018, the company Compass presented a first version of commitments pursuant to Article 27, paragraph 7, of the Consumer Code and Article 9 of the Regulation, subsequently integrated.</w:t>
      </w:r>
    </w:p>
    <w:p>
      <w:r>
        <w:t>14. On November 29, 2018, a hearing was held with the company EA.</w:t>
      </w:r>
    </w:p>
    <w:p>
      <w:r>
        <w:t>15. On December 20, 2018, a letter was sent to the company Compass and the insurance companies of the Met Life Group and EA, in which the Authority set a deadline for the possible integration of commitments, pursuant to Article 9, paragraph 2, letter b), of the Regulation.</w:t>
      </w:r>
    </w:p>
    <w:p>
      <w:r>
        <w:t>16. On January 18, 2019, Compass submitted a second version of the Commitment Form.</w:t>
      </w:r>
    </w:p>
    <w:p>
      <w:r>
        <w:t>17. On February 1, 2019, the companies of the Met Life Group and EA produced an integrated text of the commitments.</w:t>
      </w:r>
    </w:p>
    <w:p>
      <w:r>
        <w:t>18. On February 22, 2019, hearings were held with the companies Compass, MEDAC, MEIDAC, and EA.</w:t>
      </w:r>
    </w:p>
    <w:p>
      <w:r>
        <w:t>19. On March 11, 2019, the financial company Compass, as well as the insurance companies MEDAC, MEIDAC, and EA, transmitted a new version of commitments.</w:t>
      </w:r>
    </w:p>
    <w:p>
      <w:r>
        <w:t>20. By communication sent on April 2, 2019, the rejection of the commitments produced by the companies Compass, MEDAC, MEIDAC, and EA was communicated, as decided by the Authority in the meeting of March 27, 2019.</w:t>
      </w:r>
    </w:p>
    <w:p>
      <w:r>
        <w:t>21. On April 17, 2019, EA requested a review of the rejection of the commitments, and a similar request was made on April 18, 2019, by the companies of the Met Life Group.</w:t>
      </w:r>
    </w:p>
    <w:p>
      <w:r>
        <w:t>22. On April 24, 2019, the financial company Compass also requested a review of the rejection of the commitments, and on the same date, a request for information was sent to the company.</w:t>
      </w:r>
    </w:p>
    <w:p>
      <w:r>
        <w:t>23. On May 2, 2019, a hearing was held with the company Compass.</w:t>
      </w:r>
    </w:p>
    <w:p>
      <w:r>
        <w:t>24. On May 9, 2019, the financial company provided a response to the request for information.</w:t>
      </w:r>
    </w:p>
    <w:p>
      <w:r>
        <w:t>25. On May 31, 2019, hearings were held with the companies of the Met Life Group and with the company EA.</w:t>
      </w:r>
    </w:p>
    <w:p>
      <w:r>
        <w:t>26. On June 7, 2019, the company EA transmitted a consolidated version of the commitment form.</w:t>
      </w:r>
    </w:p>
    <w:p>
      <w:r>
        <w:t>27. On June 12, 2019, the companies of the Met Life Group also produced a consolidated version of the Commitment Form.</w:t>
      </w:r>
    </w:p>
    <w:p>
      <w:r>
        <w:t>28. By communication of July 5, 2019, the financial company was informed of the rejection of the request for review of the commitments, as decided by the Authority in the meeting of July 3, 2019.</w:t>
      </w:r>
    </w:p>
    <w:p>
      <w:r>
        <w:t>29. On July 5, 2019, it was communicated to the insurance companies that in the Authority's meeting of July 3, 2019, the requests for review of the rejection of the commitments were accepted, in light of the new integrated Forms.</w:t>
      </w:r>
    </w:p>
    <w:p>
      <w:r>
        <w:t>30. On August 1, 2019, the parties were informed of the conclusion date of the investigative phase pursuant to Article 16, paragraph 1, of the Regulation.</w:t>
      </w:r>
    </w:p>
    <w:p>
      <w:r>
        <w:t>31. On August 2, 2019, Compass requested an extension of the deadline for the final memorandum and the final deadline for the conclusion of the procedure.</w:t>
      </w:r>
    </w:p>
    <w:p>
      <w:r>
        <w:t>32. On August 6, 2019, the company Compass exercised the right of access to the documents of the procedure, already exercised on October 16, 2018, and on the same date, the new conclusion date of the investigative phase was communicated to the interested parties.</w:t>
      </w:r>
    </w:p>
    <w:p>
      <w:r>
        <w:t>33. The Authority, in the meeting of September 18, 2019, decided to extend the deadline for the conclusion of the procedure, communicated to the parties by letters of September 19, 2019.</w:t>
      </w:r>
    </w:p>
    <w:p>
      <w:r>
        <w:rPr>
          <w:b/>
        </w:rPr>
        <w:t>[Pages 109–111]</w:t>
      </w:r>
    </w:p>
    <w:p>
      <w:r>
        <w:t>BULLETIN NO. 52 OF DECEMBER 30, 2019 111</w:t>
      </w:r>
    </w:p>
    <w:p>
      <w:r>
        <w:t xml:space="preserve">34. On September 24, 2019, the company Compass submitted its final memoranda.  </w:t>
        <w:br/>
        <w:t xml:space="preserve">35. On September 26, 2019, a request for an opinion was made to IVASS and to the Bank of Italy regarding the commitments made by the insurance companies of the Met Life Group and EA.  </w:t>
        <w:br/>
        <w:t xml:space="preserve">36. On September 27, 2019, a request for an opinion was made to IVASS and to the Bank of Italy regarding the conduct carried out by Compass.  </w:t>
        <w:br/>
        <w:t xml:space="preserve">37. On October 28, 2019, the opinions from the Bank of Italy regarding the practices implemented by Compass Banca S.p.A. and the commitments of the insurance companies of the Met Life Group and Europ Assistance Italia S.p.A. were received.  </w:t>
        <w:br/>
        <w:t>38. On October 28, 2019, the opinions from IVASS regarding the commitments made by the insurance companies and the conduct of Compass were received.</w:t>
      </w:r>
    </w:p>
    <w:p>
      <w:r>
        <w:t xml:space="preserve">2) The elements acquired  </w:t>
        <w:br/>
        <w:t xml:space="preserve">Practice sub A): documentary evidence on the conduct of COMPASS  </w:t>
        <w:br/>
        <w:t xml:space="preserve">39. The investigative documentation certifies that, starting from 2017, among the companies of the Met Life Group and Compass, and between EA and Compass, there are some Agreements with annual tacit renewal distinct for the various insurance products marketed by the financial company together with personal loans, which provide for various types of coverage. These Agreements require the intermediary to deliver to the insured a copy of the pre-contractual and contractual documentation before adherence and to monitor compliance with the obligation of information and delivery of the pre-contractual and contractual documentation by its commercial network. Standalone sales were not provided for as the insurance products were placed exclusively by Compass together with the personal loans granted by it.  </w:t>
        <w:br/>
        <w:t xml:space="preserve">40. The premium for these insurance products was, as a rule, paid in a single solution and in advance and was commensurate with the duration of the insurance coverage and financed by the financial intermediary, which was recognized a commission on average equal to a percentage ranging from [15-55%]* of the premium paid, net of taxes.  </w:t>
        <w:br/>
        <w:t xml:space="preserve">41. From the documentation in the investigative acts, it appears that the policies are placed at the time of the subscription of the personal loans granted by the same financial company. The policies are placed distinctly and autonomously by Compass, which, moreover, has the possibility of using various placement techniques, including remotely, for the performance of the assignment; among the other obligations provided for by the intermediation agreement, Compass, as outlined above, is required to use the pre-contractual and contractual forms provided by the insurance companies and to provide the necessary information regarding the characteristics of the insurance products placed by them, and has, among other things, the faculty to carry out advertising initiatives regarding such policies, subject to the authorization of the companies.  </w:t>
        <w:br/>
        <w:t xml:space="preserve">42. The placement of the policies occurs at the time of granting loans, according to a profiling procedure of the insurance needs of the beneficiaries of the personal loans. In such cases, the Compass consultant responsible for collecting the loan application presents the policies intermediated by the company to the client, and in case of acceptance, the premium, to be paid entirely in advance, is included in the financing. This results in an increase in the monthly repayment installment of the loan. The insurance premium to be paid is of variable value based on the amount of the requested loan, as well as based on the type of needs of the subscribing client.  </w:t>
        <w:br/>
        <w:t xml:space="preserve">43. From the documentation in the acts, it emerges how the company has carried out the placement of the policies through methods that induce the consumer to believe that they must necessarily subscribe to them in order to obtain the financing: for example, through the subscription of the insurance contracts not immediately understood at the time of signing the financing, or through misleading conduct and 'forced' selling of the insurance products or, again, without providing any information on the optional nature of the insurance products, nor delivering the contractual documentation of the policy at the time of subscription. The inseparability between financing and policy induced by Compass's behaviors would have been such as to push consumers to request, in case of early repayment of the personal loan, the refund of the portion of the insurance premium related to the unused coverage period. The documentary evidence suggests a poor understanding of the real nature of the subscribed policies, so much so that, regarding the policies issued by EA, the complaints monitored from July 2017 to March 2018 were [20-77], in terms of failure to deliver documentation, misinformation about the real nature of the policy, as well as regarding the failure to refund the portion of the unused premium.  </w:t>
        <w:br/>
        <w:t xml:space="preserve">44. Similar data on complaints emerge from the analyses carried out by Compass regarding the policies issued by the companies of the Met Life Group: from the documentation in the acts, it appears that, regarding the phase of insurance intermediation monitored during the period from July 2017 to March 2018, the complaints were [90-210]. Regarding the insurance product, the number of complaints recorded in the same period was [150-350], mainly concerning grievances about refunds of the portions of the unused premium at the time of early repayment of the loan. In any case, from the documentation presented above, Compass's intent to limit the number of autonomous complaints emerges, up to premiums of [50-250] euros against a loan requested from Compass of approximately 2,100 euros.  </w:t>
        <w:br/>
        <w:t>45. The complaints monitored from July 2017 to March 2018 reveal that numerous clients have complained about the mandatory nature of the policy at the time of signing the contract.</w:t>
      </w:r>
    </w:p>
    <w:p>
      <w:r>
        <w:rPr>
          <w:b/>
        </w:rPr>
        <w:t>[Pages 112–114]</w:t>
      </w:r>
    </w:p>
    <w:p>
      <w:r>
        <w:t>114 BULLETIN NO. 52 OF DECEMBER 30, 2019</w:t>
      </w:r>
    </w:p>
    <w:p>
      <w:r>
        <w:t>through possible mitigation actions (sending welcome letters, including contractual forms on the Compass website, sending SMS for refunds, etc.).</w:t>
      </w:r>
    </w:p>
    <w:p>
      <w:r>
        <w:t>45. An excerpt from 45 complaints submitted by the financial company reveals once again the main reasons for grievances regarding misinformation about the nature of the policy during the signing of the financing contract, the failure to deliver the entire contractual documentation, and misunderstandings regarding the nature of the policy. From the list of individual positions, numerous complaints remain unresolved.</w:t>
      </w:r>
    </w:p>
    <w:p>
      <w:r>
        <w:t>46. From the investigative findings, it also emerges a commercial policy of distributing policies not connected to financing that is particularly aggressive, with the placement of insurance products that do not meet the needs of the loan beneficiary. Moreover, the particular economic convenience of placing policies in conjunction with the loans granted emerges from a table acquired in the records, which shows that, compared to the year 2016, there would have been an increase of [10-30%] in policies combined and not connected to loans, while for the sales of stand-alone policies (different from those of the companies involved in the proceedings) a decrease of approximately -[7-25%] would have been recorded. From an internal email at Compass dated 16.02.2018, sent in anticipation of a meeting with EA, it is noted, imagining "some areas of discussion," that regarding stand-alone policies, the product is advantageous for the company ([omitted]) and therefore it will complain that the financial company is "[omitted]," due to the fact that it is pushing for the combination with the financing it provides.</w:t>
      </w:r>
    </w:p>
    <w:p>
      <w:r>
        <w:t>47. The placement of policies unrelated to financing and in conjunction with it appears to be a commercial practice regularly followed by the financial company at least since 2015. In numerous cases, along with the contracts for the granting of a personal loan, two insurance policies unrelated to the credit appear to have been activated, as evidenced by the complaints and contracts submitted by the company. In other cases, two policies were activated, one of which was unrelated to the credit granted.</w:t>
      </w:r>
    </w:p>
    <w:p>
      <w:r>
        <w:t>48. From the complaints, frequent grievances arise regarding the increase in the loan installment due to the inclusion of the premium for an unrelated insurance. Furthermore, there are numerous complaints regarding the forced sale of policies not connected to the personal loan. The failure to deliver the insurance documentation has also been the subject of numerous complaints from Compass customers.</w:t>
      </w:r>
    </w:p>
    <w:p>
      <w:r>
        <w:t>49. Regarding the management of refunds for unutilized premium amounts in the event of early repayment of the loan, it appears that initially the company refused to proceed with the refund, hiding behind the lack of connection of the policies previously signed with the financing, only later recognizing the right to a refund for those who expressly requested it.</w:t>
      </w:r>
    </w:p>
    <w:p>
      <w:r>
        <w:t>50. From the data provided by the financial company, it appears that between January 2015 and July 2018, the total number of personal loans was [255,000-855,000], while in the shorter period between January 2017 and July 2018, the total number of personal loans was [110,000-350,000]. The personal financing contracts to which an unrelated policy was associated in the period between January 2015 and July 2018 were [100,000-350,000], while between January 2017 and July 2018, the number of loans with an unrelated insurance policy was [80,000-210,000].</w:t>
      </w:r>
    </w:p>
    <w:p>
      <w:r>
        <w:t>51. It follows that the practices adopted by Compass have resulted, in the period from January 2015 to July 2018, in a percentage of loans granted in conjunction with policies covering events unrelated to them, amounting to approximately [15-60%]. In contrast, regarding the more limited period from January 2017 to July 2018, the percentage incidence of insurance penetration was approximately [10-60%], compared to the total personal loans granted.</w:t>
      </w:r>
    </w:p>
    <w:p>
      <w:r>
        <w:t>3) The defensive arguments of Compass</w:t>
      </w:r>
    </w:p>
    <w:p>
      <w:r>
        <w:t>52. With documents received on October 22, 2018, and subsequent documentary integration on November 2, 2018, as well as transmitted on May 9, 2019, and in the concluding documents of September 24, 2019, Compass represented the following:</w:t>
        <w:br/>
        <w:t>- the professional argued the disparity of treatment received with the rejection of the commitments presented compared to previous resolutions of the Authority dated March 29, 2019, concerning similar cases. In this regard, after examining the process of various proposals and the rejection of commitments by the Authority for their inadequacy due to the lack of a 'temporal separation' between the personal financing contract and that of the unrelated insurance policy, the financial company argued that the commitments reported a measure with 'similar effect' to what was requested by the Authority;</w:t>
        <w:br/>
        <w:t>- regarding the contested conduct, the Private Insurance Code (Legislative Decree No. 209/2005), Article 120 quinquies, paragraph 1, does not prohibit the simultaneous/bundled sale of financial and insurance products, but only requires operators to inform "the contracting party of the possible option to purchase the two components separately";</w:t>
        <w:br/>
        <w:t>- the activity of placing policies occurs through the sales network and is structured in different phases (i.e., pre-contractual phase, contractual phase, post-contractual phase). In the pre-contractual phase, policies are offered only to individuals who meet the insurability requirements set forth by them and to the Target Market to which they are intended. The customer is thus provided with the necessary information.</w:t>
      </w:r>
    </w:p>
    <w:p>
      <w:r>
        <w:rPr>
          <w:b/>
        </w:rPr>
        <w:t>[Pages 115–117]</w:t>
      </w:r>
    </w:p>
    <w:p>
      <w:r>
        <w:t>BULLETIN NO. 52 OF DECEMBER 30, 2019 117</w:t>
      </w:r>
    </w:p>
    <w:p>
      <w:r>
        <w:t>so-called Insurance Documentation, completely distinct from that relating to the financing contract. In case of customer interest, the contractual phase begins, in which the insurance offer is finalized through the signing of the Suitability Questionnaire and the Policy Subscription Form. Following the signing of the two contracts relating to the financing and the insurance product, the post-contractual phase opens with the sending of the Welcome Letter;</w:t>
      </w:r>
    </w:p>
    <w:p>
      <w:r>
        <w:t>- the data regarding the level of pairing of insurance products is not stable, but variable; in fact, it ranges between [25-65%] in 2015 and [22-55%] in 2018, highlighting that about two consumers out of three did not have the policy in the last year. The conclusion of the communication regarding the end of the investigative phase concerning the high level of pairing is contradicted by IVASS and the Bank of Italy, which, in the absence of any regulatory provision defining the mandatory nature of the policy upon reaching certain pairing thresholds, have considered the threshold of 80% as a so-called "concern" for the purpose of assessing the character of forced pairing, which is much higher than that found in the case under investigation66 (see Market Letter of August 26, 2015 for CPI policies);</w:t>
      </w:r>
    </w:p>
    <w:p>
      <w:r>
        <w:t>- complaints would have an irrelevant impact on the number of loans subscribed, averaging about [0.05-2%]67. The incidence of complaints on the total number of loan contracts concluded in 2017 was [0.02-1.2%], while during 2018 (January-July period) this percentage was lower ([0.01-1.5%]);</w:t>
      </w:r>
    </w:p>
    <w:p>
      <w:r>
        <w:t>- from the data provided by the company, it also appears that in the period between January 2015 and June 2018, the percentage incidence of cancellations within 60 days from the conclusion of the contract for policies placed in conjunction with loans was about [0.01-3%]. Instead, in the period from January 2017 to June 2018, the percentage incidence was about [0.01-2%]68;</w:t>
      </w:r>
    </w:p>
    <w:p>
      <w:r>
        <w:t>- various actions have been taken to inform personal loan beneficiaries of the optional nature of the insurance policies, as well as the possibility of exercising the right of withdrawal at any time during the validity of the policy.</w:t>
      </w:r>
    </w:p>
    <w:p>
      <w:r>
        <w:t>4) The elements acquired on the conduct of insurance companies</w:t>
      </w:r>
    </w:p>
    <w:p>
      <w:r>
        <w:t>53. Below are the main investigative findings regarding the conduct of insurance companies.</w:t>
      </w:r>
    </w:p>
    <w:p>
      <w:r>
        <w:t>The companies of the Met Life Group</w:t>
      </w:r>
    </w:p>
    <w:p>
      <w:r>
        <w:t>54. From the documents, it emerges that the policies of the Met Life Group provide for pre-contractual and contractual documentation that is distinct and autonomous from that of the financing; furthermore, it appears that:</w:t>
      </w:r>
    </w:p>
    <w:p>
      <w:r>
        <w:t>66 Doc. 142, attachment no. 1, relating to the letter from the Bank of Italy and IVASS to the market, where in point no. 3, regarding the 'Criticalities in distribution processes (placement intermediaries)', specifically concerning the combined sale of financing/policies, it is stated that “From the results of the inspections independently conducted in their respective areas of competence by IVASS and the Bank of Italy, cases have emerged where the granting of the loan was systematically paired with the subscription of an insurance policy despite the optional nature of the latter. Some indices of 'insurance penetration' observed, also exceeding 80%, may be symptomatic of the substantially binding nature of the policies.”</w:t>
      </w:r>
    </w:p>
    <w:p>
      <w:r>
        <w:t>67 Doc. 102, memorandum of 9.5.2019, p. 3.</w:t>
      </w:r>
    </w:p>
    <w:p>
      <w:r>
        <w:t>68 Doc. 102, p. 2.</w:t>
      </w:r>
    </w:p>
    <w:p>
      <w:r>
        <w:t>118 BULLETIN NO. 52 OF DECEMBER 30, 2019</w:t>
      </w:r>
    </w:p>
    <w:p>
      <w:r>
        <w:t>- the policies have a variable duration69, starting from the day of adherence to the insurance program, without tacit renewal;</w:t>
      </w:r>
    </w:p>
    <w:p>
      <w:r>
        <w:t>- the policies provide for a single premium, paid in advance and financed by the intermediary as a result of its inclusion in the total amount of the financing70;</w:t>
      </w:r>
    </w:p>
    <w:p>
      <w:r>
        <w:t>- the policies provide for forms of indemnity, in case of a claim, in the form of capital or periodic annuity, which are not in any way related to the amount of the installments or the remaining debt of the financing71;</w:t>
      </w:r>
    </w:p>
    <w:p>
      <w:r>
        <w:t>- the documentation used did not contain any reference regarding the optional nature of the policies in question.</w:t>
      </w:r>
    </w:p>
    <w:p>
      <w:r>
        <w:t>55. More specifically, the insurance policies issued by the companies of the Met Life Group covering events unrelated to credit are called 'Protection Policies', and are as follows:</w:t>
      </w:r>
    </w:p>
    <w:p>
      <w:r>
        <w:t>- the “Lifestyle” policies (Insurance agreements with Alico, now Compass nos. CL/11/052 and CL/11/053) covering the risks: life in case of death, total temporary incapacity to work, and hospitalization insured by Alico Italia S.p.A. (now Compass Banca S.p.A.), involuntary job loss insured by MEIDAC and MEDAC72;</w:t>
      </w:r>
    </w:p>
    <w:p>
      <w:r>
        <w:t>- the “Budget Protection” policy (Insurance agreements with Compass no. CL/11/050 and no. AH/16/051, updated on 19/07/2016) covering the risks: total temporary incapacity to work and hospitalization insured by MEDAC, involuntary job loss insured by MEIDAC73;</w:t>
      </w:r>
    </w:p>
    <w:p>
      <w:r>
        <w:t>- the “Personal Protection” policy (Insurance agreement with Compass no. AH/15/030), covering the risks: surgical intervention following Injury or Illness, plastering following Injury insured by MEDAC74;</w:t>
      </w:r>
    </w:p>
    <w:p>
      <w:r>
        <w:t>- the “Medical Protection” policies (Insurance agreement with Compass no. AH/16/031, updated on 19/07/2016), as well as “Medical Protection Plus” (Insurance agreement with Compass no. AH/18/032, updated on 1/10/2018), covering the risks: hypothermia or freezing; sunstroke or heat and cold strokes, natural disasters and/or war, as well as injury and/or amputation, occurring during the performance of professional activities and/or in leisure time, following injury, insured by MEDAC75;</w:t>
      </w:r>
    </w:p>
    <w:p>
      <w:r>
        <w:t>- the “Daily Protection” policy (Insurance agreements with Compass nos. AH/18/060 and AH/18/061 updated on 1/10/2018), covering the risks: Total Temporary Incapacity following Injury or Illness (ITT), insured by MEDAC76.</w:t>
      </w:r>
    </w:p>
    <w:p>
      <w:r>
        <w:t>56. The insurance products “Lifestyle” and “Budget Protection” are no longer marketed, respectively, since March 2015 and February 2016, although numerous contracts77 are still in force.</w:t>
      </w:r>
    </w:p>
    <w:p>
      <w:r>
        <w:t>The company Europ Assistance Italia</w:t>
      </w:r>
    </w:p>
    <w:p>
      <w:r>
        <w:t>57. From what has been acquired in the documents, it appears that between EA and Compass there are currently two distinct Agreements for the two products issued by EA, both signed in 2017 with tacit annual renewal. It is expressly provided that in the event of early termination of the financing relationship, the insurance coverage will still be considered provided for its entire duration and the related premium will still be considered acquired by the company78.</w:t>
      </w:r>
    </w:p>
    <w:p>
      <w:r>
        <w:t>58. From the documents, it specifically emerges that the policies provide for pre-contractual and contractual documentation that is distinct and autonomous from that of the financing; furthermore, it appears that:</w:t>
      </w:r>
    </w:p>
    <w:p>
      <w:r>
        <w:t>- the policies have a variable duration79;</w:t>
      </w:r>
    </w:p>
    <w:p>
      <w:r>
        <w:t>- the policies provide for a single premium, paid in advance and financed by the intermediary as a result of its inclusion in the total amount of the financing80;</w:t>
      </w:r>
    </w:p>
    <w:p>
      <w:r>
        <w:t>- the policies provide for forms of indemnity, in case of a claim, in the form of capital or periodic annuity, which are not in any way related to the amount of the installments or the remaining debt of the financing81;</w:t>
      </w:r>
    </w:p>
    <w:p>
      <w:r>
        <w:t>- the documentation used did not contain any reference to the optional nature of the policies not connected to personal loans82.</w:t>
      </w:r>
    </w:p>
    <w:p>
      <w:r>
        <w:t>59. More specifically, the insurance policies covering events unrelated to credit issued by EA are called 'Insurance Policies', and are as follows:</w:t>
      </w:r>
    </w:p>
    <w:p>
      <w:r>
        <w:t>– the “Personal Protection Plus” policy, covering the risks: home medical assistance, surgical intervention from injury, illness, and childbirth by cesarean section83;</w:t>
      </w:r>
    </w:p>
    <w:p>
      <w:r>
        <w:rPr>
          <w:b/>
        </w:rPr>
        <w:t>[Pages 118–120]</w:t>
      </w:r>
    </w:p>
    <w:p>
      <w:r>
        <w:t>120 BULLETIN NO. 52 OF DECEMBER 30, 2019</w:t>
      </w:r>
    </w:p>
    <w:p>
      <w:r>
        <w:t>- the "Personal Protection Top" Policy, covering risks: physiotherapy treatments, including at home, general and specialist medical assistance due to injury.</w:t>
      </w:r>
    </w:p>
    <w:p>
      <w:r>
        <w:t>5) Commitments of the insurance companies</w:t>
      </w:r>
    </w:p>
    <w:p>
      <w:r>
        <w:t>The commitments of the Met Life Group companies</w:t>
      </w:r>
    </w:p>
    <w:p>
      <w:r>
        <w:t>60. The companies of the Met Life Group jointly presented a text of commitments on November 6, 2018, subsequently supplemented on February 1, 2019, March 11, 2019, and June 12, 2019.</w:t>
      </w:r>
    </w:p>
    <w:p>
      <w:r>
        <w:t>Pro-future measures</w:t>
      </w:r>
    </w:p>
    <w:p>
      <w:r>
        <w:t>Commitment No. 1</w:t>
      </w:r>
    </w:p>
    <w:p>
      <w:r>
        <w:t>Pre-contractual and contractual information</w:t>
      </w:r>
    </w:p>
    <w:p>
      <w:r>
        <w:t>The companies intend to improve the information contained in the contractual and pre-contractual documentation to highlight to subscribers the essential characteristics of the Policies and, in particular, their optional nature and non-connection to financing, specifying: (i) that in the event of early repayment of the financing, the subscribed Policy does not automatically cease and no premium refund is due; (ii) that the customer is free to terminate the relationship at any time by simple request.</w:t>
      </w:r>
    </w:p>
    <w:p>
      <w:r>
        <w:t>The suitability questionnaires signed by the financing company will be verified and modified in order to increase the customer's awareness of the optional nature of the policies. The above measure has already been implemented since January 1, 2019.</w:t>
      </w:r>
    </w:p>
    <w:p>
      <w:r>
        <w:t>Commitment No. 2</w:t>
      </w:r>
    </w:p>
    <w:p>
      <w:r>
        <w:t>Strengthening control systems</w:t>
      </w:r>
    </w:p>
    <w:p>
      <w:r>
        <w:t xml:space="preserve">The companies intend to consolidate the monitoring system of the distribution activity of the Policies by the intermediary, with actions aimed at: </w:t>
        <w:br/>
        <w:t xml:space="preserve">a) strengthening the provisions provided to Compass regarding the methods of distribution of the Policies, preparing specific Guidelines for the sale of such types of products; </w:t>
        <w:br/>
        <w:t>b) consolidating control regarding the Commodity Calls made by Compass, to verify the level of understanding by customers regarding the characteristics of the subscribed insurance product. Specifically, Compass's telephone operators will be assisted in listening to a representative sample of Commodity Calls. Furthermore, Compass will send the companies, on a monthly basis, the control reporting prepared by it.</w:t>
      </w:r>
    </w:p>
    <w:p>
      <w:r>
        <w:t>Commitment No. 3</w:t>
      </w:r>
    </w:p>
    <w:p>
      <w:r>
        <w:t>Welcome Letter</w:t>
      </w:r>
    </w:p>
    <w:p>
      <w:r>
        <w:t>The companies intend to improve the information contained in the welcome letter, expressly indicating that: (i) in the event of early repayment of the financing, the Policy does not automatically cease and no premium refund is due; (ii) the customer is free to terminate the relationship at any time, by mere request that can be submitted in simple paper, or by using a specific form that the companies will make available to the customer on their website.</w:t>
      </w:r>
    </w:p>
    <w:p>
      <w:r>
        <w:t>Commitment No. 4</w:t>
      </w:r>
    </w:p>
    <w:p>
      <w:r>
        <w:t>Stand-alone Policies</w:t>
      </w:r>
    </w:p>
    <w:p>
      <w:r>
        <w:t>The companies commit to (i) create and distribute policies also in stand-alone mode; (ii) ensure that a platform is developed that can manage both policies and allow the customer to pay the premium, at their choice, with their own means or with financing aimed solely at the purchase of the policy; (iii) ensure adequate training regarding the sales process in which both insurance products (stand-alone and with financed premium) will be offered. This measure will be implemented within 12 (twelve) months from the notification of the acceptance of the commitments.</w:t>
      </w:r>
    </w:p>
    <w:p>
      <w:r>
        <w:t>Commitment No. 5</w:t>
      </w:r>
    </w:p>
    <w:p>
      <w:r>
        <w:t>Compliance Program</w:t>
      </w:r>
    </w:p>
    <w:p>
      <w:r>
        <w:t>The companies commit to implement a specific Compliance program regarding unfair commercial practices that will involve the various managerial and/or operational levels of the companies. This program includes, among other things, the preparation of Guidelines and a specific Training activity, aimed at explaining the fundamental concepts of the Consumer Code, with a particular focus on the prohibitions of unfair commercial practices, the consequences arising from violations of this regulation, and the behaviors that staff must adopt towards consumers in order to avoid incurring violations of the Consumer Code, as well as a "questions and answers" session.</w:t>
      </w:r>
    </w:p>
    <w:p>
      <w:r>
        <w:t>Commitment No. 6</w:t>
      </w:r>
    </w:p>
    <w:p>
      <w:r>
        <w:t>Support to Compass in the training of insurance intermediation staff</w:t>
      </w:r>
    </w:p>
    <w:p>
      <w:r>
        <w:t>The control activity will also be implemented with support provided to the financing company aimed at improving the level of professionalism of the staff engaged in insurance intermediation carried out by it, integrating training for the staff responsible for the commercial training of Compass's distribution networks through sessions held annually and with a specific focus on the characteristics of the Policies and the rights exercisable by the consumer. The training support will also involve the integration of training material produced by the companies and directed to all insurance intermediaries of Compass, including a short questionnaire to verify the correct understanding of the material.</w:t>
      </w:r>
    </w:p>
    <w:p>
      <w:r>
        <w:t>Measures related to Policies signed before the implementation of the commitments</w:t>
      </w:r>
    </w:p>
    <w:p>
      <w:r>
        <w:t>Commitment No. 7</w:t>
      </w:r>
    </w:p>
    <w:p>
      <w:r>
        <w:t>Refund of unutilized premium installments to applicants and claimants</w:t>
      </w:r>
    </w:p>
    <w:p>
      <w:r>
        <w:t>With reference to the Lifestyle and Budget Protection Policies, starting from February 2014, the companies decided to accept all claims regarding the refund of the premium portion following the early repayment of the financing. Furthermore, starting from June 1, 2018, with reference to all Policies marketed as of that date, the companies have adopted the decision to refund the unutilized premium installment, not only in the case of a claim but also following a mere request from the customer for termination of the policy not necessarily resulting from an early repayment of the financing. Similarly, with specific reference to Policies no longer marketed (i.e., the Lifestyle and Budget Protection Policies), the companies are proceeding with the refund of the unutilized premium installment not only in the case of a request following the early repayment of the financing but also in the case of a mere request for termination of the Policies, made by the customer for any reason.</w:t>
      </w:r>
    </w:p>
    <w:p>
      <w:r>
        <w:t>Moreover, the companies have committed to refund the unutilized premium installment also to those customers with an active policy as of June 1, 2018, who, starting from January 1, 2015, submitted a simple request for refund of the premium portion or a claim before the expiration of their Policy (regardless of the reason for the request or claim, which may not even contain any complaint regarding the lack of knowledge of the optional nature and non-connection to financing) and whose request or claim has been rejected.</w:t>
      </w:r>
    </w:p>
    <w:p>
      <w:r>
        <w:t>The aforementioned measure will be implemented within 12 (twelve) months from the notification of the acceptance of the commitments.</w:t>
      </w:r>
    </w:p>
    <w:p>
      <w:r>
        <w:t>Commitment No. 8</w:t>
      </w:r>
    </w:p>
    <w:p>
      <w:r>
        <w:t>Informative Communication and refund of unutilized premium installments</w:t>
      </w:r>
    </w:p>
    <w:p>
      <w:r>
        <w:t>The companies commit to send to all customers with a Policy still active three months from the date of notification of the acceptance of the commitments (Reference Date), a communication, so-called Informative Communication, in which (i) the most important characteristics of the subscribed insurance product are summarized, including, among other things, that it is an optional product and not connected to financing, and (ii) it is indicated that, if it has not been understood that the subscribed Policy is optional and not connected to financing, the Active Customer—by sending a communication to the companies—has the possibility to withdraw from the subscribed Policy, unconditionally and without any effect on the financing, obtaining the cessation of the insurance cover provided by the Policy and the consequent refund of the unutilized premium installment from the Reference Date (except for the possible presence of one or more claims reported by the customer themselves). The Informative Communication will be sent, possibly also within the framework of the annual transparency communications imposed by law to Compass, to Active Customers within 4 (four) months from the Reference Date.</w:t>
      </w:r>
    </w:p>
    <w:p>
      <w:r>
        <w:t>61. The companies have finally expressly specified that the measures reported above are subject to the full and exclusive availability of the companies, which will therefore ensure and guarantee their timely implementation independently and autonomously.</w:t>
      </w:r>
    </w:p>
    <w:p>
      <w:r>
        <w:t>Commitments of Europ Assistance</w:t>
      </w:r>
    </w:p>
    <w:p>
      <w:r>
        <w:t>62. The company Europ Assistance, on November 6, 2018, and with subsequent integrations on February 1, 2019, March 11, 2019, as well as with the consolidated form of commitments last transmitted on June 7, 2019, proposed the following:</w:t>
      </w:r>
    </w:p>
    <w:p>
      <w:r>
        <w:t>Commitment No. 1</w:t>
      </w:r>
    </w:p>
    <w:p>
      <w:r>
        <w:t>Pre-contractual and contractual information on policies</w:t>
      </w:r>
    </w:p>
    <w:p>
      <w:r>
        <w:t xml:space="preserve">The level of informational transparency towards customers will be increased: </w:t>
        <w:br/>
        <w:t>- in the application form for the policies, wording will be included to explain that it is an "adhesion to the optional insurance program": for example, (i) in the heading of the document, the wording "Application form for adhesion to the optional insurance program" will be included;</w:t>
      </w:r>
    </w:p>
    <w:p>
      <w:r>
        <w:rPr>
          <w:b/>
        </w:rPr>
        <w:t>[Pages 121–123]</w:t>
      </w:r>
    </w:p>
    <w:p>
      <w:r>
        <w:t>BULLETIN NO. 52 OF DECEMBER 30, 2019 123</w:t>
      </w:r>
    </w:p>
    <w:p>
      <w:r>
        <w:t>(ii) in the first box of the form, the phrase "I declare my intention to join the optional insurance program and not connected to the financing" will be inserted; (iii) furthermore, the optional nature and non-connection to the financing of the insurance product will be emphasized with more prominent graphic characters (bold and/or underlining);</w:t>
      </w:r>
    </w:p>
    <w:p>
      <w:r>
        <w:t>- regarding the additional DIP (Pre-Contractual Information Document), references will be included that relate to the optional nature of the policy with respect to the financing;</w:t>
      </w:r>
    </w:p>
    <w:p>
      <w:r>
        <w:t>- in the Insurance Conditions, an explicit reference to the optional nature of the insurance product with respect to the financing product will be included; furthermore, the definition of optional policy and non-connected to the financing will be inserted in the glossary;</w:t>
      </w:r>
    </w:p>
    <w:p>
      <w:r>
        <w:t>- inclusion, in the adequacy questionnaire on insurance needs submitted by Compass to its clientele, of references to the optional and non-connected nature of the policy with respect to the financing and the right to withdraw from it at any time. The possibility of withdrawing from the Policy at any time, with the consequent return of the portion of the premium paid and not enjoyed, has been provided for in the policies distributed since October 1, 2018. This commitment will be implemented within 3 months from the communication of the acceptance of the commitments.</w:t>
      </w:r>
    </w:p>
    <w:p>
      <w:r>
        <w:t>Commitment No. 2</w:t>
        <w:br/>
        <w:t>Insurance policies to be distributed in stand-alone mode</w:t>
        <w:br/>
        <w:t>Insurance policies will also be distributed in stand-alone mode, thus allowing consumers to purchase them regardless of the request for a personal loan and to pay with their own resources or, possibly, through the granting of a specific financing (to cover only the cost of the policy). This measure will be implemented within 12 months from the communication of the acceptance of the commitments.</w:t>
      </w:r>
    </w:p>
    <w:p>
      <w:r>
        <w:t>Commitment No. 3</w:t>
        <w:br/>
        <w:t>Control, monitoring, and awareness-raising activities towards the intermediary regarding the placement of policies</w:t>
        <w:br/>
        <w:t>In order to further strengthen controls on the sales activity carried out by Compass, the Company intends to adopt the following measures.</w:t>
      </w:r>
    </w:p>
    <w:p>
      <w:r>
        <w:t>(a) Expansion of the activities of the Joint Committee Compass/Europ Assistance</w:t>
        <w:br/>
        <w:t>The activities of the Committee will be increased to ensure continuous supervision over the promotion and placement activities of the Policies, through study sessions and preventive checks. This commitment will be implemented within 3 months from the communication of the acceptance of the commitments.</w:t>
      </w:r>
    </w:p>
    <w:p>
      <w:r>
        <w:t>(b) Conducting independent customer satisfaction surveys</w:t>
        <w:br/>
        <w:t>Monitoring and verification activities of customer satisfaction will be carried out directly by the company for customers who subscribe to an optional and non-connected insurance policy placed by Compass.</w:t>
      </w:r>
    </w:p>
    <w:p>
      <w:r>
        <w:t>124 BULLETIN NO. 52 OF DECEMBER 30, 2019</w:t>
        <w:br/>
        <w:t>The above will consist of mystery shopping activities carried out monthly directly by the company's staff at the Compass branches responsible for placing the Company's policies. The Company also commits to conducting survey calls, at the rate of 5 calls per month, to customers who have subscribed to a Policy. If it emerges from the call that the consumer was unaware of the optional nature of the policy with respect to the financing product and the absence of a connection between the two products and/or that during placement the intermediary did not operate correctly, the Company will inform the latter of what was learned from the consumer, so that necessary actions can be defined. This commitment will be implemented within 3 months from the communication of the acceptance of the commitments.</w:t>
      </w:r>
    </w:p>
    <w:p>
      <w:r>
        <w:t>(c) Strengthening of the Audit activity</w:t>
        <w:br/>
        <w:t>In order to further strengthen these controls, Europ Assistance intends to: i) carry out checks more frequently (for example, every three months); ii) increase the sample of cases subject to verification from 10 to 15; iii) provide for the accompaniment of company inspectors to the staff of the external company commissioned by Compass to carry out recall activities towards a sample of customers who have subscribed to financing, in order to verify the correct operation of Compass staff during the placement phase of the Policies. This commitment will be implemented within 3 months from the communication of the acceptance of the commitments.</w:t>
      </w:r>
    </w:p>
    <w:p>
      <w:r>
        <w:t>(d) Sending to the intermediary of summary notes on the characteristics of the Policies and the relevant regulatory framework</w:t>
        <w:br/>
        <w:t>In order to further raise the intermediary's awareness of the characteristics of the Policies and the correct methods of placement, the Company commits to sending Compass summary notes containing, among other things, an illustration of the main characteristics of the Policies (with particular reference to their optional and non-connected nature with respect to the financing product), and an explicit reminder of compliance with the procedures and rules provided for the correct placement of policies by the intermediary, in order to ensure greater consumer awareness regarding the optional nature of the product. New product sheets are being prepared to be distributed at Compass branches that place Europ Assistance policies, which, in addition to containing a precise indication of the technical aspects of the product, will include the rules of conduct to be followed for the correct placement of the Policies. This commitment will be implemented within 3 months from the communication of the acceptance of the commitments.</w:t>
      </w:r>
    </w:p>
    <w:p>
      <w:r>
        <w:t>(e) Enhancement of training activities</w:t>
        <w:br/>
        <w:t>A specific training activity will be implemented for Compass staff (so-called trainers) for the commercial training of distribution networks, with a specific focus on the methods of placing policies.</w:t>
      </w:r>
    </w:p>
    <w:p>
      <w:r>
        <w:t>BULLETIN NO. 52 OF DECEMBER 30, 2019 125</w:t>
        <w:br/>
        <w:t>Commitment No. 4</w:t>
        <w:br/>
        <w:t>Measures applicable to policies already in the portfolio</w:t>
        <w:br/>
        <w:t>The company commits to sending to all consumers holding Policies subscribed from January 1, 2015, and still in force three months after the notification date of the acceptance of the commitments, an informative communication ("Informative Letter") summarizing the main characteristics of the policy, including the optional and non-connected nature with respect to the financing; it will also be specified that, if the policyholder did not understand the optional and non-connected nature of the policy with respect to the financing, they will have the opportunity to obtain the termination of the insurance coverage and the refund of the portion of the premium paid and not enjoyed. This right will be recognized to all individual clients who, having reviewed the Informative Letter, request—by means of a specific communication to the company—the termination of the policy claiming a lack of understanding of its nature, so as to exclude from the initiative any spurious and opportunistic requests made by fully aware individuals at the time of signing the policy regarding its optional and non-connected nature with respect to the financing. The right of withdrawal will therefore not be recognized to those who have renewed the insurance coverage upon expiration or who have initiated claims procedures, as these are consumers evidently aware of the existence of the policy and the guarantees offered. The above commitment will be implemented within 3 months from the notification date of the acceptance of the Commitments. All measures are to be understood as autonomously implementable by Europ Assistance and will therefore be implemented independently and autonomously.</w:t>
      </w:r>
    </w:p>
    <w:p>
      <w:r>
        <w:t>IV. OPINION OF BANK OF ITALY</w:t>
        <w:br/>
        <w:t>63. Since the practices subject to this provision concern the pairing of loans with insurance policies, on September 26 and 27, 2019, the opinion was requested from the Bank of Italy pursuant to Article 27, paragraph 1-bis, of the Consumer Code, respectively, regarding the conduct carried out by Compass Banca S.p.A. and regarding the commitments made by the insurance companies.</w:t>
      </w:r>
    </w:p>
    <w:p>
      <w:r>
        <w:t>64. In opinions received on October 28, 2019, the aforementioned Authority stated the following.</w:t>
      </w:r>
    </w:p>
    <w:p>
      <w:r>
        <w:t>65. Regarding Compass's conduct, referring to the regulations on "Transparency of banking and financial operations and services and Fairness of relations between intermediaries and clients," it was recalled, for the purposes of the decisions of the Competition and Market Authority, that the commercial policies for the simultaneous offering of other contracts paired with financing must be based on particular precautions, and on the observation of organizational procedures and internal controls "capable of ensuring continuously: a) an assessment of the risks (including legal and reputational) associated with the simultaneous offering of multiple contracts, with particular attention to cases where the contract offered jointly with the financing is not functional with respect to the characteristics of the financing."</w:t>
      </w:r>
    </w:p>
    <w:p>
      <w:r>
        <w:rPr>
          <w:b/>
        </w:rPr>
        <w:t>[Pages 124–126]</w:t>
      </w:r>
    </w:p>
    <w:p>
      <w:r>
        <w:t>126 BULLETIN NO. 52 OF DECEMBER 30, 2019</w:t>
      </w:r>
    </w:p>
    <w:p>
      <w:r>
        <w:t>proposed, to the needs of credit risk management or collateral preservation; b) the comprehensibility for customers of the structure, characteristics, and risks typically associated with the combination of products offered simultaneously; c) the correct inclusion in the APR of the costs of ancillary services related to the credit contract; d) compliance with the principles of transparency and fairness in marketing procedures.”</w:t>
      </w:r>
    </w:p>
    <w:p>
      <w:r>
        <w:t>66. It was noted, however, that “The commitments presented by the insurance companies pertain to a regulatory sector - the insurance sector - that does not fall within the competencies of this Institute.”</w:t>
      </w:r>
    </w:p>
    <w:p>
      <w:r>
        <w:t>V. OPINION OF THE INSURANCE SUPERVISORY AUTHORITY (IVASS)</w:t>
      </w:r>
    </w:p>
    <w:p>
      <w:r>
        <w:t>67. Since the practices subject to this provision concern the pairing of loans with insurance policies, on September 26 and 27, 2019, opinions were requested from the Insurance Supervisory Authority (IVASS), pursuant to and for the effects of Article 27, paragraph 1-bis, of the Consumer Code.</w:t>
      </w:r>
    </w:p>
    <w:p>
      <w:r>
        <w:t>68. In an opinion received on October 28, 2019, IVASS communicated the following.</w:t>
      </w:r>
    </w:p>
    <w:p>
      <w:r>
        <w:t>69. IVASS agrees with the Authority regarding the rejection of the commitments presented by Compass, believing that “to avoid the risk of conditioning the granting of personal loans to the subscription of insurance policies, it is not sufficient to provide for a mechanism whereby the policy would still be subscribed and activated simultaneously with the loan and, only in the event of the customer's reconsideration, expressed following a new phone contact made within seven days, would lose effectiveness following the exercise of the right of withdrawal.”</w:t>
      </w:r>
    </w:p>
    <w:p>
      <w:r>
        <w:t>70. Regarding the commitments presented by Europ Assistance in the final version of June 7, 2019, and by MetLife Europe Dac and MetLife Europe Insurance Dac, in the final version of June 12, 2019, there are no observations to be made, as far as is relevant.</w:t>
      </w:r>
    </w:p>
    <w:p>
      <w:r>
        <w:t>VI. EVALUATIONS</w:t>
      </w:r>
    </w:p>
    <w:p>
      <w:r>
        <w:t>Practice sub A): the conduct of COMPASS</w:t>
      </w:r>
    </w:p>
    <w:p>
      <w:r>
        <w:t>71. The conduct carried out by Compass and subject to evaluation concerns the forced pairing, at the time of signing personal loan contracts, of insurance products not linked to credit, of which the financial institution itself is an intermediary. In the investigative phase - without prejudice to the informational and transparency aspect highlighted by the Bank of Italy in its opinion, related to the communication methods regarding the structure, characteristics, and risks typically associated with the combination of other products offered simultaneously with the financial products - the placement methods of the insurance products not connected to the personal loans intermediated by Compass were found to be characterized by aggressiveness.</w:t>
      </w:r>
    </w:p>
    <w:p>
      <w:r>
        <w:t>72. As a preliminary matter, it is noted that the criticisms raised by the professional against the decision to reject the commitments are unfounded, considering on the one hand the broad discretion granted to the Authority in this matter and on the other hand the rejection for their inadequacy to remove the conduct subject to this proceeding, as confirmed by IVASS. In fact, the latter agreed with the rejection of the commitments presented by Compass, believing that the missing aspect in the company's proposal (temporal separation of the conclusion of the two contracts for financing and insurance) is decisive for resolving the critical issues subject to the proceeding and does not conflict with sector regulation.</w:t>
      </w:r>
    </w:p>
    <w:p>
      <w:r>
        <w:t>73. The conduct under examination is part of a broad commercial project of pairing insurance policies with loans that have nothing to do with the loans, which was realized through the mandatory inclusion of the insurance premium in the monthly installment of the loan, with the effect of increasing the latter compared to the installment of the loan alone. The commercial strategy and the conduct implemented by the financial institution did not allow consumers to freely express their willingness to subscribe to the insurance policies distributed to cover events unrelated to credit. Consumers were conditioned to subscribe to insurance policies not connected to the financing in order to obtain the latter.</w:t>
      </w:r>
    </w:p>
    <w:p>
      <w:r>
        <w:t>74. This emerges from the numerous complaints submitted, especially by those who requested the return of the unutilized premium portion upon early repayment of the loan, but also by those who were no longer able to repay the installments. The widespread perception among consumers, as evidenced by such complaints, is that the policy is mandatory for obtaining the financing or, even, of the uniqueness of the loan/policy package; this is the result of the behaviors of Compass staff, who conditioned customers to subscribe to the insurance products, even through the failure to deliver the pre-contractual and contractual documentation containing the characteristics of the policies. This also explains the low percentage of complaints and withdrawals compared to the number of contracts signed with forced pairing of policies.</w:t>
      </w:r>
    </w:p>
    <w:p>
      <w:r>
        <w:t>75. The above is supported by the documentary evidence on file that indicates a policy of forced placement of insurance products issued by the insurance companies partnered with Compass.</w:t>
      </w:r>
    </w:p>
    <w:p>
      <w:r>
        <w:t>76. The 'conditional' placement methods of policies not connected to loans also emerge from the numerous contracts signed in the three-year period from January 2015 to July 2018, in which two types of policies were paired: one guaranteeing the loan (CPI) and the other for coverage of claims unrelated to credit.</w:t>
      </w:r>
    </w:p>
    <w:p>
      <w:r>
        <w:t>77. The inseparability conveyed by the financial institution between insurance products and loans also emerges in the post-contractual phase. It is highlighted that the same beneficiaries of the loans often became aware of the optional and non-mandatory nature of the insurance product only at the time of early repayment of the financing, when they saw their request for a refund of the unutilized premium portion rejected, based precisely on the fact that the two products are not linked.</w:t>
      </w:r>
    </w:p>
    <w:p>
      <w:r>
        <w:t>78. Another indicative element of aggressive proposal policies for the policies is the pairing rate of these with the loans, which has reached average levels around [15-60%], a high value considering the lack of functional connection between the two types of products.</w:t>
      </w:r>
    </w:p>
    <w:p>
      <w:r>
        <w:t>79. The documentary evidence confirms the commercial conduct of Compass aimed at the forced pairing of policies with the loans granted by it, rather than their placement in a stand-alone manner, which, instead, for the insurance companies represents a “[omissis]” distribution system, but evidently less economically advantageous for Compass itself. Moreover, the particular economic advantage of pairing insurance products with personal loans derives from the commissions recognized to the financial institution based on the agreements concluded with the insurance companies.</w:t>
      </w:r>
    </w:p>
    <w:p>
      <w:r>
        <w:t>80. The reference made by the professional to compliance with Article 120 quinquies, paragraph 1, of the Private Insurance Code is of no avail. In fact, the practice examined here concerns not the mere fact of having jointly distributed loans and policies that have no connection with them, but of having implemented this commercial policy in such a way as to condition the granting of loans to the subscription of insurance products.</w:t>
      </w:r>
    </w:p>
    <w:p>
      <w:r>
        <w:t>81. Based on the above arguments, therefore, the conduct carried out by Compass Banca S.p.A. constitutes an aggressive unfair commercial practice, pursuant to Articles 24 and 25, paragraph 1, letter a), of the Consumer Code. In particular, conditioning the granting of personal loans to the subscription by consumers of insurance coverage unrelated to credit constitutes conduct likely to significantly limit their freedom of choice regarding personal financing products, implementing a forced pairing between financing products, the main object of the consumer's request to the financial institution, and the insurance products, imposed to satisfy the request itself.</w:t>
      </w:r>
    </w:p>
    <w:p>
      <w:r>
        <w:t>Practice sub B): the commitments of the insurance companies of the Met Life Group and Europ Assistance</w:t>
      </w:r>
    </w:p>
    <w:p>
      <w:r>
        <w:t>82. The Authority believes that the commitments proposed by the insurance companies of the Met Life Group and by EA are suitable to remedy the illegitimacy profiles of their respective commercial practices contested in the initiation communication of the proceeding of September 13, 2018. In particular, the Authority believes that the measures proposed by the professionals are characterized by such features as to give them concreteness and effectiveness in protecting consumers, eliminating ex tunc any potential harm to them.</w:t>
      </w:r>
    </w:p>
    <w:p>
      <w:r>
        <w:t>83. In order to provide a complete illustration of the aspects and elements on the basis of which the Authority believes that the commitments proposed by the professionals are suitable to remedy the illegitimacy profiles of the contested commercial practices, we proceed to examine them, dividing them into: commitments presented jointly by the companies of the Met Life Group and commitments presented by the insurance company EA.</w:t>
      </w:r>
    </w:p>
    <w:p>
      <w:r>
        <w:rPr>
          <w:b/>
        </w:rPr>
        <w:t>[Pages 127–129]</w:t>
      </w:r>
    </w:p>
    <w:p>
      <w:r>
        <w:t>BULLETIN NO. 52 OF DECEMBER 30, 2019</w:t>
      </w:r>
    </w:p>
    <w:p>
      <w:r>
        <w:t>Commitments made by the companies of the Met Life group</w:t>
      </w:r>
    </w:p>
    <w:p>
      <w:r>
        <w:t>84. The measures proposed by the companies of the Met Life Group, evaluated jointly, appear suitable to overcome the issues of unfairness contested in the communication initiating the Procedure. In fact, the measures proposed by the insurance companies:</w:t>
        <w:br/>
        <w:t>- introduce greater emphasis, in the pre-contractual and contractual documents, on the fact that the Policies are optional products and not connected to financing (with the consequences that arise in the event of early repayment of the financing), thus ensuring that all consumers who subscribe to such products do so in a fully informed manner (Commitment sub 1); and, furthermore, add a system of controls and new monitoring tools for the activities carried out by the Intermediary (Commitments sub 2 and 3), directly integrated into the distribution system;</w:t>
        <w:br/>
        <w:t>- allow the consumer to purchase a policy in the absence of financing and/or without financed premium (commitment sub 4);</w:t>
        <w:br/>
        <w:t>- disseminate within the companies knowledge of the provisions of the Consumer Code aimed at protecting consumers and, in particular, those that prohibit unfair commercial practices, thus further reducing the risk of engaging in such practices to the detriment of consumers (commitment sub 5);</w:t>
        <w:br/>
        <w:t>- disseminate within the distribution networks of Compass knowledge of the characteristics of the placed policies (commitment sub 6);</w:t>
        <w:br/>
        <w:t>- guarantee to all those who, starting from January 1, 2015, have submitted a complaint or a request for a refund of the unutilized premium installment, receiving a refusal, the possibility of obtaining the termination of the Policy and having their request for a refund of the unutilized premium installment satisfied (commitment sub 7);</w:t>
        <w:br/>
        <w:t>- ensure that all customers with a policy still active three months after the notification of the acceptance of the commitments have full knowledge of the optional nature of the same and the right to obtain the termination of the policy and, consequently, the refund of the unutilized premium installment (commitment sub 8).</w:t>
      </w:r>
    </w:p>
    <w:p>
      <w:r>
        <w:t>The commitments made by EA</w:t>
      </w:r>
    </w:p>
    <w:p>
      <w:r>
        <w:t>85. The measures recently proposed by EA, similarly to those presented by the companies of the Met Life Group, promote the full freedom of choice for consumers on various levels:</w:t>
        <w:br/>
        <w:t>i) attribute greater emphasis, in the pre-contractual and contractual documentation, to the optional and non-connected nature of the Policies with respect to financing, ensuring even more a conscious and informed adherence by the consumer (Commitment no. 1);</w:t>
        <w:br/>
        <w:t>ii) ensure that every consumer who visits a branch of the intermediary authorized to distribute insurance policies of the company has the possibility to purchase insurance policies regardless of the conclusion of a financing contract (commitment no. 2);</w:t>
        <w:br/>
        <w:t>iii) introduce new monitoring and control measures on the placement activities of the Policies by the intermediary, ensuring, at the same time, greater awareness on the part of the latter regarding compliance with conduct rules and sales methods for the purpose of a conscious subscription of such products by the customer (commitment 3);</w:t>
        <w:br/>
        <w:t>iv) eliminate any possible negative consequences for all current customers arising from the simultaneous sale of financing and policy, giving the same customers, informed of the optional and non-connected nature of the policy to the financing, the opportunity to request the termination of the same and obtain a refund of the unutilized premium portion (commitment no. 4).</w:t>
      </w:r>
    </w:p>
    <w:p>
      <w:r>
        <w:t>86. In conclusion, the commitments of all the insurance companies are suitable to remove the contested issues both in relation to future contracts and those in existence. In fact, they represent a clear improvement of current business practices, being able to guarantee, on the one hand, transparency and clarity to consumers regarding the optional and non-connected nature of the policies and their specific conditions and, on the other hand, a system of monitoring and control regarding the sales activities of the policies, aimed at ensuring that the consumer receives correct and comprehensive information about the nature and conditions of the policies as well as identifying and promptly correcting any critical issues.</w:t>
      </w:r>
    </w:p>
    <w:p>
      <w:r>
        <w:t>87. Furthermore, the introduction of the customer's right to terminate the policy at any time will eliminate any negative effects for the customer arising from the issues hypothesized at the outset.</w:t>
      </w:r>
    </w:p>
    <w:p>
      <w:r>
        <w:t>88. In light of the above considerations, it is believed that the commitments made by the professionals meet the requirements set forth in Article 27, paragraph 7, of the Consumer Code.</w:t>
      </w:r>
    </w:p>
    <w:p>
      <w:r>
        <w:t>VII. QUANTIFICATION OF THE SANCTION FOR COMPASS</w:t>
      </w:r>
    </w:p>
    <w:p>
      <w:r>
        <w:t>89. With regard to the conduct carried out by the company Compass, it is noted that,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90. In quantifying the sanction, the criteria identified by Article 11 of Law No. 689/81 must be taken into account,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91. Regarding the seriousness of the violation, consideration is given to the economic size of the professional, who has achieved a turnover of approximately one billion euros, and the fact that it is part of a Group of considerable importance, the Mediobanca Group. The seriousness of the practice is also evident in its aggressive nature, as well as in the extent of the economic harm to the consumers benefiting from the loans, and in their weakness, arising from a state of need that led them to request liquidity from the financial institution possibly in a short time. Specifically, the harm suffered by consumers has been prudently estimated at a total value of at least [60.5-90.5] million euros, against revenues for Compass of approximately [15.2-35.2] million euros.</w:t>
      </w:r>
    </w:p>
    <w:p>
      <w:r>
        <w:t>92. For the purposes of the estimates, the following data were considered:</w:t>
        <w:br/>
        <w:t>- approximately [100,000-350,000] consumers benefiting from a personal loan with an associated unrelated policy (from January 2015 to July 2018, according to the data provided by Compass);</w:t>
        <w:br/>
        <w:t>- a premium value of each policy of [150-450] euros based on the contracts in the records of Doc. 102;</w:t>
        <w:br/>
        <w:t>- the total amount of premiums paid was therefore approximately [60.5-95.5] million euros;</w:t>
        <w:br/>
        <w:t>- the revenues that Compass obtains in terms of retrocessions on the aforementioned premiums - calculated using the minimum value of [20-50%] on the premium resulting from the agreements with the companies in the records - were approximately [15.2-35.2] million euros from January 2015 to July 2018.</w:t>
      </w:r>
    </w:p>
    <w:p>
      <w:r>
        <w:t>93. Regarding the duration of the violation, the available evidence indicates that the aforementioned practice has been carried out by Compass Banca S.p.A. since at least January 2015 and is currently ongoing.</w:t>
      </w:r>
    </w:p>
    <w:p>
      <w:r>
        <w:t>94. Based on these elements, it is deemed appropriate to determine the amount of the applicable administrative pecuniary sanction for Compass Banca S.p.A. at €4,700,000 (four million seven hundred thousand euros).</w:t>
      </w:r>
    </w:p>
    <w:p>
      <w:r>
        <w:t>CONSIDERING, therefore, in accordance with the opinions of IVASS and the Bank of Italy, based on the above considerations, that the commercial practice in question carried out by Compass Banca S.p.A., consisting of conditioning the granting of personal loans on the subscription of insurance policies not connected to the financing, is unfair pursuant to Articles 24 and 25, letter a), of the Consumer Code, as it is capable of exerting undue pressure on the average consumer and significantly distorting their economic behavior in relation to the products offered by the professional;</w:t>
      </w:r>
    </w:p>
    <w:p>
      <w:r>
        <w:t>CONSIDERING, therefore, that the commitments made by MetLife Europe Dac and MetLife Europe Insurance Dac, and by Europ Assistance Italia S.p.A., as outlined above, are suitable to eliminate the unfairness profiles of the commercial practice under investigation;</w:t>
      </w:r>
    </w:p>
    <w:p>
      <w:r>
        <w:t>CONSIDERING it appropriate to impose the obligations of the aforementioned commitments on MetLife Europe Dac and MetLife Europe Insurance Dac, and Europ Assistance Italia S.p.A.;</w:t>
      </w:r>
    </w:p>
    <w:p>
      <w:r>
        <w:t>CONSIDERING, therefore, that it is possible to close the procedure without establishing violations against the companies MetLife Europe Dac, MetLife Europe Insurance Dac, and Europ Assistance Italia S.p.A.;</w:t>
      </w:r>
    </w:p>
    <w:p>
      <w:r>
        <w:t>RESOLVES</w:t>
      </w:r>
    </w:p>
    <w:p>
      <w:r>
        <w:t>a) that the commercial practice described in point II, sub letter A), of this provision, carried out by Compass Banca S.p.A., constitutes, for the reasons and within the limits set forth in the motivation, an unfair commercial practice pursuant to Articles 24 and 25, letter a), of the Consumer Code, and prohibits its dissemination or continuation;</w:t>
      </w:r>
    </w:p>
    <w:p>
      <w:r>
        <w:t>b) to impose on Compass Banca S.p.A. an administrative pecuniary sanction of €4,700,000 (four million seven hundred thousand) euros;</w:t>
      </w:r>
    </w:p>
    <w:p>
      <w:r>
        <w:t>c) that the professional communicates to the Authority, within sixty days from the notification of this provision, the initiatives taken in compliance with the injunction referred to in point a);</w:t>
      </w:r>
    </w:p>
    <w:p>
      <w:r>
        <w:t>d) regarding the practice described in point II, sub letter B), of this provision, to make the commitments as last proposed, respectively on June 7 and 12, 2019, and described in the statements attached to this provision, mandatory for the insurance company Europ Assistance Italia S.p.A., as well as for the companies MetLife Europe Dac and MetLife Europe Insurance Dac.</w:t>
      </w:r>
    </w:p>
    <w:p>
      <w:r>
        <w:rPr>
          <w:b/>
        </w:rPr>
        <w:t>[Pages 130–132]</w:t>
      </w:r>
    </w:p>
    <w:p>
      <w:r>
        <w:t>132 BULLETIN NO. 52 OF DECEMBER 30, 2019</w:t>
      </w:r>
    </w:p>
    <w:p>
      <w:r>
        <w:t>e) to close the proceedings without establishing the infringements contested against the companies MetLife Europe Dac, MetLife Europe Insurance Dac, and Europ Assistance Italia S.p.A., pursuant to Article 27, paragraph 7, of the Consumer Code and Article 9, paragraph 2, letter a), of the Regulation;</w:t>
      </w:r>
    </w:p>
    <w:p>
      <w:r>
        <w:t>f) that the companies MetLife Europe Dac, MetLife Europe Insurance Dac, and Europ Assistance Italia S.p.A., within sixty days from the date of notification of this resolution, inform the Authority of the implementation of the commitments.</w:t>
      </w:r>
    </w:p>
    <w:p>
      <w:r>
        <w:t>Pursuant to Article 9, paragraph 3, of the Regulation, the proceedings may be reopened ex officio against MetLife Europe Dac, MetLife Europe Insurance Dac, and Europ Assistance Italia S.p.A., where:</w:t>
      </w:r>
    </w:p>
    <w:p>
      <w:r>
        <w:t>a) the companies do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The administrative penalty imposed on the company Compass Banca S.p.A.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company Compass Banca S.p.A., communicated to the companies MetLife Europe Dac, MetLife Europe Insurance Dac, and Europ Assistance Italia S.p.A., and published in the Bulletin of the Competition and Market Authority.</w:t>
      </w:r>
    </w:p>
    <w:p>
      <w:r>
        <w:t>Pursuant to Article 27, paragraph 12, of the Consumer Code, in case of non-compliance with this resolution, the Authority applies an administrative pecuniary sanction from €10,000 to €5,000,000.</w:t>
      </w:r>
    </w:p>
    <w:p>
      <w:r>
        <w:t>BULLETIN NO. 52 OF DECEMBER 30, 2019 133</w:t>
      </w:r>
    </w:p>
    <w:p>
      <w:r>
        <w:t>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t>134 BULLETIN NO. 52 OF DECEMBER 30, 2019</w:t>
      </w:r>
    </w:p>
    <w:p>
      <w:r>
        <w:t>PS11410 - MSC CRUISES - TERMS OF SALE</w:t>
      </w:r>
    </w:p>
    <w:p>
      <w:r>
        <w:t>Provision No. 28036</w:t>
      </w:r>
    </w:p>
    <w:p>
      <w:r>
        <w:t>THE COMPETITION AND MARKET AUTHORITY</w:t>
      </w:r>
    </w:p>
    <w:p>
      <w:r>
        <w:t>IN ITS MEETING of December 10, 2019;</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communications received on July 12, 2019, as well as supplemented on September 4 and October 1, in which the Parties presented commitments pursuant to Article 27, paragraph 7, of the Consumer Code and Article 9 of the Regulation;</w:t>
      </w:r>
    </w:p>
    <w:p>
      <w:r>
        <w:t>VIEWED the documents of the proceedings;</w:t>
      </w:r>
    </w:p>
    <w:p>
      <w:r>
        <w:t>I. THE PARTIES</w:t>
      </w:r>
    </w:p>
    <w:p>
      <w:r>
        <w:t>1. MSC Cruises S.A., as a professional, pursuant to Article 18, letter b), of the Consumer Code. The company is engaged in the organization of tourist packages with cruises, which it sells or offers for sale directly, through the website www.msccruciere.it, or through a sales agent.</w:t>
      </w:r>
    </w:p>
    <w:p>
      <w:r>
        <w:t>2. MSC Crociere S.p.A., as a professional, pursuant to Article 18, letter b), of the Consumer Code, provides support services and carries out promotional activities at travel agencies on behalf of MSC Cruises S.A.</w:t>
      </w:r>
    </w:p>
    <w:p>
      <w:r>
        <w:t>3. Codici as a Consumer Association reporting party.</w:t>
      </w:r>
    </w:p>
    <w:p>
      <w:r>
        <w:t>4. Mr. Diego Mascia, as reporting party.</w:t>
      </w:r>
    </w:p>
    <w:p>
      <w:r>
        <w:t>II. THE COMMERCIAL PRACTICE SUBJECT TO THE PROCEEDINGS</w:t>
      </w:r>
    </w:p>
    <w:p>
      <w:r>
        <w:t>5. The proceedings in question concern the conduct of professionals in the offering of tourist packages with cruises and in particular:</w:t>
      </w:r>
    </w:p>
    <w:p>
      <w:r>
        <w:t>a) the methods of representation to consumers of the total price of the services sold;</w:t>
      </w:r>
    </w:p>
    <w:p>
      <w:r>
        <w:t>b) the request for payment of the "Service Fee" for departures after March 31, 2019, from consumers who had entered into the contract when this price component of the cruise was considered optional;</w:t>
      </w:r>
    </w:p>
    <w:p>
      <w:r>
        <w:rPr>
          <w:b/>
        </w:rPr>
        <w:t>[Pages 133–135]</w:t>
      </w:r>
    </w:p>
    <w:p>
      <w:r>
        <w:t>BULLETIN NO. 52 OF DECEMBER 30, 2019</w:t>
      </w:r>
    </w:p>
    <w:p>
      <w:r>
        <w:t>c) the non-compliance with the Tourism Code of the rights recognized to consumers as represented in the "General Terms and Conditions of Contract."</w:t>
      </w:r>
    </w:p>
    <w:p>
      <w:r>
        <w:t>III. THE OUTCOMES OF THE PROCEEDING: THE PRESENTATION OF COMMITMENTS</w:t>
      </w:r>
    </w:p>
    <w:p>
      <w:r>
        <w:t>III.1 The procedure process</w:t>
      </w:r>
    </w:p>
    <w:p>
      <w:r>
        <w:t>6. Following the requests for intervention received since February 2019 and considering the information acquired for the application of the Consumer Code, on May 21, 2019, the investigative procedure no. PS11410 was initiated against MSC Cruises S.A. and MSC Crociere S.p.A. (hereinafter also MSC) pursuant to Articles 20, 21, 22, 24, and 25 of the Consumer Code regarding possible unfairness profiles related to:</w:t>
      </w:r>
    </w:p>
    <w:p>
      <w:r>
        <w:t>a) the non-transparent methods of representing the price of the cruise on the website www.mscrociere.it and in the brochures provided to travel agencies, as during the booking process the total price of the tourist package, including the tariff component related to the "Service Charges," mandatory for cruises departing from March 31, 2019, is never presented;</w:t>
      </w:r>
    </w:p>
    <w:p>
      <w:r>
        <w:t>b) the request for payment of the "Service Charges" after the conclusion of the contract, to consumers who had not been adequately informed of the mandatory nature of this cost for cruises departing from March 31, 2019, potentially leading to undue conditioning of consumers' purchasing decisions, forced to pay an additional burden;</w:t>
      </w:r>
    </w:p>
    <w:p>
      <w:r>
        <w:t>c) the non-compliance of the information regarding the obligations of the Parties and the rights of travelers contained in the "Terms and Conditions" with respect to what is provided by the Tourism Code pursuant to Directive (EU) 2015/2302 concerning package travel, failing to correctly inform the consumer about their rights and the responsibility of the professional.</w:t>
      </w:r>
    </w:p>
    <w:p>
      <w:r>
        <w:t>7. Following the communication of the initiation of the procedure, which took place on May 29, 2019, the professionals responded to the requests for information with memoranda dated June 10, June 25, June 28, and July 23, 2019.</w:t>
      </w:r>
    </w:p>
    <w:p>
      <w:r>
        <w:t>8. The professionals accessed the documents of the file on June 6, July 5, July 26, and October 24, 2019.</w:t>
      </w:r>
    </w:p>
    <w:p>
      <w:r>
        <w:t>9. On July 5 and July 25, 2019, the legal representatives of MSC were heard in a hearing.</w:t>
      </w:r>
    </w:p>
    <w:p>
      <w:r>
        <w:t>10. On July 26 and September 3, 2019, the requests for participation in the procedure from the consumer association Codici and from a whistleblower were accepted.</w:t>
      </w:r>
    </w:p>
    <w:p>
      <w:r>
        <w:t>11. On July 12, 2019, the professionals submitted a proposal for commitments, pursuant to Article 27, paragraph 7, of the Consumer Code and Article 9 of the Regulation, supplemented on September 4 and October 1, 2019; the consolidated version of these commitments was filed on October 31, 2019.</w:t>
      </w:r>
    </w:p>
    <w:p>
      <w:r>
        <w:t>12. On October 16, 2019, the date of conclusion of the investigative phase was communicated to the Parties pursuant to Article 16, paragraph 1, of the Regulation.</w:t>
      </w:r>
    </w:p>
    <w:p>
      <w:r>
        <w:t>III.2 The elements acquired</w:t>
      </w:r>
    </w:p>
    <w:p>
      <w:r>
        <w:t>13. In the price of MSC cruises, there is a component called "Hotel Service Charges" (hereinafter also Charges), which represents the amount intended to compensate for the services provided by the onboard staff during the cruise. They represent a practice in the industry and were created to discourage the use of personal tips onboard, which would discriminate against those types of staff who have less direct contact with passengers. The Charges have some peculiarities compared to other tariff items: payment is requested at the end of the cruise in the bill presented onboard; they are quantified at a fixed amount per person per night depending on the age of the passenger (adults €10/night – children €5/night, under 2 years €0); they are excluded from the "cruise cost," so they do not fall among the costs incurred by the consumer in case of cancellation or withdrawal from the trip; they are only requested in relation to the days of the cruise actually enjoyed, so they are not due if for any reason the trip is interrupted early.</w:t>
      </w:r>
    </w:p>
    <w:p>
      <w:r>
        <w:t>14. For cruises departing until March 31, 2019, MSC accepted requests made onboard at the end of the cruise by consumers not to pay the Charges, without the need for such requests to be justified and motivated. This generated the practice of many consumers systematically requesting the automatic cancellation of the Charges from the final bill to be paid onboard. For cruises departing from March 31, 2019, MSC changed this policy, requiring all passengers to pay the mandatory Charges onboard, with no possibility of requesting their cancellation unless there were serious, justified, and proven service failures. Regarding the methods by which consumers were informed of this change in tariff practice, it emerged that since January 2017, the catalogs distributed through travel agencies and the Terms and Conditions of the professionals have removed the reference to the "optional" nature of the Charges. However, MSC had maintained the practice of allowing onboard cancellation upon request of the Charges. The explicit reference to their "mandatory" nature was included in the catalog distributed through agencies from August 2018, concerning departures after March 31, 2019, as well as in the "Terms and Conditions" present on the website www.msccrociere.it effective from January 4, 2019. Furthermore, during February 2019, MSC sent a communication to travel agencies reminding them of the mandatory nature of the Charges for all departures from March 31, 2019; with the same communication, it informed agencies that "MSC Cruises until April 30, 2019 guarantees your clients a 50% discount on the pre-paid service charges for departures from March 31, 2019," thus allowing a 50% price reduction for consumers who decided to pay the Charges in advance, before departure.</w:t>
      </w:r>
    </w:p>
    <w:p>
      <w:r>
        <w:t>III.3 The commitments of the professionals</w:t>
      </w:r>
    </w:p>
    <w:p>
      <w:r>
        <w:t>15. The commitments presented by MSC, which in their final version are attached to this provision and constitute an integral part thereof, concern the following measures:</w:t>
      </w:r>
    </w:p>
    <w:p>
      <w:r>
        <w:t>a) Methods of representing the total price of the service</w:t>
      </w:r>
    </w:p>
    <w:p>
      <w:r>
        <w:t>16. On the website www.msccrociere.it, on the first screen where the consumer chooses the cruise, the price of the cruise will be visible with the specification "starting from" and, immediately below it, the indication "Mandatory service charge (adults €10/night – children €5/night, under 2 years €0)." By clicking on the appropriate link, the user will be directed to a page that explains the rationale for the service charges and their cost. On the second screen of the booking process, where the passenger selects the type of cabin, and on the third, where the number and age of passengers must be indicated and various optional components of the trip (e.g., excursions) must be chosen, it will always be specified that the mandatory service charge must be added to the indicated price. Once all necessary choices have been made, the consumer will be asked whether they intend to pay the Charges onboard the cruise or immediately. Depending on the selection made, in the continuation of the purchasing process, it will be indicated: i) the price of the cruise including the service charges, if the consumer has selected "pay now"; ii) the partial price of the cruise with the wording "+ mandatory service charge," indicating the relevant amount, if the consumer has chosen the option "pay onboard at the end of the cruise." On the final screen, where the purchase is completed by entering credit card details, if the consumer has chosen to "prepay" the service charge, the total cost including this cost item will appear. If, on the other hand, the consumer has chosen to pay the service charge onboard, the price excluding the service charge will appear with the indication "we remind you that you have chosen to pay the mandatory hotel service charge (adults €10/night – children €5/night, under 2 years €0) onboard at the end of the cruise." This commitment will be implemented within 2 months from the notification of the Authority's decision.</w:t>
      </w:r>
    </w:p>
    <w:p>
      <w:r>
        <w:t>17. The brochure distributed at travel agencies will be modified to make the information about the mandatory nature of the Charges and the need to add their amount to the price of the cruise more evident. This information will be placed both next to the price of the cruise and at the bottom of the price grid. At the same time, MSC will develop instructions to be distributed to travel agents to remind them of the need to present consumers with an offer that includes the cost of the service charges. These changes will be made in the next catalog that will go to print in March 2020, while the instructions to travel agencies will be prepared within 1 month from the notification of the Authority's decision.</w:t>
      </w:r>
    </w:p>
    <w:p>
      <w:r>
        <w:t>b) Refund of the Service Charges</w:t>
      </w:r>
    </w:p>
    <w:p>
      <w:r>
        <w:t>18. Whereas the professionals believe they have clearly informed consumers since January 2017 of the mandatory nature of the Service Charges, MSC commits to offer a refund (if already paid) or cancellation of the same (if not yet paid) to all over 26,000 consumers who have purchased a cruise in an agency or on the website www.msccrociere.it before January 4, 2019, for departures after March 31, 2019, and who have not "prepaid" the service charges taking advantage of the 50% discount on the same. In addition, MSC will provide to offer a refund or cancellation of the service charges to customers who have submitted a report to the Authority that has been included in this proceeding or a complaint to MSC regarding the non-cancellation of the Charges, received by the date of any acceptance of the commitments by the Authority.</w:t>
      </w:r>
    </w:p>
    <w:p>
      <w:r>
        <w:rPr>
          <w:b/>
        </w:rPr>
        <w:t>[Pages 136–138]</w:t>
      </w:r>
    </w:p>
    <w:p>
      <w:r>
        <w:t>138 BULLETIN NO. 52 OF DECEMBER 30, 2019</w:t>
      </w:r>
    </w:p>
    <w:p>
      <w:r>
        <w:t>19. Within two months from the notification of the Authority's decision, MSC will contact the identified customers directly or through agencies, offering to refund the service fees if the cruise has already taken place, or to not apply them on board at the customer's request, if the cruise has not yet taken place.</w:t>
      </w:r>
    </w:p>
    <w:p>
      <w:r>
        <w:t>c) Methods of representation of consumer rights in the "Terms and Conditions"</w:t>
      </w:r>
    </w:p>
    <w:p>
      <w:r>
        <w:t>20. MSC commits to reviewing its "Terms and Conditions" in order to align them with the provisions of the Tourism Code. In the new version provided by the Parties:</w:t>
        <w:br/>
        <w:t>a) the principle of full responsibility of the package organizer is reaffirmed (Articles 6.5, 6.6, 10.3, 12.4, 16, 18.10, and 25 of the Terms and Conditions);</w:t>
        <w:br/>
        <w:t>b) the circumstances in which the right of withdrawal can be exercised and the methods for asserting this right are specified (Articles 3.13 and 15 of the Terms and Conditions);</w:t>
        <w:br/>
        <w:t>c) the reasons that may lead to a post-contractual price increase are limited in accordance with what is established in the Tourism Code (Article 3 of the Terms and Conditions);</w:t>
        <w:br/>
        <w:t>d) the maximum date by which MSC will communicate the details of the flight will be indicated, where at the time of booking it is not technically possible to provide such information (Article 19 of the Terms and Conditions);</w:t>
        <w:br/>
        <w:t>e) the cases in which the company may proceed to modify the cruise itinerary during the execution of the package are indicated, distinguishing them from cases where the modification is made before departure (Articles 14 and 17 of the Terms and Conditions);</w:t>
        <w:br/>
        <w:t>f) the cancellation penalties related to the costs incurred by MSC in the event of consumer withdrawal and the conditions for refunding the flight are specified (Articles 13 and 19 of the Terms and Conditions);</w:t>
        <w:br/>
        <w:t>g) it is specified that the competent court by law is that of the consumer (Article 26 of the Terms and Conditions);</w:t>
        <w:br/>
        <w:t>h) the pre-contractual information contained in the "standard form" relating to the "Fundamental Rights of Directive 2015/2302," provided for by the same directive, is modified.</w:t>
      </w:r>
    </w:p>
    <w:p>
      <w:r>
        <w:t>21. Furthermore, MSC commits to improving the accessibility of the Terms and Conditions on its website by introducing a dedicated link where the text can be downloaded.</w:t>
      </w:r>
    </w:p>
    <w:p>
      <w:r>
        <w:t>22. The implementation of these commitments will be completed within one month from the communication of the acceptance decision.</w:t>
      </w:r>
    </w:p>
    <w:p>
      <w:r>
        <w:t>IV. OPINION OF THE AUTHORITY FOR GUARANTEES IN COMMUNICATIONS</w:t>
      </w:r>
    </w:p>
    <w:p>
      <w:r>
        <w:t>23. Since the commercial practice subject to this provision was disseminated through telecommunications means, on November 5, 2019, the opinion was requested from the Authority for Guarantees in Communications, pursuant to Article 27, paragraph 6, of the Consumer Code. In the opinion received on December 6, 2019, the aforementioned Authority considered that, since in this case the consumer consulting the professional's website could proceed to purchase one of the cruises on sale, the internet is a suitable tool to significantly influence the realization of the commercial practice.</w:t>
      </w:r>
    </w:p>
    <w:p>
      <w:r>
        <w:t>BULLETIN NO. 52 OF DECEMBER 30, 2019 139</w:t>
      </w:r>
    </w:p>
    <w:p>
      <w:r>
        <w:t>V. EVALUATION OF THE COMMITMENTS</w:t>
      </w:r>
    </w:p>
    <w:p>
      <w:r>
        <w:t>24. The procedure in question concerns the conduct of MSC regarding the methods and timing with which consumers were informed of the mandatory nature of the "Service Fee" and its amount, the request for payment of this tariff component to consumers who considered it optional, as well as the compliance of MSC's Terms and Conditions with the current regulations on tourist packages.</w:t>
      </w:r>
    </w:p>
    <w:p>
      <w:r>
        <w:t>25. The Authority believes that the commitments proposed by the professionals are suitable to remedy the possible profiles of illegitimacy of the commercial practice contested in the initiation communication.</w:t>
      </w:r>
    </w:p>
    <w:p>
      <w:r>
        <w:t>26. In particular, regarding the first contested conduct, concerning the current methods of representing the total price of the service on the website www.msccrociere.it and in the catalogs distributed at travel agencies, it is believed that the commitments contain measures suitable to transparently inform consumers of the total expenditure required for the cruise, the mandatory nature of the "Service Fees," and their amount. In fact, in the catalogs distributed at travel agencies, MSC will include relevant information regarding the aforementioned Fees with greater prominence than that contained in the catalogs currently in circulation. Furthermore, with reference to online purchases, during the booking process on the website www.msccrociere.it, the consumer will be immediately informed of the mandatory nature of the Fees and their amount. Subsequently, when all required choices are made, if the consumer intends to pay the entire price of the cruise immediately, this amount will be provided inclusive of the Fees; if, on the other hand, they decide to pay the Fees on board at the end of the cruise, their amount will be highlighted separately and clearly.</w:t>
      </w:r>
    </w:p>
    <w:p>
      <w:r>
        <w:t>Considering the peculiarities that characterize the tariff component represented by the Fees – which can be paid at the end of the trip on board the ship in relation to the days of cruise actually enjoyed, are not included in the amount for which a refund is requested in case of cancellation or withdrawal, nor contribute to forming the amount on which to calculate any cancellation penalties – the measures proposed in this case appear suitable to ensure that consumers are fully informed of the cost of the tourist package.</w:t>
      </w:r>
    </w:p>
    <w:p>
      <w:r>
        <w:t>27. Particularly significant is the measure contained in the commitments regarding the refund of the "Service Fees" to consumers who may not have been adequately informed of their mandatory nature before the conclusion of the contract. In fact, MSC has modified its website and contractual conditions since January 4, 2019, to make it clear that the Fees are mandatory; in the catalogs distributed at travel agencies since August 2018, the information regarding the mandatory nature of the Fee was present; in the catalogs distributed previously, it was not specified whether it was mandatory or optional. MSC, in its commitments, proposes to offer a refund of the Service Fees (if already paid) or to cancel them (if not yet paid) to all passengers who purchased a cruise at an agency or on the website www.msccrociere.it by January 4, 2019, for departures after March 31, 2019, and who have not "prepaid" the service fees by taking advantage of the 50% discount.</w:t>
      </w:r>
    </w:p>
    <w:p>
      <w:r>
        <w:t>That said, it is believed that MSC has adequately and sufficiently broadly identified the scope of consumers whose economic behavior may have been potentially altered by the conduct of the professional, eliminating the economic prejudice that consumers may have suffered due to MSC's conduct. In fact, it seems correct to include in the scope of commitments those who purchased the cruise before January 4, 2019, when it may not have been sufficiently clear to all consumers that the Fees were to be paid mandatorily. Subsequently, however, the professional modified its website and its Terms and Conditions explicitly indicating the mandatory nature of the Fees. Furthermore, in February, MSC reminded agencies of the mandatory nature of the Fees, already expressed in the catalog distributed since August 2018. Finally, the exclusion from the commitments of those who decided to prepay the Fees by taking advantage of a 50% discount seems appropriate, since such consumers, by agreeing to pay this tariff component in advance while benefiting from a significant discount, have shown that they understood its mandatory nature.</w:t>
      </w:r>
    </w:p>
    <w:p>
      <w:r>
        <w:t>MSC will propose to refund approximately 26,000 consumers included in this scope and, in any case, to consumers who have reported to the Authority or made a complaint to MSC, the amount of the Fee if it has already been paid and to cancel it from the account on board if the cruise has not yet taken place.</w:t>
      </w:r>
    </w:p>
    <w:p>
      <w:r>
        <w:t>28. Finally, the changes made to MSC's contractual terms and conditions regarding the causes of possible variations in the price indicated in the contract, the conditions for exercising the right of withdrawal and the related costs borne by the consumer, the methods and costs for replacing the passenger, and the moment when the definitive information regarding the flight is communicated, are suitable to provide consumers with a truthful and correct informational framework regarding travelers' rights and the obligations and responsibilities of the organizer, in accordance with the provisions of the Tourism Code.</w:t>
      </w:r>
    </w:p>
    <w:p>
      <w:r>
        <w:t>29. In light of the above considerations, it is believed that the commitments presented meet the requirements set forth in Article 27, paragraph 7, of the Consumer Code.</w:t>
      </w:r>
    </w:p>
    <w:p>
      <w:r>
        <w:t>THEREFORE, it is deemed that the commitments presented by the companies MSC Cruises S.A. and MSC Crociere S.p.A., in the terms outlined above, are suitable to eliminate the possible profiles of unfairness of the commercial practice subject to investigation;</w:t>
      </w:r>
    </w:p>
    <w:p>
      <w:r>
        <w:t>IT IS DEEMED to order the mandatory nature of the aforementioned commitments towards the companies MSC Cruises S.A. and MSC Crociere S.p.A.;</w:t>
      </w:r>
    </w:p>
    <w:p>
      <w:r>
        <w:t>IT IS DEEMED, therefore, to be able to close the procedure without establishing the infringement;</w:t>
      </w:r>
    </w:p>
    <w:p>
      <w:r>
        <w:t>RESOLVES</w:t>
      </w:r>
    </w:p>
    <w:p>
      <w:r>
        <w:t>a) to make mandatory, towards the companies MSC Cruises S.A. and MSC Crociere S.p.A., pursuant to Article 27, paragraph 7, of the Consumer Code and Article 9, paragraph 2, letter a), of the Regulation, the commitments proposed by the aforementioned professionals, as described in the statement attached to this provision;</w:t>
      </w:r>
    </w:p>
    <w:p>
      <w:r>
        <w:t>b) to close the procedure without establishing the infringement, pursuant to Article 27, paragraph 7, of the Consumer Code and Article 9, paragraph 2, letter a), of the Regulation;</w:t>
      </w:r>
    </w:p>
    <w:p>
      <w:r>
        <w:rPr>
          <w:b/>
        </w:rPr>
        <w:t>[Pages 139–141]</w:t>
      </w:r>
    </w:p>
    <w:p>
      <w:r>
        <w:t>BULLETIN NO. 52 OF DECEMBER 30, 2019 141</w:t>
      </w:r>
    </w:p>
    <w:p>
      <w:r>
        <w:t>c) that the companies MSC Cruises S.A. and MSC Crociere S.p.A., within ninety days from the date of notification of this resolution, inform the Authority of the implementation of the commitments.</w:t>
      </w:r>
    </w:p>
    <w:p>
      <w:r>
        <w:t>Pursuant to Article 9, paragraph 3, of the Regulation, the procedure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notified to the interested parties and published in the Bulletin of the Authority for Competition and Market.</w:t>
      </w:r>
    </w:p>
    <w:p>
      <w:r>
        <w:t>THE SECRETARY GENERAL THE PRESIDENT</w:t>
        <w:br/>
        <w:t>Filippo Arena Roberto Rustichelli</w:t>
      </w:r>
    </w:p>
    <w:p>
      <w:r>
        <w:t>142 BULLETIN NO. 52 OF DECEMBER 30, 2019</w:t>
      </w:r>
    </w:p>
    <w:p>
      <w:r>
        <w:t>PS11462 - STRIKE SHOP ITALIA - CONTRACTUAL PROBLEMS</w:t>
        <w:br/>
        <w:t>Provision No. 28037</w:t>
        <w:br/>
        <w:t>THE AUTHORITY FOR COMPETITION AND MARKET</w:t>
      </w:r>
    </w:p>
    <w:p>
      <w:r>
        <w:t>IN ITS MEETING of December 10, 2019;</w:t>
      </w:r>
    </w:p>
    <w:p>
      <w:r>
        <w:t>HEARD the Rapporteur Professor Michele Ainis;</w:t>
      </w:r>
    </w:p>
    <w:p>
      <w:r>
        <w:t>VIEWING Part II, Title III, and Part III, Title III, of Legislative Decree No. 206 of September 6, 2005, containing the "Consumer Code"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VIEWING its provision of July 31, 2019, with which the adoption of the precautionary measure was decided, pursuant to Article 27, paragraph 3, of the Consumer Code;</w:t>
      </w:r>
    </w:p>
    <w:p>
      <w:r>
        <w:t>VIEWING the acts of the procedure;</w:t>
      </w:r>
    </w:p>
    <w:p>
      <w:r>
        <w:t>I. THE PARTY</w:t>
      </w:r>
    </w:p>
    <w:p>
      <w:r>
        <w:t>1. The company Strikeshop Italia S.r.l.s., as a professional pursuant to the Consumer Code, carries out online commerce of phones, accessories, and products for telephony through the website identified by the domain https://phonestrikeshop.com/.</w:t>
      </w:r>
    </w:p>
    <w:p>
      <w:r>
        <w:t>The latest available financial statement of the company, relating to 2018, indicates revenues of €20.1 million, recording a net profit (after income taxes for the year) of €260,245.</w:t>
      </w:r>
    </w:p>
    <w:p>
      <w:r>
        <w:t>II. THE CONDUCTS SUBJECT TO THE PROCEDURE</w:t>
      </w:r>
    </w:p>
    <w:p>
      <w:r>
        <w:t>2. The procedure concerns behaviors carried out by the professional in the offer of products online through the website https://phonestrikeshop.com/ (hereinafter also the "site"), consisting of the failure to deliver the purchased products, as well as the failure to refund the amount paid following the cancellation of the order or the exercise of the right of withdrawal by the consumer.</w:t>
      </w:r>
    </w:p>
    <w:p>
      <w:r>
        <w:t>III. THE FINDINGS OF THE PROCEDURE</w:t>
      </w:r>
    </w:p>
    <w:p>
      <w:r>
        <w:t>1) The course of the procedure</w:t>
      </w:r>
    </w:p>
    <w:p>
      <w:r>
        <w:t>3. In relation to the aforementioned conducts, on July 19, 2019, the Party was notified of the initiation of investigative procedure No. PS11462 against Strikeshop Italia S.r.l.s., for possible violation of Articles 20, 24, and 25, letter d), of the Consumer Code.</w:t>
      </w:r>
    </w:p>
    <w:p>
      <w:r>
        <w:t>4. Concurrently with the initiation communication, the professional was invited, pursuant to Article 8, paragraph 2, of the Regulation, to submit written statements and documents within ten days of receipt, for the purpose of assessing the existence of the prerequisites for the provisional suspension of the practices, pursuant to Article 27, paragraph 3, of the Consumer Code.</w:t>
      </w:r>
    </w:p>
    <w:p>
      <w:r>
        <w:t>5. By provision of July 31, 2019, the Authority ordered the suspension of the practice related to the marketing and sale of products that are not available or otherwise not actually ready for delivery, considering the prerequisites of fumus boni iuris and periculum in mora to be present. In the same provision, it was also ordered that Strikeshop Italia S.r.l.s. communicate to the Authority, by sending a specific report within 10 days of receipt of the same, the execution of the suspension provision and the related implementation methods.</w:t>
      </w:r>
    </w:p>
    <w:p>
      <w:r>
        <w:t>6. On August 13, 2019, the website https://phonestrikeshop.com was still active, indicating that "Sales are temporarily suspended and products are visible for illustrative purposes only."</w:t>
      </w:r>
    </w:p>
    <w:p>
      <w:r>
        <w:t>7. In a note sent on August 16, 2019, the professional highlighted that "the site is active but since June 15, 2019, it has not been possible to make payments" as "payment forms have been disabled."</w:t>
      </w:r>
    </w:p>
    <w:p>
      <w:r>
        <w:t>8. On October 23, 2019, the Party was notified of the conclusion date of the investigative phase, pursuant to Article 16, paragraph 1, of the Regulation.</w:t>
      </w:r>
    </w:p>
    <w:p>
      <w:r>
        <w:t>9. By the conclusion deadline of the investigative phase, set for November 6, 2019, the professional did not submit any defensive memorandum.</w:t>
      </w:r>
    </w:p>
    <w:p>
      <w:r>
        <w:t>10. On November 7, 2019, a request for an opinion was sent to the Authority for Guarantees in Communications, which was received on December 6, 2019.</w:t>
      </w:r>
    </w:p>
    <w:p>
      <w:r>
        <w:t>11. On November 14, 2019, the website in question was found to be unreachable and inactive.</w:t>
      </w:r>
    </w:p>
    <w:p>
      <w:r>
        <w:t>2) The evidence acquired</w:t>
      </w:r>
    </w:p>
    <w:p>
      <w:r>
        <w:t>A) The reports</w:t>
      </w:r>
    </w:p>
    <w:p>
      <w:r>
        <w:t>12. With specific reference to the behaviors briefly described above, the investigative activity allowed for the collection of various elements supporting the alleged violations at the outset. In this perspective, the 30 reports received by the Authority during the period between October 2018 and September 2019 are particularly relevant, thus also subsequent to the initiation of the present procedure.</w:t>
      </w:r>
    </w:p>
    <w:p>
      <w:r>
        <w:t>13. The reports, which are exemplified as follows, state the following:</w:t>
        <w:br/>
        <w:t>- on 26/11/2018, wireless earphones were purchased on the website https://phonestrikeshop.com for the price of €136, paid by credit card. The delivery date was expected between November 30 and December 6, 2018. On 18/12/2018, "after numerous unsuccessful attempts to contact via phone and internet (Facebook)," the reporter received "notification of the unavailability of the product and a request for my IBAN to refund the amount spent, although it should be credited back to the credit card used for the purchase." The reporter also highlights that the product was available at the time of the online purchase. Furthermore, it is reported "the failure to refund the amount spent" as of 20/12/2018.</w:t>
      </w:r>
    </w:p>
    <w:p>
      <w:r>
        <w:rPr>
          <w:b/>
        </w:rPr>
        <w:t>[Pages 142–144]</w:t>
      </w:r>
    </w:p>
    <w:p>
      <w:r>
        <w:t>144 BULLETIN NO. 52 OF DECEMBER 30, 2019</w:t>
      </w:r>
    </w:p>
    <w:p>
      <w:r>
        <w:t>- on 12/4/2019, a smartphone was purchased on the professional's website for the price of 297 euros; on 10/5/2019, the notifier requested a refund because the product purchased online "was still not available in their warehouses"; despite the professional committing to refund within 14 days from 10/5/2019, as of 13 June 2019, the notifier had not received any response;</w:t>
      </w:r>
    </w:p>
    <w:p>
      <w:r>
        <w:t>- on 28/4/2019, a smartphone was purchased on the professional's website; since the purchased item had not arrived, on 20 June 2019, a refund of the amount paid (623.70 euros paid via bank transfer) was requested. As of 27 August 2019, the consumer had still not received either the product, the refund, or any response from the professional, despite being prompted;</w:t>
      </w:r>
    </w:p>
    <w:p>
      <w:r>
        <w:t>- on 2/5/2019, a smartphone was purchased on the professional's website, with payment made via bank transfer for an amount of 692 euros. The expected delivery date was between 12 May and 20 May 2019. After this deadline for delivery had passed, the notifier informed the professional of the issue, who – on 20 May 2019 – replied attributing the delay to an unspecified problem "in processing orders," which the professional committed to resolve promptly. However, as of 9 June 2019, no further communication had been received by the notifier;</w:t>
      </w:r>
    </w:p>
    <w:p>
      <w:r>
        <w:t>- on 6/5/2019, a smartphone was purchased on the professional's website; according to the notifier, the product "was available on the site," but due to "continuous shipping delays," on 24/5/2019, the notifier decided to request a refund, which the professional committed to process within 14 days. However, still on 14/6/2019, the notifier had not yet received any response to the refund request;</w:t>
      </w:r>
    </w:p>
    <w:p>
      <w:r>
        <w:t>- on 6/5/2019, a smartphone was purchased on the professional's website; on 22/5/2019, "not having received the item in question within the maximum time they had established," the notifier contacted the professional, first by phone ("without receiving any plausible explanation"), then by email, receiving a vague response stating that they did not know the delivery date of the phone; at this point, the notifier formally requested a refund, but as of the date of the notification (23 July 2019), the consumer had still not received the refund of the amount of €475;</w:t>
      </w:r>
    </w:p>
    <w:p>
      <w:r>
        <w:t>- on 19/5/2019, a smartphone was purchased on the professional's website; the notifier - who had never received either the product purchased online or the requested refund - pointed out that although "they have been prompted several times, they have always given unacceptable justifications for an e-commerce," in addition to being impossible to contact them by phone;</w:t>
      </w:r>
    </w:p>
    <w:p>
      <w:r>
        <w:t>- on 22/5/2019, a smartphone was purchased on the professional's website; initially "everything seemed to be going well" until the processing of the order suddenly stopped "and the item was not shipped." Contacted by email, the professional suggested that the consumer submit a refund request "because the product was no longer available." Although the refund was authorized on 21 June 2019, as of 8 August 2019, the notifier claims to have never received it. After several attempts to contact, the consumer finally received an email from the professional stating "that they had encountered problems and that they would do their best to resolve the issue. Since then, I have not received any more responses, they no longer answer the phone or emails";</w:t>
      </w:r>
    </w:p>
    <w:p>
      <w:r>
        <w:t>- on 7/6/2019, a smartphone was purchased on the professional's website for the value of 482 euros; the product "was indicated on the website as available, but still [as of 3 August 2019, ed.] has never been delivered to the address specified at the time of order." On 3/7/2019, the professional informed the notifier of the impossibility of proceeding with the order processing, inviting them to request a refund of the amount paid. Consequently, on 3/7/2019, the consumer sent a formal refund request to the professional, but no response followed despite "my subsequent reminders";</w:t>
      </w:r>
    </w:p>
    <w:p>
      <w:r>
        <w:t>- on 30/7/2019, the consumer association "Centro Tutela Consumatori Utenti" reported having received 5 complaints from consumers in South Tyrol who complained of having purchased some products (generally smartphones) on the professional's website, but "never received anything, despite the reminders" (both by phone and via email);</w:t>
      </w:r>
    </w:p>
    <w:p>
      <w:r>
        <w:t>- on 30/9/2019, a consumer reported being "a victim of a purchase without either goods or refund."</w:t>
      </w:r>
    </w:p>
    <w:p>
      <w:r>
        <w:t>3) The defensive arguments of the Party</w:t>
      </w:r>
    </w:p>
    <w:p>
      <w:r>
        <w:t>14. Following the initiation communication, the professional did not produce any defensive memorandum and only transmitted the communication of 16 August 2019 mentioned above, in which they informed that they had suspended the possibility of making payments on their website.</w:t>
      </w:r>
    </w:p>
    <w:p>
      <w:r>
        <w:t>IV. OPINION OF THE AUTHORITY FOR GUARANTEES IN COMMUNICATIONS</w:t>
      </w:r>
    </w:p>
    <w:p>
      <w:r>
        <w:t>15. Since the commercial practice subject to this provision was disseminated via the internet, on 7 November 2019, the opinion was requested from the Authority for Guarantees in Communications, pursuant to Article 27, paragraph 6, of the Consumer Code.</w:t>
      </w:r>
    </w:p>
    <w:p>
      <w:r>
        <w:t>16. With an opinion received on 6 December 2019, the aforementioned Authority, limiting its evaluations to the suitability of the specific means of communication used to disseminate the commercial practice to impact and amplify any unfairness of the same practice, expressed its opinion that the average consumer, having consulted the website phonestrikeshop.com as a result of the information present on the site in question, could proceed to purchase the products offered for sale on the same site, thus concretely developing the full promotional potential of online communication.</w:t>
      </w:r>
    </w:p>
    <w:p>
      <w:r>
        <w:t>17. Therefore, the Authority for Guarantees in Communications deemed that, in this case, the internet is a suitable tool to significantly influence the realization of the commercial practice subject to the request for opinion.</w:t>
      </w:r>
    </w:p>
    <w:p>
      <w:r>
        <w:t>V. CONCLUDING EVALUATIONS</w:t>
      </w:r>
    </w:p>
    <w:p>
      <w:r>
        <w:t>Preliminary observations</w:t>
      </w:r>
    </w:p>
    <w:p>
      <w:r>
        <w:t>18. The investigation in question concerns the e-commerce sector, a rapidly growing area characterized by intense competition, in which the depersonalization of the purchasing relationship effectively weakens the consumer/buyer and places them in a position of inevitable informational asymmetry compared to the professional.</w:t>
      </w:r>
    </w:p>
    <w:p>
      <w:r>
        <w:t>19. Hence the need to ensure the correctness of commercial relations, primarily, the fulfillment of the main obligations of the contract and, therefore, the delivery of the purchased goods corresponding to those subject to promotion and offer.</w:t>
      </w:r>
    </w:p>
    <w:p>
      <w:r>
        <w:t>20. In the preliminary phase leading to the purchase decision, it is therefore necessary to provide a precise and comprehensive informational framework regarding the essential characteristics of the products sold and the methods of execution of the related contractual regulation, in order to allow the consumer to verify the convenience of the transaction and the conformity of the goods/services provided to the declarations of the professional.</w:t>
      </w:r>
    </w:p>
    <w:p>
      <w:r>
        <w:t>21. Furthermore, it should be emphasized that, in the e-commerce sector, the informational obligations on the professional remain, albeit with different significance, even after the submission of an order: in the execution phase of the consumer relationship, not only the rapid execution of a transaction is relevant, but also the dissemination of correct information on the actual status and concrete developments of a purchase order. This is also because, given the high competition in this sector, if promptly and adequately informed about the possible impossibility of fulfilling the order under the proposed conditions, the consumer can easily replace the non-compliant professional with a direct competitor.</w:t>
      </w:r>
    </w:p>
    <w:p>
      <w:r>
        <w:t>Violations of the Consumer Code referred to in point II</w:t>
      </w:r>
    </w:p>
    <w:p>
      <w:r>
        <w:t>22. From the numerous reports acquired in the records, the aggressiveness of the conduct carried out by Strikeshop Italia S.r.l.s. emerges clearly, consisting of the serious delay and thus the failure to deliver the products purchased online through the site, as well as the subsequent failure to refund the amount paid by the consumer following the cancellation of the order or the exercise of the right of withdrawal.</w:t>
      </w:r>
    </w:p>
    <w:p>
      <w:r>
        <w:t>23. In particular, after making the purchase, the notifiers became aware of the alleged problems in managing orders and delays in the delivery of the purchased products, managing only sometimes to obtain refunds, moreover in the face of numerous complaints.</w:t>
      </w:r>
    </w:p>
    <w:p>
      <w:r>
        <w:t>24. Moreover, despite the repeated reminders made following the withdrawal and the refund request, the majority of the notifying parties did not obtain the refund, encountering significant obstacles in exercising their contractual rights.</w:t>
      </w:r>
    </w:p>
    <w:p>
      <w:r>
        <w:rPr>
          <w:b/>
        </w:rPr>
        <w:t>[Pages 145–147]</w:t>
      </w:r>
    </w:p>
    <w:p>
      <w:r>
        <w:t>BULLETIN NO. 52 OF DECEMBER 30, 2019 147</w:t>
      </w:r>
    </w:p>
    <w:p>
      <w:r>
        <w:t>25. In this context, it is also worth noting the attitude taken during the proceedings by the Party, which limited itself to informing that it had suspended the possibility of making payments on its website, without attaching any document from which the non-existence of the contested conduct could be inferred.</w:t>
      </w:r>
    </w:p>
    <w:p>
      <w:r>
        <w:t>26. The conduct described—considered as a whole—therefore characterizes itself as an aggressive commercial practice, capable of significantly limiting consumers' freedom of choice regarding the product and therefore likely to induce them to make a commercial decision—namely, the purchase and payment for a product—that they would not have otherwise made. Consumers, in fact, base their commercial choice not only on price but also on the presentation of the chosen product as available.</w:t>
      </w:r>
    </w:p>
    <w:p>
      <w:r>
        <w:t>27. Furthermore, it is relevant that consumers, at the same time as finalizing the order, proceed to make immediate payment for the chosen good using the payment methods accepted by the professional (in this case, credit card or bank transfer) and, following the cancellation of the order and/or the termination of the contract due to delay in delivery, are unable to obtain a refund of the price paid from the professional.</w:t>
      </w:r>
    </w:p>
    <w:p>
      <w:r>
        <w:t>28. Finally, the marked position of weakness in which consumers find themselves is also significant, due to the informational asymmetries that characterize the tool used for concluding the purchase contract.</w:t>
      </w:r>
    </w:p>
    <w:p>
      <w:r>
        <w:t>29. For the reasons stated above, the commercial practice must therefore be considered aggressive pursuant to Articles 24 and 25, letter d), of the Consumer Code, as it is capable of unduly conditioning the freedom of choice of the average consumer and hindering the exercise of contractual rights.</w:t>
      </w:r>
    </w:p>
    <w:p>
      <w:r>
        <w:t>VI. QUANTIFICATION OF THE SANCTION</w:t>
      </w:r>
    </w:p>
    <w:p>
      <w:r>
        <w:t>30.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31. Regarding the quantification of the sanction, account must be taken, where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32. In assessing the severity of the violation, account is taken of the overall extent of the economic harm potentially resulting to consumers, the size of the professional,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 which suggests that the conduct in question has had wide dissemination.</w:t>
      </w:r>
    </w:p>
    <w:p>
      <w:r>
        <w:t>33. Also regarding the quantification of the sanction, the economic conditions of the company are relevant, which in 2018 recorded a turnover of approximately €20 million and a profit of approximately €260,000.</w:t>
      </w:r>
    </w:p>
    <w:p>
      <w:r>
        <w:t>148 BULLETIN NO. 52 OF DECEMBER 30, 2019</w:t>
      </w:r>
    </w:p>
    <w:p>
      <w:r>
        <w:t>34. As for the duration of the violation, the available evidence indicates that the practice has been in place at least since October 2018 and until August 2019, coinciding with the suspension of sales ordered by the professional on its website (see above, §§ 6 and 7). Based on these elements, it is deemed appropriate to determine the applicable administrative pecuniary sanction for Strikeshop Italia S.r.l.s. in the amount of €300,000 (three hundred thousand euros).</w:t>
      </w:r>
    </w:p>
    <w:p>
      <w:r>
        <w:t>CONSIDERING, also in light of the opinion of the Authority for Communications Guarantees, based on the aforementioned considerations, that the commercial practice described in point II of this provision is deemed unfair pursuant to Articles 24 and 25, letter d), of the Consumer Code, as it is capable of unduly conditioning the freedom of choice of the average consumer and hindering the exercise of contractual rights;</w:t>
      </w:r>
    </w:p>
    <w:p>
      <w:r>
        <w:t>RESOLVES</w:t>
      </w:r>
    </w:p>
    <w:p>
      <w:r>
        <w:t>a) that the commercial practice described in point II of this provision, carried out by Strikeshop Italia S.r.l.s., constitutes, for the reasons and within the limits set out in the motivation, an unfair commercial practice pursuant to Articles 24 and 25, letter d), of the Consumer Code, and prohibits its dissemination or continuation;</w:t>
      </w:r>
    </w:p>
    <w:p>
      <w:r>
        <w:t>b) that, with reference to the commercial practice referred to in letter a), Strikeshop Italia S.r.l.s. shall be imposed an administrative pecuniary sanction of €300,000 (three hundred thousand euros). The administrative sanctions imposed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 Immediate communication of the payment must be given to the Authority by sending documentation certifying the payment made.</w:t>
      </w:r>
    </w:p>
    <w:p>
      <w:r>
        <w:t>16 See report prot. 0068543 of 09/10/2018.</w:t>
      </w:r>
    </w:p>
    <w:p>
      <w:r>
        <w:t>BULLETIN NO. 52 OF DECEMBER 30, 2019 149</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rPr>
          <w:b/>
        </w:rPr>
        <w:t>[Pages 148–150]</w:t>
      </w:r>
    </w:p>
    <w:p>
      <w:r>
        <w:t>150 BULLETIN NO. 52 OF DECEMBER 30, 2019</w:t>
      </w:r>
    </w:p>
    <w:p>
      <w:r>
        <w:t>UNFAIR CLAUSES</w:t>
      </w:r>
    </w:p>
    <w:p>
      <w:r>
        <w:t>CV192 - ITAS - IRREGULAR ARBITRATION CLAUSES</w:t>
      </w:r>
    </w:p>
    <w:p>
      <w:r>
        <w:t>Provision No. 28008</w:t>
      </w:r>
    </w:p>
    <w:p>
      <w:r>
        <w:t>THE ANTITRUST AUTHORITY</w:t>
      </w:r>
    </w:p>
    <w:p>
      <w:r>
        <w:t>IN ITS MEETING of November 27, 2019;</w:t>
      </w:r>
    </w:p>
    <w:p>
      <w:r>
        <w:t>HEARD the Rapporteur Professor Michele Ainis;</w:t>
      </w:r>
    </w:p>
    <w:p>
      <w:r>
        <w:t>VIEWED Part III, Title 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CONSIDERED the following:</w:t>
      </w:r>
    </w:p>
    <w:p>
      <w:r>
        <w:t>THE PARTIES</w:t>
      </w:r>
    </w:p>
    <w:p>
      <w:r>
        <w:t>1. ITAS MUTUA (hereinafter, ITAS), as a professional, pursuant to Article 3 of the Consumer Code.</w:t>
      </w:r>
    </w:p>
    <w:p>
      <w:r>
        <w:t>2. CONSUMER AND USER PROTECTION CENTER (hereinafter, CTCU), as the reporting consumer association.</w:t>
      </w:r>
    </w:p>
    <w:p>
      <w:r>
        <w:t>II. THE CLAUSE SUBJECT TO EVALUATION</w:t>
      </w:r>
    </w:p>
    <w:p>
      <w:r>
        <w:t>3. This provision concerns the clause transcribed below, present in numerous insurance contracts of the professional, for the protection of individuals, and titled "Contractual Expertise," limited to the contractual relationships between the company and consumer clients:</w:t>
      </w:r>
    </w:p>
    <w:p>
      <w:r>
        <w:t>"The compensation is determined based on what is established by the preceding articles. Any medical disputes regarding the nature of the injuries, the degree of permanent disability, or the degree or duration of temporary incapacity, as well as the application of the indemnification criteria provided for in Article 10 - Indemnification Criteria - must be referred, in writing, to a panel of three doctors, one appointed by each party and the third by mutual agreement; the Medical Panel meets in the municipality where the Order of Doctors is located in whose jurisdiction the Insured resides. In case of disagreement on the choice of the third doctor, the appointment is entrusted to the President of the aforementioned Order of Doctors. Each Party bears its own expenses and compensates the doctor it designates, contributing half of the expenses and fees for the third doctor. The Medical Panel is authorized to postpone, if it deems appropriate, the definitive assessment of permanent disability to a time to be determined by the Panel itself, in which case the Panel may grant a provisional compensation on the indemnity. The decisions of the Medical Panel are made by majority vote, exempt from any legal formalities, and are binding on the Parties, who hereby waive any appeal except in cases of violence, fraud, error, or violation of contractual agreements. The results of the arbitration proceedings must be recorded in a specific report, to be drawn up in duplicate, one for each of the Parties. The decisions of the Medical Panel are binding on the Parties even if one of the doctors refuses to sign the relevant report; such refusal must be certified by the other arbitrators in the final report."</w:t>
      </w:r>
    </w:p>
    <w:p>
      <w:r>
        <w:t>III. INVESTIGATIVE FINDINGS</w:t>
      </w:r>
    </w:p>
    <w:p>
      <w:r>
        <w:t>a) The procedure's course</w:t>
      </w:r>
    </w:p>
    <w:p>
      <w:r>
        <w:t>4. According to the information acquired for the application of Article 37-bis of the Consumer Code and, in particular, based on a report from the CTCU - which on October 11, 2018 reported the clause described in point II of this provision as unfair, used by ITAS Mutua within the contract conditions of the "Quadrifoglio" accident policy - on May 31, 2019, the CV/192 proceeding was initiated against the professional.</w:t>
      </w:r>
    </w:p>
    <w:p>
      <w:r>
        <w:t>5. In the communication initiating the proceeding, it was represented to ITAS that the clause described in point II of this provision, in itself and in connection with the other contractual clauses, could be considered unfair pursuant to Article 33, paragraphs 1 and 2, letters b) and t), of the Consumer Code, as it would create a significant imbalance of rights and obligations arising from the contract to the detriment of the consumer.</w:t>
      </w:r>
    </w:p>
    <w:p>
      <w:r>
        <w:t>6. Concurrently with the communication initiating the proceeding, a request for information was made to ITAS, pursuant to Article 12, paragraph 1, of the Regulation, also asking to provide elements that would overcome the presumption of unfairness referred to in Article 33, paragraph 2, letters b) and t), of the Consumer Code.</w:t>
      </w:r>
    </w:p>
    <w:p>
      <w:r>
        <w:t>7. The Authority was informed in its meeting of May 29, 2019, pursuant to Article 23, paragraph 6, of the Regulation, and on May 31, 2019, the consultation referred to in Article 37-bis, paragraph 1, of the Consumer Code was ordered, through the publication of a notice on the Authority's institutional website concerning the clause described in point II of this provision. No observations were received during the consultation.</w:t>
      </w:r>
    </w:p>
    <w:p>
      <w:r>
        <w:t>8. On June 28, 2019, ITAS submitted its defense memorandum, also providing the information requested in the communication initiating the proceeding.</w:t>
      </w:r>
    </w:p>
    <w:p>
      <w:r>
        <w:t>9. On August 1, 2019, information was requested from ITAS. The Party provided the relevant response on September 6, 2019.</w:t>
      </w:r>
    </w:p>
    <w:p>
      <w:r>
        <w:t>10. On October 18, 2019, the Party was notified of the conclusion date of the investigative phase, pursuant to Article 16, paragraph 1, of the Regulation.</w:t>
      </w:r>
    </w:p>
    <w:p>
      <w:r>
        <w:t>11. On November 7, 2019, the Party submitted a final memorandum.</w:t>
      </w:r>
    </w:p>
    <w:p>
      <w:r>
        <w:t>b) The elements provided by the professional during the proceeding and the defensive arguments made by ITAS</w:t>
      </w:r>
    </w:p>
    <w:p>
      <w:r>
        <w:t>Elements provided by the professional</w:t>
      </w:r>
    </w:p>
    <w:p>
      <w:r>
        <w:t>12. In its defense memorandum, ITAS highlighted the presence of the aforementioned clause, not only in the "Quadrifoglio" policy but also in ten other insurance products (the "Ad Personam," "A-doc," "Comfort," "Con Te," "Diaria," "Permanent Disability and Illness," "Pluritas/Pluritas with RCI policyholder," "Sanitas Alto Adige," "Serenitas," and "Nettuno" policies).</w:t>
      </w:r>
    </w:p>
    <w:p>
      <w:r>
        <w:t>13. In this regard, the Party emphasized that these are products created between 2007 and 2014, which escaped the review process carried out by the company at a later time. In fact, in products created or revised after 2014 (such as, for example, the auto liability policy), the clause governing the methods of determining compensation does not require arbitration to be mandatory, but merely optional, according to the following wording: "Any medical disputes regarding the nature of the injuries, the degree of permanent disability, or the degree or duration of temporary incapacity, as well as the application of the indemnification criteria provided for in Article 10 - Indemnification Criteria - may be referred, in writing, to a panel of three doctors, one appointed by each party and the third by mutual agreement."</w:t>
      </w:r>
    </w:p>
    <w:p>
      <w:r>
        <w:t>14. Based on these premises, the Company expressed its intention to revise the clause subject to the proceeding, proposing, as in the case of the majority of products marketed by the Company, the mere option for the consumer to resort to irregular arbitration.</w:t>
      </w:r>
    </w:p>
    <w:p>
      <w:r>
        <w:t>15. In this regard, with communications dated August 9, 2019, and September 6, 2019, as well as with the final memorandum submitted on November 7, 2019, the Company specified that it had completed, on July 30, 2019, the modification of the clause in all marketed policies that still contained it, replacing it with the one previously reported and already present in the majority of policies. ITAS also clarified that this modification will be extended to current clients holding insurance policies concluded under the previous conditions. These latter clients have already been identified and by the end of November 2019 will receive a communication of the following tenor: "Following the modification of the insurance conditions related to the policies in question (...) in case of dispute, recourse to arbitration is optional and no longer mandatory. This is an update that aligns the policy with market practice to ensure consumers, if they deem it appropriate, can protect their interests through an alternative tool to judicial action."</w:t>
      </w:r>
    </w:p>
    <w:p>
      <w:r>
        <w:t>IV. CONCLUDING EVALUATIONS</w:t>
      </w:r>
    </w:p>
    <w:p>
      <w:r>
        <w:t>16. The evaluations that follow concern the clause indicated in point II of this provision, which presents profiles of unfairness according to the provisions of Articles 33 and following of the Consumer Code.</w:t>
      </w:r>
    </w:p>
    <w:p>
      <w:r>
        <w:t>17. At the start of the proceeding, it was indicated to ITAS that, for clauses falling under the list in Article 33, paragraph 2, of the Consumer Code, a legal presumption of unfairness is provided, with a simultaneous reference to the burden on the professional to provide elements that constitute contrary evidence to this presumption. ITAS did not provide any elements supporting the non-unfairness of the clause.</w:t>
      </w:r>
    </w:p>
    <w:p>
      <w:r>
        <w:t>18. That said, the clause described in point II of this communication is to be considered unfair, pursuant to Article 33, paragraphs 1 and 2, letters b) and t), of the Consumer Code.</w:t>
      </w:r>
    </w:p>
    <w:p>
      <w:r>
        <w:rPr>
          <w:b/>
        </w:rPr>
        <w:t>[Pages 151–153]</w:t>
      </w:r>
    </w:p>
    <w:p>
      <w:r>
        <w:t>BULLETIN NO. 52 OF DECEMBER 30, 2019 153</w:t>
      </w:r>
    </w:p>
    <w:p>
      <w:r>
        <w:t>as it creates a significant imbalance of rights and obligations arising from the contract to the detriment of the consumer. The identified aspects of unfairness remain based on the reading and interpretation of the clause in light of the overall context of each adhesion contract in which it is included.</w:t>
      </w:r>
    </w:p>
    <w:p>
      <w:r>
        <w:t>19. More specifically, the clause appears to be unfair insofar as it provides that any medical disputes regarding the nature of injuries, the degree of permanent disability, or the degree or duration of temporary incapacity, as well as the application of the criteria for compensability, must be mandatorily referred to an arbitration panel: i) whose costs are also borne by the insured; ii) which adopts a decision made by majority and is definitively binding for the parties with a waiver of any appeal (except in limited cases of violence, fraud, error, or violation of contractual agreements); iii) which may postpone, for reasons of opportunity, the definitive assessment of permanent disability with the possibility of establishing a provisional compensation.</w:t>
      </w:r>
    </w:p>
    <w:p>
      <w:r>
        <w:t>20. In particular, the clause configures the case of mandatory non-ritual arbitration, in derogation of the jurisdiction of the judicial authority, and whose decisions have a definitively binding effect for the Parties, except for some limited cases, in violation of Article 33, paragraphs 1 and 2, letters b) and t), of the Consumer Code, and appears capable of creating a significant imbalance in the contractual exchange to the detriment of the insured-consumer, as it establishes, as highlighted, that the costs of the arbitration procedure are also borne by the insured and that for reasons of opportunity the arbitration panel may postpone the definitive assessment of permanent disability with only discretionary power and not the obligation to establish a provisional compensation, moreover, without the identification of quick and certain times for the conclusion of the procedure. In fact, the delay of the arbitration decision, for unspecified reasons of opportunity, moreover in the absence of the guarantee of a provisional compensation, appears more burdensome for the insured than for the Company.</w:t>
      </w:r>
    </w:p>
    <w:p>
      <w:r>
        <w:t>21. Furthermore, the costs of arbitration are different and less burdensome for the insurance company, which finds itself daily managing a multitude of disputes of the same kind, with the savings resulting from the consequent economies of scale and with the implicit advantage inherent in the knowledge of the environment, personnel, and potential arbitrators, compared to the individual consumer, who lacks any influence and has no experience.</w:t>
      </w:r>
    </w:p>
    <w:p>
      <w:r>
        <w:t>22. Moreover, the provision of costs borne by the consumer could also result in a drastic reduction of the expected compensation or in a waiver of the right in the event that the costs exceed the compensation expected from the procedure.</w:t>
      </w:r>
    </w:p>
    <w:p>
      <w:r>
        <w:t>23. Finally, it is noteworthy that the decision may be made by majority and not unanimously, potentially leading to a binding determination for the consumer regarding the nature of the injuries, the degree of permanent disability, or the degree or duration of temporary incapacity, as well as the application of the criteria for compensability, not shared by the doctor appointed by the consumer.</w:t>
      </w:r>
    </w:p>
    <w:p>
      <w:r>
        <w:t>24. The new version of the clause as described in point 13 of this provision, which provides the mere option for the consumer to resort to non-ritual arbitration, appears in line with the regulatory provisions of Article 33, paragraphs 1 and 2, letters b) and t), of the Consumer Code.</w:t>
      </w:r>
    </w:p>
    <w:p>
      <w:r>
        <w:t>CONSIDERING that, for the clause subject to the initiation of the procedure, there is a legal presumption of unfairness, pursuant to Article 33, paragraph 2, letters b) and t), of the Consumer Code and that ITAS has not provided fully sufficient elements to overcome this presumption;</w:t>
      </w:r>
    </w:p>
    <w:p>
      <w:r>
        <w:t>154 BULLETIN NO. 52 OF DECEMBER 30, 2019</w:t>
      </w:r>
    </w:p>
    <w:p>
      <w:r>
        <w:t>CONSIDERING, in particular, based on the above considerations, that the clause described in point II of this provision is unfair, pursuant to Article 33, paragraphs 1 and 2, letters b) and t), of the Consumer Code;</w:t>
      </w:r>
    </w:p>
    <w:p>
      <w:r>
        <w:t>CONSIDERING that the new clause, reformulated according to the version produced in the records and in force from July 30, 2019, is not unfair pursuant to Article 33, paragraphs 1 and 2, letters b) and t), of the Consumer Code;</w:t>
      </w:r>
    </w:p>
    <w:p>
      <w:r>
        <w:t>CONSIDERING that the publication of an excerpt of this provision is required to fully inform consumers of the unfairness of the clause subject to this assessment on the website of the Authority and of ITAS, pursuant to Article 37-bis, paragraph 2, of the Consumer Code and Article 23, paragraph 8, of the Regulation; that it seems appropriate for the aforementioned publication on the ITAS website to last for twenty consecutive days; and that there are no particular factual and legal elements to order further measures of consumer information;</w:t>
      </w:r>
    </w:p>
    <w:p>
      <w:r>
        <w:t>RESOLVES</w:t>
      </w:r>
    </w:p>
    <w:p>
      <w:r>
        <w:t>a) that the clause described in point II of this provision constitutes a case of an unfair clause, pursuant to Article 33, paragraphs 1 and 2, letters b) and t), of the Consumer Code, for the reasons and within the limits set out in the motivation;</w:t>
      </w:r>
    </w:p>
    <w:p>
      <w:r>
        <w:t>b) that the new formulation of the clause, in the version produced in the records, is not unfair pursuant to Article 33, paragraphs 1 and 2, letters b) and t), of the Consumer Code, for the reasons and within the limits set out in the motivation.</w:t>
      </w:r>
    </w:p>
    <w:p>
      <w:r>
        <w:t>ORDERS</w:t>
      </w:r>
    </w:p>
    <w:p>
      <w:r>
        <w:t>a) that the company ITAS S.p.A. publish, at its own expense, an excerpt of the provision, pursuant to Article 37-bis of the Consumer Code and Article 23, paragraph 8, of the Regulation, according to the following modalities:</w:t>
      </w:r>
    </w:p>
    <w:p>
      <w:r>
        <w:t>1) the text of the excerpt of the provision is that reported in the annex to this provision;</w:t>
      </w:r>
    </w:p>
    <w:p>
      <w:r>
        <w:t>2) the text of the excerpt of the provision must be published for twenty consecutive days on the homepage of the website www.gruppoitas.it,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www.gruppoitas.it;</w:t>
      </w:r>
    </w:p>
    <w:p>
      <w:r>
        <w:t>c) the publication must fully reflect the setting, structure, and appearance of the excerpt attached to this provision; the methods of writing, printing, and dissemination must not be such as to nullify the effects of the publication; in particular, on the webpage of the website where the excerpt will be published, as well as on the remaining pages, there must not be messages that conflict with the content of the excerpt itself or that tend to diminish its significance and meaning.</w:t>
      </w:r>
    </w:p>
    <w:p>
      <w:r>
        <w:t>Pursuant to Article 37-bis, paragraph 2, of the Consumer Code, in case of non-compliance, the Authority applies an administrative pecuniary sanction from €5,000 to €50,000.</w:t>
      </w:r>
    </w:p>
    <w:p>
      <w:r>
        <w:t>Against this provision, an appeal may be filed with the TAR of Lazio, pursuant to Article 37-bis, paragraph 4, and Article 135, paragraph 1, letter b), of the Code of Administrative Procedure (Legislative Decree July 2, 2010, no. 104),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opinion itself.</w:t>
      </w:r>
    </w:p>
    <w:p>
      <w:r>
        <w:t>This provision will be communicated to the interested parties and published in the Bulletin of the Antitrust Authority.</w:t>
      </w:r>
    </w:p>
    <w:p>
      <w:r>
        <w:t>The excerpt of the provision is also published, within twenty days from the communication of its adoption, in a specific section of the institutional website of the Authority.</w:t>
      </w:r>
    </w:p>
    <w:p>
      <w:r>
        <w:t>THE SECRETARY GENERAL THE PRESIDENT</w:t>
        <w:br/>
        <w:t>Filippo Arena Roberto Rustichelli</w:t>
      </w:r>
    </w:p>
    <w:p>
      <w:r>
        <w:rPr>
          <w:b/>
        </w:rPr>
        <w:t>[Pages 154–156]</w:t>
      </w:r>
    </w:p>
    <w:p>
      <w:r>
        <w:t>156 BULLETIN NO. 52 OF DECEMBER 30, 2019</w:t>
      </w:r>
    </w:p>
    <w:p>
      <w:r>
        <w:t>CV192 – ITAS IRRITUAL ARBITRATION</w:t>
      </w:r>
    </w:p>
    <w:p>
      <w:r>
        <w:t>Annex to provision no. 28008</w:t>
      </w:r>
    </w:p>
    <w:p>
      <w:r>
        <w:t>Annex to the provision of the Authority for the Guarantee of Competition and the Market of November 27, 2019, regarding administrative protection against unfair clauses pursuant to Article 37 bis of the Consumer Code.</w:t>
      </w:r>
    </w:p>
    <w:p>
      <w:r>
        <w:t>[OMISSIS]</w:t>
      </w:r>
    </w:p>
    <w:p>
      <w:r>
        <w:t>On May 31, 2019, the procedure CV192 - ITAS-CLAUSES IRRITUAL ARBITRATION was initiated against the company Itas Mutua.</w:t>
      </w:r>
    </w:p>
    <w:p>
      <w:r>
        <w:t>[OMISSIS]</w:t>
      </w:r>
    </w:p>
    <w:p>
      <w:r>
        <w:t>This provision concerns the clause transcribed below, present in numerous insurance contracts of the professional, for the protection of individuals, and titled "Contractual Expertise," limited to the contractual relationships between the company and consumer clients:</w:t>
      </w:r>
    </w:p>
    <w:p>
      <w:r>
        <w:t>“The indemnity is determined based on what is established by the preceding articles. Any medical disputes regarding the nature of the injuries, the degree of permanent disability, or the degree or duration of temporary incapacity, as well as the application of the criteria for indemnifiability provided for by Article 10 - Criteria for Indemnifiability - must be referred, in writing, to a panel of three doctors, appointed one by each party and the third by mutual agreement; the Medical Panel meets in the municipality where the Order of Physicians is located in whose jurisdiction the Insured resides. In case of disagreement on the choice of the third doctor, the appointment is entrusted to the President of the aforementioned Order of Physicians. Each Party bears its own expenses and compensates the doctor it designates, contributing to half of the expenses and fees for the third doctor. The Medical Panel is authorized to postpone, if it finds it appropriate, the definitive assessment of permanent disability to a time to be determined by the Panel itself, in which case the Panel may grant a provisional indemnity. The decisions of the Medical Panel are made by majority vote, exempt from any legal formalities, and are binding on the Parties, who hereby waive any appeal except in cases of violence, fraud, error, or violation of contractual agreements. The results of the arbitration operations must be recorded in a specific report, to be drawn up in duplicate, one for each of the Parties. The decisions of the Medical Panel are binding on the Parties even if one of the doctors refuses to sign the relevant report; such refusal must be certified by the other arbitrators in the final report.”</w:t>
      </w:r>
    </w:p>
    <w:p>
      <w:r>
        <w:t>[OMISSIS]</w:t>
      </w:r>
    </w:p>
    <w:p>
      <w:r>
        <w:t>The Company has expressed its intention to revise the clause subject to the procedure, proposing, as in the case of the majority of products marketed by the Company, the mere option for the consumer to resort to irritual arbitration.</w:t>
      </w:r>
    </w:p>
    <w:p>
      <w:r>
        <w:t>BULLETIN NO. 52 OF DECEMBER 30, 2019 157</w:t>
      </w:r>
    </w:p>
    <w:p>
      <w:r>
        <w:t>In this regard, [OMISSIS] the Company specified that it completed, on July 30, 2019, the modification of the text of the clause in all marketed policies that still contained it, [OMISSIS] and clarified that the aforementioned modification will also be extended to current clients holding insurance policies concluded under the previous conditions.</w:t>
      </w:r>
    </w:p>
    <w:p>
      <w:r>
        <w:t>[OMISSIS]</w:t>
      </w:r>
    </w:p>
    <w:p>
      <w:r>
        <w:t>CONSIDERED, in particular, based on the above considerations, that the clause described in point II of this provision is unfair pursuant to Article 33, paragraph 2, letters b) and t), of the Consumer Code;</w:t>
      </w:r>
    </w:p>
    <w:p>
      <w:r>
        <w:t>CONSIDERED that the new clause, reformulated according to the version produced in the records, and in force from July 30, 2019, is not unfair, pursuant to Article 33, paragraphs 1 and 2, letters b) and t), of the Consumer Code;</w:t>
      </w:r>
    </w:p>
    <w:p>
      <w:r>
        <w:t>[OMISSIS]</w:t>
      </w:r>
    </w:p>
    <w:p>
      <w:r>
        <w:t>RESOLVES</w:t>
      </w:r>
    </w:p>
    <w:p>
      <w:r>
        <w:t>a) that the clause described in point II of this provision constitutes a case of unfair clause, pursuant to Article 33, paragraphs 1 and 2, letters b) and t), of the Consumer Code, for the reasons and within the limits stated in the motivation;</w:t>
      </w:r>
    </w:p>
    <w:p>
      <w:r>
        <w:t>b) that the new formulation of the clause, in the version produced in the records, is not unfair, pursuant to Article 33, paragraphs 1 and 2, letters b) and t), of the Consumer Code, for the reasons and within the limits stated in the motivation.</w:t>
      </w:r>
    </w:p>
    <w:p>
      <w:r>
        <w:t>[OMISSIS]</w:t>
      </w:r>
    </w:p>
    <w:p>
      <w:r>
        <w:t>Authority for the Guarantee of Competition and the Market Weekly Bulletin Year XXIX - No. 52 - 2019</w:t>
      </w:r>
    </w:p>
    <w:p>
      <w:r>
        <w:t>Editorial Coordination Giulia Antenucci</w:t>
      </w:r>
    </w:p>
    <w:p>
      <w:r>
        <w:t>Editorial Staff Sandro Cini, Valerio Ruocco, Simonetta Schettini, Manuela Villani</w:t>
      </w:r>
    </w:p>
    <w:p>
      <w:r>
        <w:t>Authority for the Guarantee of Competition and the Market</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