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https://www.agcm.it/dotcmsdoc/bollettini/2024/6-24.pdf</w:t>
      </w:r>
    </w:p>
    <w:p>
      <w:r>
        <w:t>Pages translated : 24</w:t>
      </w:r>
    </w:p>
    <w:p/>
    <w:p>
      <w:r>
        <w:rPr>
          <w:b/>
        </w:rPr>
        <w:t>[Pages 1–3]</w:t>
      </w:r>
    </w:p>
    <w:p>
      <w:r>
        <w:t>Bulletin</w:t>
        <w:br/>
        <w:t>Weekly</w:t>
        <w:br/>
        <w:t>Year XXXIV - No. 6</w:t>
        <w:br/>
        <w:t>Published on the website www.agcm.it</w:t>
        <w:br/>
        <w:t>February 12, 2024</w:t>
      </w:r>
    </w:p>
    <w:p>
      <w:r>
        <w:t>SUMMARY</w:t>
        <w:br/>
        <w:t>AGREEMENTS AND ABUSE OF DOMINANT POSITION 5</w:t>
        <w:br/>
        <w:t>A567 - ABS MARKET IN E-BIKES</w:t>
        <w:br/>
        <w:t>Measure No. 31039 5</w:t>
        <w:br/>
        <w:t>CONCENTRATION OPERATIONS 6</w:t>
        <w:br/>
        <w:t>C12572 - SAN QUIRICO/GORETTI-DEADEMA-TECKNOMABEL-ESTROLAB</w:t>
        <w:br/>
        <w:t>Measure No. 31040 6</w:t>
        <w:br/>
        <w:t>C12596 - BOSSONI AUTOMOBILI/BAIAUTO</w:t>
        <w:br/>
        <w:t>Measure No. 31041 13</w:t>
        <w:br/>
        <w:t>C12597 - VETRI SPECIALI/GENERALVETRI</w:t>
        <w:br/>
        <w:t>Measure No. 31042 18</w:t>
        <w:br/>
        <w:t>CORPORATE SEPARATIONS 23</w:t>
        <w:br/>
        <w:t>SP182 - POSTE ITALIANE/PROVISION OF ELECTRICITY AND GAS</w:t>
        <w:br/>
        <w:t>Measure No. 31047 23</w:t>
      </w:r>
    </w:p>
    <w:p>
      <w:r>
        <w:t>BULLETIN NO. 6 OF FEBRUARY 12, 2024</w:t>
      </w:r>
    </w:p>
    <w:p>
      <w:r>
        <w:t>AGREEMENTS AND ABUSE OF DOMINANT POSITION</w:t>
        <w:br/>
        <w:t>A567 - ABS MARKET IN E-BIKES</w:t>
        <w:br/>
        <w:t>Measure No. 31039</w:t>
        <w:br/>
        <w:t>THE COMPETITION AND MARKET AUTHORITY</w:t>
        <w:br/>
        <w:t>IN ITS MEETING of January 23, 2024;</w:t>
        <w:br/>
        <w:t>HEARD the Rapporteur, Professor Elisabetta Iossa;</w:t>
        <w:br/>
        <w:t>HAVING REGARD to Article 102 of the Treaty on the Functioning of the European Union (TFEU);</w:t>
        <w:br/>
        <w:t>HAVING REGARD to Council Regulation No. 1/2003 of December 16, 2002;</w:t>
        <w:br/>
        <w:t>HAVING REGARD to Law No. 287 of October 10, 1990 and subsequent amendments;</w:t>
        <w:br/>
        <w:t>HAVING REGARD to Presidential Decree No. 217 of April 30, 1998;</w:t>
        <w:br/>
        <w:t>HAVING REGARD to its measure No. 30765 of September 5, 2023, which initiated an investigation pursuant to Article 14 of Law No. 287/1990 against the company Robert Bosch GmbH, to ascertain the existence of a violation of Article 102 of the TFEU;</w:t>
        <w:br/>
        <w:t>HAVING REGARD to the documents of the proceeding;</w:t>
        <w:br/>
        <w:t>CONSIDERING it necessary to replace the person responsible for the proceeding due to subsequent organizational needs;</w:t>
        <w:br/>
        <w:t>RESOLVES</w:t>
        <w:br/>
        <w:t>to replace Dr. Claudia Desogus with Dr. Luigi Di Gaetano as the person responsible for the proceeding.</w:t>
        <w:br/>
        <w:t>This measure will be notified to the interested parties and published in the bulletin of the Competition and Market Authority.</w:t>
        <w:br/>
        <w:t>THE SECRETARY GENERAL THE PRESIDENT</w:t>
        <w:br/>
        <w:t>Guido Stazi Roberto Rustichelli</w:t>
      </w:r>
    </w:p>
    <w:p>
      <w:r>
        <w:rPr>
          <w:b/>
        </w:rPr>
        <w:t>[Pages 4–6]</w:t>
      </w:r>
    </w:p>
    <w:p>
      <w:r>
        <w:t>BULLETIN NO. 6 OF FEBRUARY 12, 2024</w:t>
        <w:br/>
        <w:t>CONCENTRATION OPERATIONS</w:t>
        <w:br/>
        <w:t>C12572 - SAN QUIRICO/GORETTI-DEADEMA-TECKNOMABEL-ESTROLAB</w:t>
        <w:br/>
        <w:t>Measure no. 31040</w:t>
        <w:br/>
        <w:t>THE COMPETITION AND MARKET AUTHORITY</w:t>
        <w:br/>
        <w:t>IN ITS MEETING of January 23, 2024;</w:t>
        <w:br/>
        <w:t>HEARD the Rapporteur, Professor Elisabetta Iossa;</w:t>
        <w:br/>
        <w:t>HAVING REGARD to Regulation (EC) No. 139/2004;</w:t>
        <w:br/>
        <w:t>HAVING REGARD to Law No. 287 of October 10, 1990;</w:t>
        <w:br/>
        <w:t>HAVING REGARD to Presidential Decree No. 217 of April 30, 1998;</w:t>
        <w:br/>
        <w:t>HAVING REGARD to the communication from the company San Quirico S.p.A., received on October 5, 2023;</w:t>
        <w:br/>
        <w:t>HAVING REGARD to the request for information, sent on October 25, 2023, with consequent interruption of the terms pursuant to Article 5, paragraph 3, of Presidential Decree No. 217 of April 30, 1998;</w:t>
        <w:br/>
        <w:t>HAVING REGARD to the additional information from the company San Quirico S.p.A., received on January 2, 2024;</w:t>
        <w:br/>
        <w:t>CONSIDERED as follows:</w:t>
        <w:br/>
        <w:t>I. THE PARTIES</w:t>
        <w:br/>
        <w:t>1. San Quirico S.p.A. (hereinafter also “SQ”) is a holding company that, through its subsidiaries, is active in various sectors, such as the production of electricity from renewable sources (in particular, wind and solar), the financial and real estate sectors, as well as the luxury goods sector and the production and marketing of galvanic products. Specifically regarding these latter areas, SQ, through SQ11 S.p.A. (hereinafter, “SQ11”), which in turn controls MinervaHub S.p.A. (hereinafter, “MH”), controls the companies Quake S.r.l., Jato 1991 S.r.l., SP Plast Creating S.r.l., Gruppo Meccaniche Luciani S.r.l., Zeta Catene S.r.l., Koverlux S.r.l., New and Best H.F. S.r.l., L.T.M. S.r.l., Interlinea 2 S.r.l. and Conceria Zuma Pelli Pregiate S.r.l., active in the production and processing of intermediate goods, such as embroidery, molds of plastic and thermoplastic materials, molds and lasts for footwear and leather goods, metal accessories and surface finishes of accessories, screen printing and laser engraving and polyurethane inserts and the production of metal inserts intended primarily for the decoration or, in any case, for the packaging of luxury goods as well as in the tanning, processing and resale of high-end leathers; furthermore, it controls the companies Oroplac S.r.l., Galvanica Formelli S.r.l., Ma.Gui. S.r.l. and Elettrogalvanica Settimi S.r.l., active in the processing and marketing of galvanic products, that is, products obtained through the galvanization process.</w:t>
        <w:br/>
        <w:t>1 SQ operates in this sector through ERG S.p.A.; following the first communication, SQ represented, through the submission of additional information to the notification form, the conclusion on October 17, 2023, of a transaction for the sale of ERG Power S.r.l. to Achenar Energy S.p.A.</w:t>
      </w:r>
    </w:p>
    <w:p>
      <w:r>
        <w:t>BULLETIN NO. 6 OF FEBRUARY 12, 2024</w:t>
        <w:br/>
        <w:t>The SQ group achieved a turnover of approximately [1-2]* billion euros worldwide in 2022, of which [1-2] billion in Europe and [532–700] million euros in Italy.</w:t>
        <w:br/>
        <w:t>2. The subject of acquisition consists of four companies, namely Goretti S.r.l, Deadema S.r.l., Teknomabel S.r.l., Estrolab S.r.l. (hereinafter, respectively “Goretti”, “Deadema”, “Teknomabel”, “Estrolab” and collectively “Target”), which are part of a network of companies differently specialized in the production of semi-finished products intended for the realization of footwear, clothing and leather goods for the main brands operating in the luxury goods segment as well as in the processing and marketing of galvanic products. In particular, Goretti is an Italian company currently controlled by individuals, active in the production and application of rigid decorative accessories (pearls, sequins, stones, etc.), embroidered inserts in wool and fur, decorations through laser engraving, accessories made through 3D printing, buckles, buttons, etc. Goretti achieved a turnover of approximately [10-31] million euros worldwide in 2022, of which approximately [10-31] million euros in Italy. Deadema is an Italian company, currently controlled by SGE S.r.l. and some individuals, which operates in the production of galvanic products and, in particular, jewelry accessories, components and decorations for footwear and leather goods intended for high fashion houses. Deadema achieved a turnover of approximately [1-10] million euros almost entirely in Italy in 2022. Teknomabel is an Italian company whose capital is currently held by individuals, which is active in printing and other processing on components and accessories (such as studs, chains, applications, buttons, buckles, hooks, handles, clips, combs, headbands, etc.) made of plastic material (such as acrylonitrile-butadiene-styrene, bioplastic, resin, and acrylic material) for the high fashion sector. In 2022, the turnover achieved by Teknomabel was approximately [1-10] million euros, of which [1-10] million was achieved in Italy. Finally, Estro Lab is an Italian style consulting company, currently controlled by an individual, which conducts trend research, design, prototyping, development, and creative support related to high fashion items in the footwear, clothing, and leather goods sectors. Estro Lab achieved a turnover of approximately [less than 1 million] euros entirely in Italy in 2022.</w:t>
        <w:br/>
        <w:t>II. DESCRIPTION OF THE OPERATION</w:t>
        <w:br/>
        <w:t>3. The notified operation consists of the acquisition by SQ, through SQ11 and thus MH, of exclusive control over the Targets. In particular, on one hand, the Sale Agreements provide for the acquisition of the entire capital of each of the described companies; on the other hand, the Investment Agreement, signed by three individuals, currently shareholders of Goretti, Teknomabel, and Estro Lab and SQ11 itself, provides that the former will acquire an absolutely minority stake in the capital of the latter; however, this stake, also due to the Shareholders' Agreement signed by the same parties, will not be able to confer any type of control to the subscribing individuals.</w:t>
        <w:br/>
        <w:t>4. The Parties represent that the described purchase operations constitute a single concentration operation given the indivisibility and unity that characterize them. In fact, based on the provisions contained in the relevant contracts, the purchase and sale commitments envisaged are assumed in an indivisible manner with reference to the full and exclusive ownership of the entire capital of all the Targets, such that each of these operations would not be realized without the others. Therefore, the four acquisitions appear to be linked by a bond of conditionality and mutual simultaneity of law, with the consequence that the operation has a unitary nature and constitutes a single concentration.</w:t>
        <w:br/>
        <w:t>5. In the context of the operation, the selling Parties have also committed, for a period of five years: (i) to refrain from carrying out activities in the sectors of operation of the Targets within the European Union and from holding positions or providing support to companies operating in such activities; (ii) not to solicit employees, distributor agents, collaborators, suppliers, or customers of the Targets to interrupt or modify their relationships with them; (iii) to refrain from using or registering distinctive signs similar or likely to create confusion with those of the Targets or from using the trade secrets, know-how, and technical knowledge developed by the Targets.</w:t>
        <w:br/>
        <w:t>III. QUALIFICATION OF THE OPERATION</w:t>
        <w:br/>
        <w:t>6. The communicated operation constitutes a concentration, pursuant to Article 5, paragraph 1, letter b), of Law No. 287/1990, as it involves the acquisition of control of companies. It falls within the scope of application of Law No. 287/1990,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set of companies involved was over 532 million euros and the total turnover achieved, in the last financial year at the national level, individually by at least two of the companies involved was over 32 million euros.</w:t>
        <w:br/>
        <w:t>7. The non-competition and non-solicitation obligations described can be qualified as ancillary to the notified concentration to the extent that they contain restrictions directly related to the realization of the operation and necessary for it. In particular, in this case, the commitments undertaken by the sellers benefit the buyer and respond to the need to ensure the transfer of the actual value of the acquisition to the latter. However, in order not to exceed the limits of what is reasonably required for this purpose, it is necessary that they have a duration limited to two years, the buyer already being present in the affected sectors, and that they do not exceed the current territorial and product scope of operation of the companies subject to acquisition.</w:t>
      </w:r>
    </w:p>
    <w:p>
      <w:r>
        <w:rPr>
          <w:b/>
        </w:rPr>
        <w:t>[Pages 7–9]</w:t>
      </w:r>
    </w:p>
    <w:p>
      <w:r>
        <w:t>BULLETIN NO. 6 OF FEBRUARY 12, 2024</w:t>
      </w:r>
    </w:p>
    <w:p>
      <w:r>
        <w:t>IV. EVALUATION OF THE OPERATION</w:t>
      </w:r>
    </w:p>
    <w:p>
      <w:r>
        <w:t>The relevant markets</w:t>
      </w:r>
    </w:p>
    <w:p>
      <w:r>
        <w:t>8. Due to the activities carried out by the Target companies, the present operation concerns i) the sector of galvanic products and ii) the luxury sector.</w:t>
      </w:r>
    </w:p>
    <w:p>
      <w:r>
        <w:t>a) The sector of galvanic products</w:t>
      </w:r>
    </w:p>
    <w:p>
      <w:r>
        <w:t>9. Firstly, the sector of galvanic products is relevant, namely those products obtained through chemical mixing processes of raw materials (such as nickel, zinc, copper, chromium, and precious metals) or semi-finished products. More specifically, it is a process through which objects or parts of objects made of raw metal are coated with a superficial layer of precious metal (gold, silver, or platinum) through an electrolytic transformation.</w:t>
      </w:r>
    </w:p>
    <w:p>
      <w:r>
        <w:t>10. The main application field of galvanic products is the coating (so-called metallization) of metallic or plastic surfaces, which is carried out both for functional purposes (in cases where the metallic coating is made to prevent erosion of the coated surfaces or their corrosion) and decorative purposes (to make a particular object or accessory particularly shiny).</w:t>
      </w:r>
    </w:p>
    <w:p>
      <w:r>
        <w:t>11. Galvanic products are primarily directed towards the automotive industry (handles, rims, headlight covers, decorative parts of bodies, screws, etc.), the faucet sector (taps, other kitchen and bathroom accessories, etc.), and the household goods sector in general (furniture, household items, appliances, etc.), as well as the clothing and costume jewelry industry.</w:t>
      </w:r>
    </w:p>
    <w:p>
      <w:r>
        <w:t>12. In this sense, it should be noted that, based on the intended use of the product and, therefore, the industry to which the product is destined, different commodity markets could be identified. In this case, Deadema, which is the only company among the Targets operating in this sector, is active in the production of costume jewelry and jewelry.</w:t>
      </w:r>
    </w:p>
    <w:p>
      <w:r>
        <w:t>13. From a geographical point of view, the market could have a national dimension due to the needs of the users.</w:t>
      </w:r>
    </w:p>
    <w:p>
      <w:r>
        <w:t>14. However, given the entirely marginal market share held by Deadema even considering the narrower commodity and geographical definition of the market, which would include only the production and marketing of galvanic products for the creation of costume jewelry and would be restricted to national borders, it is believed that the correct definition of the relevant market can be left open.</w:t>
      </w:r>
    </w:p>
    <w:p>
      <w:r>
        <w:t>b) The luxury goods sector</w:t>
      </w:r>
    </w:p>
    <w:p>
      <w:r>
        <w:t>15. According to what has been communicated by the Parties, both the acquiring Group and the Targets operate, in general, in the high fashion and luxury sector, providing fashion houses or their clients with processes and products suitable for finishing, decorating, and completing the packaging of the related final products.</w:t>
      </w:r>
    </w:p>
    <w:p>
      <w:r>
        <w:t>16. According to previous national guidelines, the luxury sector is defined as that of the conception, design, production, and marketing of a wide range of goods considered as a single commodity area.</w:t>
      </w:r>
    </w:p>
    <w:p>
      <w:r>
        <w:t>17. According to the aforementioned precedents: (i) from the demand side, luxury goods qualify as high-quality items and are characterized by being sold at typically high prices and under prestigious brands which, precisely by virtue of the added value represented by the brand, are characterized by a low degree of substitutability with goods that belong to the same commodity category but are sold under unknown brands; (ii) from the supply side, the development strategy followed by most luxury goods manufacturers is characterized by a high degree of diversification and innovation. This indicates low switching costs and significant substitutability from the supply side. Such a strategy makes it inappropriate to classify products into commodity groupings.</w:t>
      </w:r>
    </w:p>
    <w:p>
      <w:r>
        <w:t>18. Within the luxury market as described, specific segments can be identified both based on the product category, distinguishing, for example, clothing items, leather goods and accessories, perfumes and cosmetics, jewelry and watches, wines and spirits; and based on the different positioning in the production chain, distinguishing the processing of the finished product from that of semi-finished or intermediate goods, which are purchased by luxury fashion houses to be incorporated into the packaging of the final product.</w:t>
      </w:r>
    </w:p>
    <w:p>
      <w:r>
        <w:t>19. In this specific case, the operation in question concerns companies active in the production and processing of semi-finished or intermediate goods, through different processes, including galvanization, or through the use of different materials (Goretti, Deadema, and Teknomabel), as well as companies active in the design and planning phase of goods (Estrolabel).</w:t>
      </w:r>
    </w:p>
    <w:p>
      <w:r>
        <w:t>20. These segments are upstream of the final packaging and distribution of the product at the retail level to the consumer, and are characterized by the presence of highly specialized companies in the manufacturing of goods, using advanced production techniques - such as galvanization processes that are employed for the production of clothing components (such as buckles and studs) or accessories like jewelry and costume jewelry, or the use of laser engraving or 3D printing - and high-level artisanal labor. Major luxury product brands therefore rely on these entities for the supply of specific components since vertical integration, although present, is not the norm.</w:t>
      </w:r>
    </w:p>
    <w:p>
      <w:r>
        <w:t>21. In this context, it is believed that, in this case, the correct definition of the relevant market can be left open considering the entirely marginal position of the Parties.</w:t>
      </w:r>
    </w:p>
    <w:p>
      <w:r>
        <w:t>22. Regarding the geographical relevance, the market size - defined both in its broader sense of luxury goods and in its narrower sense of the production of accessories for luxury goods - can be considered supranational, specifically EEA.</w:t>
      </w:r>
    </w:p>
    <w:p>
      <w:r>
        <w:t>23. This hypothesis, confirmed by the decision-making practice of the Authority, originates from various elements such as the absence of particular preferences by customers for domestic ancillary products, the low incidence of transport costs relative to the price, also considering the small size of the components, and the lack of technical or legal barriers that would prevent their circulation.</w:t>
      </w:r>
    </w:p>
    <w:p>
      <w:r>
        <w:t>The effects of the operation</w:t>
      </w:r>
    </w:p>
    <w:p>
      <w:r>
        <w:t>24. Based on the information provided by the Parties, it is believed that the operation in question is not capable of generating any significant impact in the affected sectors. In fact, although there is a horizontal overlap between the activities of the acquiring Group and those of the Targets, the increase in market share resulting from the acquisition of the latter is entirely marginal.</w:t>
      </w:r>
    </w:p>
    <w:p>
      <w:r>
        <w:t>25. More specifically, regarding the production and marketing of galvanic products, it is represented that, even in the narrower definition of the market which, as mentioned, would include only the production and marketing of galvanic products for the creation of costume jewelry and would be restricted to national borders, the Target has an entirely marginal share, below 1% while the acquiring Group has a share of [1-5%].</w:t>
      </w:r>
    </w:p>
    <w:p>
      <w:r>
        <w:t>26. Similarly, in the luxury sector where it is observed that, if the market were defined as encompassing every segment and every level of the production chain, both the acquiring Group and the Targets hold market shares in the EEA of less than 1%. Furthermore, the shares remain marginal even if we consider the market as inclusive of only accessories for luxury goods, given that in this area the acquiring Group's share is [1-5%] while that of the Targets is below 1%.</w:t>
      </w:r>
    </w:p>
    <w:p>
      <w:r>
        <w:t>27. In relation to the vertical profiles between the sector of production of galvanic products, upstream, and that of the production of luxury goods or accessories for luxury goods, downstream, there do not appear to be concerns from a competition perspective considering the low market shares of the Parties in the aforementioned markets.</w:t>
      </w:r>
    </w:p>
    <w:p>
      <w:r>
        <w:t>28. Finally, based on what has been described by the Parties, there are numerous and qualified competitors in the market, both national and international.</w:t>
      </w:r>
    </w:p>
    <w:p>
      <w:r>
        <w:t>29. In conclusion, in light of the preceding considerations, the concentration in question does not appear to significantly hinder effective competition in any of the affected sectors nor to result in the establishment or strengthening of a dominant position.</w:t>
      </w:r>
    </w:p>
    <w:p>
      <w:r>
        <w:t>CONSIDERED, therefore, that the operation in question does not significantly hinder effective competition in the relevant markets pursuant to Article 6, paragraph 1, of Law No. 287/1990 and does not result in the establishment or strengthening of a dominant position;</w:t>
      </w:r>
    </w:p>
    <w:p>
      <w:r>
        <w:t>CONSIDERED, furthermore, that the non-competition and non-solicitation agreements can be considered ancillary to the present operation only to the limits indicated above and that the Authority reserves the right to evaluate, where the conditions exist, the aforementioned agreements should they exceed those limits;</w:t>
      </w:r>
    </w:p>
    <w:p>
      <w:r>
        <w:t>RESOLVES</w:t>
      </w:r>
    </w:p>
    <w:p>
      <w:r>
        <w:t>not to initiate the investigation referred to in Article 16, paragraph 4, of Law No. 287/1990.</w:t>
      </w:r>
    </w:p>
    <w:p>
      <w:r>
        <w:rPr>
          <w:b/>
        </w:rPr>
        <w:t>[Pages 10–12]</w:t>
      </w:r>
    </w:p>
    <w:p>
      <w:r>
        <w:t>BULLETIN NO. 6 OF FEBRUARY 12, 2024</w:t>
      </w:r>
    </w:p>
    <w:p>
      <w:r>
        <w:t>The above conclusions will be communicated, pursuant to Article 16, paragraph 4, of Law No. 287/1990, to the interested companies and to the Minister of Enterprises and Made in Italy. This measure will be published in the Bulletin of the Competition and Market Authority.</w:t>
      </w:r>
    </w:p>
    <w:p>
      <w:r>
        <w:t>THE SECRETARY GENERAL THE PRESIDENT</w:t>
        <w:br/>
        <w:t>Guido Stazi Roberto Rustichelli</w:t>
      </w:r>
    </w:p>
    <w:p>
      <w:r>
        <w:t>BULLETIN NO. 6 OF FEBRUARY 12, 2024</w:t>
      </w:r>
    </w:p>
    <w:p>
      <w:r>
        <w:t>C12596 - BOSSONI AUTOMOBILI/BAIAUTO</w:t>
        <w:br/>
        <w:t>Measure no. 31041</w:t>
        <w:br/>
        <w:t>THE COMPETITION AND MARKET AUTHORITY</w:t>
        <w:br/>
        <w:t>IN ITS MEETING of January 23, 2024;</w:t>
        <w:br/>
        <w:t>HEARD the Rapporteur, Saverio Valentino;</w:t>
        <w:br/>
        <w:t>HAVING REGARD to Regulation (EC) No. 139/2004;</w:t>
        <w:br/>
        <w:t>HAVING REGARD to Law No. 287 of October 10, 1990;</w:t>
        <w:br/>
        <w:t>HAVING REGARD to Presidential Decree No. 217 of April 30, 1998;</w:t>
        <w:br/>
        <w:t>HAVING REGARD to the communication made by Bossoni Automobili S.p.A. received on January 2, 2024;</w:t>
        <w:br/>
        <w:t>HAVING REGARD to the documentation on file;</w:t>
        <w:br/>
        <w:t>CONSIDERED the following:</w:t>
        <w:br/>
        <w:t>I. THE PARTIES</w:t>
        <w:br/>
        <w:t>1. Bossoni Automobili S.p.A. (hereinafter, "Bossoni") is a company active in the retail distribution of new and used cars and light commercial vehicles (new and used) of the Volkswagen group brands, in the sale of original and equivalent spare parts for the same brands, and in the provision of after-sales services for assistance, maintenance, and repair of motor vehicles, in various provinces of northern Italy. Bossoni is also active in the sale of used cars of other brands. The company is controlled by the Bossoni Group S.p.A. (hereinafter, "Bossoni Group"), which holds the entire share capital. The Bossoni Group is controlled by individuals belonging to the eponymous family and, in 2022, achieved a consolidated turnover in Italy of approximately [532-700]* million euros.</w:t>
        <w:br/>
        <w:t>2. Baiauto S.p.A. (hereinafter, "Baiauto" or "Target") is a company that operates, in the province of Reggio Emilia, in the retail distribution of new and used cars as well as original and equivalent spare parts of the Volkswagen group brands. It is also active, in the same province, in offering after-sales services for assistance, maintenance, and repair. Baiauto is under the exclusive control of Buratti Holding S.r.l. (hereinafter, "Buratti Holding"), which holds the entire share capital. The turnover achieved in Italy by Baiauto, in the financial year 2022, is estimated at [32-100] million euros.</w:t>
        <w:br/>
        <w:t>II. DESCRIPTION OF THE OPERATION</w:t>
        <w:br/>
        <w:t>3. The notified operation consists of the acquisition, by Bossoni, of exclusive control of Baiauto, to be realized through the purchase of the shares held by Buratti Holding, amounting to 100% of the relevant share capital.</w:t>
        <w:br/>
        <w:t>4. The rationale for the operation is linked to Buratti Holding's decision to exit the automobile market and, simultaneously, to the Bossoni Group's desire to expand its presence in a geographical area where it is currently not present. In particular, with the acquisition of Baiauto, the Bossoni Group aims to extend the presence of its subsidiary Bossoni Automobili, as an Audi - Volkswagen dealer, to the province of Reggio Emilia, and to expand the activity to the brands Seat and Cupra as well.</w:t>
        <w:br/>
        <w:t>5. The preliminary sale contract includes the following ancillary restrictions to protect the goodwill of the acquired business: i) a non-compete obligation, lasting two years, for the geographical areas of the provinces of Brescia, Cremona, Mantova, Piacenza, Parma, Reggio Emilia, Modena, and Bologna, and ii) a non-solicitation clause lasting two years.</w:t>
        <w:br/>
        <w:t>III. QUALIFICATION OF THE OPERATION</w:t>
        <w:br/>
        <w:t>6. The notified operation, being aimed at acquiring exclusive control of a company, constitutes a concentration pursuant to Article 5, paragraph 1, letter b), of Law No. 287/1990. It falls within the scope of application of Law No. 287/1990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interested companies was over 532 million euros and the total turnover achieved, in the last financial year at the national level, by at least two of the interested companies was over 32 million euros.</w:t>
        <w:br/>
        <w:t>7. The non-compete and non-solicitation agreements signed by the Parties and described above can be qualified as ancillary to the concentration to the extent that they contain restrictions directly related to the realization of the operation and necessary for it. In this case, the commitments made by the seller benefit the buyer, respond to the need to preserve the value of the acquired business, are geographically limited, and their duration is limited to a period not exceeding two years.</w:t>
      </w:r>
    </w:p>
    <w:p>
      <w:r>
        <w:rPr>
          <w:b/>
        </w:rPr>
        <w:t>[Pages 13–15]</w:t>
      </w:r>
    </w:p>
    <w:p>
      <w:r>
        <w:t>BULLETIN NO. 6 OF FEBRUARY 12, 2024</w:t>
      </w:r>
    </w:p>
    <w:p>
      <w:r>
        <w:t>IV. ASSESSMENT OF THE OPERATION</w:t>
      </w:r>
    </w:p>
    <w:p>
      <w:r>
        <w:t>The product market</w:t>
      </w:r>
    </w:p>
    <w:p>
      <w:r>
        <w:t>8. From a product perspective, the markets affected by the operation are those in which the company subject to acquisition operates, namely:</w:t>
        <w:br/>
        <w:t>i) the retail distribution of new and used passenger vehicles;</w:t>
        <w:br/>
        <w:t>ii) the retail distribution of spare parts for passenger vehicles;</w:t>
        <w:br/>
        <w:t>iii) after-sales services for assistance, maintenance, and repair of vehicles.</w:t>
      </w:r>
    </w:p>
    <w:p>
      <w:r>
        <w:t>9. The market under i) concerns the distribution activity of new and used passenger vehicles by dealers to end consumers. Manufacturers market their vehicles through distribution companies (controlled companies or third-party operators), which, in turn, utilize a network of dealers that carry out sales activities to customers. Within this market, different segments can be identified, distinguishing between new and used passenger vehicles, based on performance, size, and price of the marketed cars. However, dealers frequently distribute different types of products (city cars, mid-range, upper-range, etc.). For the purposes of this operation, however, it does not appear necessary to reach an exact market delimitation.</w:t>
      </w:r>
    </w:p>
    <w:p>
      <w:r>
        <w:t>10. Regarding the market under ii), related to the retail distribution of spare parts for vehicles, two categories of products can be identified: original spare parts and equivalent spare parts (of corresponding quality). Original spare parts are marketed under the manufacturer's brand; equivalent spare parts, on the other hand, are supplied by independent operators in the component sector, who may also supply the manufacturers themselves.</w:t>
      </w:r>
    </w:p>
    <w:p>
      <w:r>
        <w:t>11. The prices of equivalent spare parts are significantly lower, varying depending on the type of spare part considered. Furthermore, the different types of spare parts for vehicles (gaskets, pads, shock absorbers, belts, spark plugs, filters, lighting, etc.) are not substitutable from the final demand side, which evidently depends on the maintenance or repair intervention to be carried out. However, there is significant substitutability from the demand side between original and equivalent spare parts (provided they are of corresponding quality), varying based on the age and economic class of the vehicle, as well as the type of spare part. From the supply side, moreover, the assistance centers of car manufacturers (generally dealerships and authorized workshops) can retail both original and equivalent spare parts. Finally, from the supply side, operators generally distribute a wide range of spare parts. For the purposes of this operation, however, it does not appear necessary to reach an exact market delimitation.</w:t>
      </w:r>
    </w:p>
    <w:p>
      <w:r>
        <w:t>12. The market under iii) is characterized by extreme fragmentation of supply. The repair and maintenance activity is, in fact, carried out by a wide range of operators such as: authorized dealerships and retailers; independent workshops; service stations; specialized auto centers; rapid assistance services (warranty assistance activities are instead carried out by the same dealers of the car manufacturers or by other authorized entities). For the purposes of this operation, however, it does not appear necessary to reach an exact market delimitation.</w:t>
      </w:r>
    </w:p>
    <w:p>
      <w:r>
        <w:t>The geographical market</w:t>
      </w:r>
    </w:p>
    <w:p>
      <w:r>
        <w:t>13. Regarding the definition of markets under i), ii), and iii) in terms of geographical scope, considering consumer purchasing behaviors and, in particular, the importance they attribute to the proximity of sales and service points, it is deemed that this should be local.</w:t>
      </w:r>
    </w:p>
    <w:p>
      <w:r>
        <w:t>14. In various precedents related to the markets in question, the Authority has defined local markets based on administrative boundaries, identifying markets that are typically provincial in size. In this case, following such an approach, considering the operational scope of the company subject to acquisition, the relevant geographical market could be deemed confined to the province of Reggio Emilia.</w:t>
      </w:r>
    </w:p>
    <w:p>
      <w:r>
        <w:t>15. Alternatively, it is possible to define local markets taking into account the size of the catchment areas of the individual sales points of the companies involved and the propensity for mobility from the demand side. In this regard, the notifying Party believes that it is possible to hypothesize the existence of a catchment area identified by the areas located around the dealers of Baiauto, subject to acquisition, reachable within 40 or 60 minutes by car for the market under i) and within 20 minutes by car for the markets under ii) and iii) (so-called isochrones).</w:t>
      </w:r>
    </w:p>
    <w:p>
      <w:r>
        <w:t>16. For the purposes of this operation, however, it does not appear necessary to reach an exact geographical delimitation of the market as this would not affect the assessment of the operation in question.</w:t>
      </w:r>
    </w:p>
    <w:p>
      <w:r>
        <w:t>The effects of the operation</w:t>
      </w:r>
    </w:p>
    <w:p>
      <w:r>
        <w:t>17. The notified operation does not appear capable of producing distortive effects on competition. In particular, it is noted that Bossoni has no locations in the province of Reggio Emilia and, therefore, does not generate revenue considering this market definition. Considering a geographical definition based on isochrones, Bossoni does not have overlapping activities in the markets under ii) and iii), while it holds a completely marginal share (less than 1%) in the market under i). Furthermore, the market shares held by the Target in the markets affected by the operation are also modest. Therefore, as a result of the operation, in the province of Reggio Emilia, the entity resulting from the concentration will be able to express the following market shares:</w:t>
        <w:br/>
        <w:t>- in the market for the retail distribution of passenger vehicles, a market share of approximately [1-5%],</w:t>
        <w:br/>
        <w:t>- in the market for the retail distribution of spare parts for vehicles, a market share of [1-5%],</w:t>
        <w:br/>
        <w:t>- in the market for the provision of assistance, repair, and maintenance services for vehicles, a market share, expressed in volumes, of [1-5%].</w:t>
      </w:r>
    </w:p>
    <w:p>
      <w:r>
        <w:t>18. Finally, in all the markets affected by the operation, numerous qualified competitors are active. Therefore, the operation is not likely to significantly alter the competitive structure in the markets in question.</w:t>
      </w:r>
    </w:p>
    <w:p>
      <w:r>
        <w:t>19. In light of the above considerations, the concentration in question does not appear capable of hindering competition in the affected markets and does not lead to the establishment or strengthening of a dominant position.</w:t>
      </w:r>
    </w:p>
    <w:p>
      <w:r>
        <w:t>CONSIDERED, therefore, that the operation in question does not significantly hinder effective competition in the affected markets pursuant to Article 6, paragraph 1, of Law No. 287/1990 and does not entail the establishment or strengthening of a dominant position;</w:t>
      </w:r>
    </w:p>
    <w:p>
      <w:r>
        <w:t>CONSIDERED, furthermore, that the non-compete agreement is accessory to this operation only within the temporal and geographical limits indicated above and that the Authority reserves the right to assess, where the conditions exist, the aforementioned agreement if it is realized beyond those limits;</w:t>
      </w:r>
    </w:p>
    <w:p>
      <w:r>
        <w:t>RESOLVES</w:t>
      </w:r>
    </w:p>
    <w:p>
      <w:r>
        <w:t>not to initiate the investigation referred to in Article 16, paragraph 4, of Law No. 287/1990. The above conclusions will be communicated, pursuant to Article 16, paragraph 4, of Law No. 287/1990, to the interested companies and to the Minister of Enterprises and Made in Italy. This measure will be published in the Bulletin of the Competition and Market Authority.</w:t>
      </w:r>
    </w:p>
    <w:p>
      <w:r>
        <w:t>THE SECRETARY GENERAL THE PRESIDENT</w:t>
        <w:br/>
        <w:t>Guido Stazi Roberto Rustichelli</w:t>
      </w:r>
    </w:p>
    <w:p>
      <w:r>
        <w:rPr>
          <w:b/>
        </w:rPr>
        <w:t>[Pages 16–18]</w:t>
      </w:r>
    </w:p>
    <w:p>
      <w:r>
        <w:t xml:space="preserve">BULLETIN NO. 6 OF FEBRUARY 12, 2024  </w:t>
        <w:br/>
        <w:t xml:space="preserve">C12597 - VETRI SPECIALI/GENERALVETRI  </w:t>
        <w:br/>
        <w:t xml:space="preserve">Measure no. 31042  </w:t>
        <w:br/>
        <w:t xml:space="preserve">THE COMPETITION AND MARKET AUTHORITY  </w:t>
        <w:br/>
        <w:t xml:space="preserve">IN ITS MEETING of January 23, 2024;  </w:t>
        <w:br/>
        <w:t xml:space="preserve">HEARD the Rapporteur, Professor Elisabetta Iossa;  </w:t>
        <w:br/>
        <w:t xml:space="preserve">HAVING REGARD to Regulation (EC) No. 139/2004;  </w:t>
        <w:br/>
        <w:t xml:space="preserve">HAVING REGARD to Law No. 287 of October 10, 1990;  </w:t>
        <w:br/>
        <w:t xml:space="preserve">HAVING REGARD to Presidential Decree No. 217 of April 30, 1998;  </w:t>
        <w:br/>
        <w:t xml:space="preserve">HAVING REGARD to the communication from the company Generalvetri S.p.A., received on January 3, 2024;  </w:t>
        <w:br/>
        <w:t xml:space="preserve">HAVING REGARD to the documents in the file;  </w:t>
        <w:br/>
        <w:t xml:space="preserve">CONSIDERED as follows:  </w:t>
        <w:br/>
        <w:t xml:space="preserve">I. THE PARTIES  </w:t>
        <w:br/>
        <w:t xml:space="preserve">1. Vetri Speciali S.p.A. (hereinafter also "VS" or "Vetri Speciali"), based in Trento (TN), is a company active in the production and marketing of special hollow glass containers for food on a global scale.  </w:t>
        <w:br/>
        <w:t xml:space="preserve">2. VS is jointly controlled by Owens-Illinois Glass Inc. (hereinafter also "O-I" and, together with its subsidiaries, the "O-I Group") and Zignago Holding S.p.A. (hereinafter also "Zignago" and, together with its subsidiaries, the "Zignago Group"). Both the O-I Group and the Zignago Group primarily operate in the production and marketing of hollow glass containers for industrial use globally.  </w:t>
        <w:br/>
        <w:t xml:space="preserve">3. In 2022, VS achieved a turnover of [100-532]* million euros worldwide, of which 301.8 million euros were generated in the European Union and [100-532] million euros in Italy. In the same year, the turnover attributable to the O-I Group was approximately [6-7] billion euros worldwide, of which approximately [2-3] billion euros were generated in the European Union and [700-1,000] million euros in Italy, while the turnover attributable to the Zignago Group was [700-1,000] million euros worldwide, of which [700-1,000] million euros were generated in the European Union and [532-700] million euros in Italy.  </w:t>
        <w:br/>
        <w:t xml:space="preserve">4. Generalvetri S.p.A. (hereinafter, Generalvetri or the Target), based in San Polo di Piave (TV), is active in the distribution of hollow glass containers for industrial use (in particular food use and related accessories). The share capital of Generalvetri is held by two individuals. In 2022, Generalvetri achieved a turnover of [32-100] million euros, almost entirely in Italy.  </w:t>
        <w:br/>
        <w:t>* In this version, some data are omitted, as there are elements of confidentiality or secrecy of the information.</w:t>
      </w:r>
    </w:p>
    <w:p>
      <w:r>
        <w:t xml:space="preserve">BULLETIN NO. 6 OF FEBRUARY 12, 2024  </w:t>
        <w:br/>
        <w:t xml:space="preserve">II. DESCRIPTION OF THE OPERATION  </w:t>
        <w:br/>
        <w:t xml:space="preserve">5. The notified concentration operation consists of the acquisition by Vetri Speciali of the entire share capital of Generalvetri and, therefore, as a result of the operation, O-I and Zignago will hold joint control of Generalvetri through Vetri Speciali.  </w:t>
        <w:br/>
        <w:t xml:space="preserve">III. QUALIFICATION OF THE OPERATION  </w:t>
        <w:br/>
        <w:t xml:space="preserve">6. The notified operation constitutes a concentration, pursuant to Article 5, paragraph 1, letter b), of Law No. 287/1990, as it involves the acquisition of joint control of a company. It falls within the scope of application of Law No. 287/1990,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exceeded 532 million euros and the total turnover achieved in the last financial year at the national level individually by at least two of the companies involved exceeded 32 million euros.  </w:t>
        <w:br/>
        <w:t xml:space="preserve">IV. EVALUATION OF THE OPERATION  </w:t>
        <w:br/>
        <w:t xml:space="preserve">The relevant markets  </w:t>
        <w:br/>
        <w:t xml:space="preserve">7. The Parties are active, at various levels, in the market for the production and distribution of hollow glass products for industrial use. More specifically, (i) the Target company is exclusively active in the distribution of hollow glass products for industrial use (in particular for food products) and related accessories; while (ii) the Acquirer and the controlling companies are primarily active in the upstream market for the production of hollow glass containers, also providing distribution to large customers who use hollow glass products for packaging their products.  </w:t>
        <w:br/>
        <w:t xml:space="preserve">The markets for the production of glass containers  </w:t>
        <w:br/>
        <w:t xml:space="preserve">8. Regarding the market for the production of glass containers, national and community precedents identify two possible segmentations of this market based on: (i) the intended use of the product; (ii) the type of glass produced.  </w:t>
        <w:br/>
        <w:t xml:space="preserve">9. In relation to the first distinction, the considered precedents distinguish hollow glass into two segments: 1) hollow glass for domestic use, pressed or blown, related to the area of so-called "household" items such as glasses, cups, vases; 2) hollow glass for industrial use, for the packaging of industrial products.  </w:t>
        <w:br/>
        <w:t xml:space="preserve">10. With reference, instead, to the distinction based on the type of glass, in some national precedents, the market for so-called standard hollow glass products, characterized by standardized shapes and sizes, is distinguished from the market for special/non-standard hollow glass products, characterized by ad hoc shapes and sizes specific to each customer, who, in many cases, provides the mold to the producer. Meanwhile, in other national and community cases, no product market distinction has been made between standard and special hollow glass. However, for the purposes of this decision, it is not necessary to reach a conclusive product definition, since in both definitions (whether considering standard and special hollow glass as distinct markets or part of a single market) the conclusions regarding competitive effects would not change.  </w:t>
        <w:br/>
        <w:t xml:space="preserve">11. According to what emerged from the Form and subsequent information, VS is primarily active in the production of special hollow glass containers for industrial use, while the controlling companies, Zignago and O-I, are primarily active in the production of standard hollow glass containers for industrial use, although they also produce, on a residual basis, special/non-standard glass containers.  </w:t>
        <w:br/>
        <w:t xml:space="preserve">12. Based on its decision-making practice regarding the hollow glass production market - both for industrial and domestic use - the Authority has found that it has a national geographical scope.  </w:t>
        <w:br/>
        <w:t xml:space="preserve">The market for the distribution of hollow glass products  </w:t>
        <w:br/>
        <w:t xml:space="preserve">13. A determining element for defining the market from a product perspective, in the absence of national or community precedents, seems to be the size of the end customers, due to the fact that companies producing glass containers rely on distributors for deliveries to small businesses located in Italy. Conversely, large users, due to high-volume purchases (according to the information obtained, the minimum size would be that of a "full truck"), turn directly to producers of hollow glass products.  </w:t>
        <w:br/>
        <w:t xml:space="preserve">14. Furthermore, from a product perspective, in the distribution sector, there are no differences based on the type of hollow glass treated, and therefore the further market segmentations into standard and non-standard are not applicable.  </w:t>
        <w:br/>
        <w:t xml:space="preserve">2 Based on the aforementioned precedents (see note above), in this area it is possible to isolate further types of products such as, for example, bottles and flasks (bottles), and wide-mouth containers (vases), flaconerie, used by the pharmaceutical industry and the cosmetics and perfumery industry.  </w:t>
        <w:br/>
        <w:t xml:space="preserve">3 See C10103 - O-I Manufacturing Italy-Zignago Vetro/Vetri Speciali, cited.  </w:t>
        <w:br/>
        <w:t xml:space="preserve">4 See C10973 - Owens Illinois/Verrerie Du Languedoc, cited; C7140 - Zi.Fi./Zignago Santa Margherita, cited; C6242 Bormioli Finanziaria/Bormioli Rocco &amp; Figlio, cited.  </w:t>
        <w:br/>
        <w:t xml:space="preserve">5 See, inter alia, case M.6025 - Ardagh/ Impress, cited.  </w:t>
        <w:br/>
        <w:t xml:space="preserve">6 It should be noted, in fact, that this distinction is not relevant for the assessment of vertical effects, as local distributors of hollow glass products sell both standard and special hollow glass indiscriminately.  </w:t>
        <w:br/>
        <w:t>7 See, inter alia, C10103 - O-I Manufacturing Italy-Zignago Vetro/Vetri Speciali, cited and C10973 - Owens Illinois/Verrerie Du Languedoc, cited.</w:t>
      </w:r>
    </w:p>
    <w:p>
      <w:r>
        <w:rPr>
          <w:b/>
        </w:rPr>
        <w:t>[Pages 19–21]</w:t>
      </w:r>
    </w:p>
    <w:p>
      <w:r>
        <w:t>BULLETIN NO. 6 OF FEBRUARY 12, 2024</w:t>
      </w:r>
    </w:p>
    <w:p>
      <w:r>
        <w:t>15. From a geographical perspective, the incidence of transport costs for glass seems to be relevant—considering the warehouse where the distributor receives and stores the glass delivered by the manufacturer as the point of origin, and the warehouses of the distributor's customers as the destination— as the main driver for assessing the economic feasibility of covering a specific area.</w:t>
      </w:r>
    </w:p>
    <w:p>
      <w:r>
        <w:t>16. In line with these considerations, it is possible to hypothesize the existence of a catchment area identified by the regions surrounding the distributors' warehouses. Specifically, the Party hypothesizes that the catchment area should be identified as 150 km but has nevertheless provided market shares related to three possible geographical definitions (isometric at 100 km, 150 km, and 200 km). According to the information acquired, approximately 70-80% of sales (in volume and value) occur within 100 km, or at most 150 km, although there are cases where a significant portion of the distributors' sales occurs beyond 150 km. In this specific case, it is deemed unnecessary to arrive at a conclusive definition of the relevant market since, in all possible definitions, there would be no competitive issues.</w:t>
      </w:r>
    </w:p>
    <w:p>
      <w:r>
        <w:t>The effects of the operation</w:t>
      </w:r>
    </w:p>
    <w:p>
      <w:r>
        <w:t>17. Based on the information provided by the Parties and the Authority's analyses, it is believed that the operation in question is not capable of generating any significant impact in the affected sectors. In fact, although there are horizontal and vertical aspects between the activities of the Acquiring company, its parent companies, and those of the Targets, the increase in market shares resulting from the acquisition of the latter does not raise concerns from a competition perspective.</w:t>
      </w:r>
    </w:p>
    <w:p>
      <w:r>
        <w:t>18. More specifically, regarding horizontal effects, VS—active in the upstream production phase—controls some distributors of hollow glass containers belonging to the Tre.Ve. S.r.l. Group, which operate in the same product sector (the distribution of hollow glass products) and in some cases in geographical areas overlapping with those in which Generalvetri operates.</w:t>
      </w:r>
    </w:p>
    <w:p>
      <w:r>
        <w:t>19. Considering the locations of all Generalvetri's warehouses and those of the distributors belonging to the Tre.Ve. S.r.l. Group, in all the isometric configurations considered—100 km, 150 km, and 200 km—the post-merger market share is never above [20-25%], the HHI is between 1,000 and 2,000, and the delta-HHI is generally below 250. Therefore, in line with the guidelines on the assessment of horizontal concentrations, the concentration in question does not seem to raise competitive concerns from a horizontal perspective.</w:t>
      </w:r>
    </w:p>
    <w:p>
      <w:r>
        <w:t>20. With regard to possible vertical effects, it is not believed that the concentration could lead to significant input foreclosure against distributors. In fact, due to the upstream market positions, represented (i) in the production of special glass containers with a share of [40-50%] by VS; (ii) in the production of standard glass containers with shares of [25-30%] for O-I and [5-10%] for Zignago, as well as the presence of numerous qualified operators, it is believed that input foreclosure is unlikely. Even considering a unitary market definition, that is, including both standard and special glass containers, the conclusions would remain unchanged since the parties would hold shares of [5-10%] for VS, [20-25%] for O-I, and [5-10%] for Zignago. In both cases, Generalvetri's competitors could replace the parties' products with those from other hollow glass manufacturers.</w:t>
      </w:r>
    </w:p>
    <w:p>
      <w:r>
        <w:t>21. It is also not deemed plausible—from the perspective of vertical effects—that the concentration could lead to significant output foreclosure to the detriment of competing producers. In fact, due to the post-merger shares held by Generalvetri (see above) and the presence of numerous qualified competitors in the distribution of industrial hollow glass products, it is believed that O-I, Zignago, and VS's competitors in the upstream hollow glass production market have sufficient alternatives to reach, with other distributors in the market, the end customers. Moreover, even today, a large portion of the glass containers sold by Generalvetri are produced by the acquiring parties.</w:t>
      </w:r>
    </w:p>
    <w:p>
      <w:r>
        <w:t>22. Finally, it is believed that the concentration does not significantly increase the risks of coordination in the market. It is noted, in fact, that O-I and Zignago already have a joint venture (VS) that in turn controls other hollow glass distributors (the companies belonging to the Tre.Ve. S.r.l. Group), so the acquisition of control over Generalvetri does not seem capable of further increasing the parent companies' ability to obtain information about competitors. Furthermore, the Parties have declared their intention to “[…] adopt a governance structure that preserves its independence, as well as to establish ad hoc safeguards to protect the confidentiality of the information that Generalvetri acquires in the course of its activities.”</w:t>
      </w:r>
    </w:p>
    <w:p>
      <w:r>
        <w:t>23. In conclusion, in light of the considerations above, the concentration in question does not appear to significantly impede effective competition in any of the affected sectors nor to lead to the establishment or strengthening of a dominant position.</w:t>
      </w:r>
    </w:p>
    <w:p>
      <w:r>
        <w:t>THEREFORE, it is deemed that the operation in question does not significantly impede effective competition in the relevant markets pursuant to Article 6, paragraph 1, of Law No. 287/1990 and does not entail the establishment or strengthening of a dominant position;</w:t>
      </w:r>
    </w:p>
    <w:p>
      <w:r>
        <w:t>RESOLVES</w:t>
      </w:r>
    </w:p>
    <w:p>
      <w:r>
        <w:t>not to initiate the investigation referred to in Article 16, paragraph 4, of Law No. 287/1990. The above conclusions will be communicated, pursuant to Article 16, paragraph 4, of Law No. 287/1990, to the interested companies and to the Minister of Enterprises and Made in Italy. This measure will be published in the Bulletin of the Competition and Market Authority.</w:t>
      </w:r>
    </w:p>
    <w:p>
      <w:r>
        <w:t>THE SECRETARY GENERAL THE PRESIDENT</w:t>
        <w:br/>
        <w:t>Guido Stazi Roberto Rustichelli</w:t>
      </w:r>
    </w:p>
    <w:p>
      <w:r>
        <w:rPr>
          <w:b/>
        </w:rPr>
        <w:t>[Pages 22–24]</w:t>
      </w:r>
    </w:p>
    <w:p>
      <w:r>
        <w:t>BULLETIN NO. 6 OF FEBRUARY 12, 2024</w:t>
      </w:r>
    </w:p>
    <w:p>
      <w:r>
        <w:t>24. It is considered that Poste, as the provider of the universal postal service, when making available goods or services, including informational ones, for which it has exclusive availability due to activities carried out within the scope of the universal postal service to companies in which it has stakes or controlled companies in markets other than postal ones, is required to make such goods or services accessible, on equivalent terms, to other directly competing enterprises;</w:t>
      </w:r>
    </w:p>
    <w:p>
      <w:r>
        <w:t>25. It is considered that, from the documents of the proceedings, it appears that Poste Italiane, in response to explicit requests sent between June and July 2023 by two competing companies of PostePay in the retail markets of electricity and natural gas (A2A Energia S.p.A. and Iren Mercato S.p.A.) for access, on equal terms and pursuant to Article 8, paragraph 2-quater, of Law No. 287/1990, to the resources made available to PostePay to promote and market the Poste Energia offer, would have denied such access;</w:t>
      </w:r>
    </w:p>
    <w:p>
      <w:r>
        <w:t>26. It is considered the request of the Reporting Party for the adoption of precautionary measures, consisting of: (i) an order directed to Poste Italiane to cease the promotional and marketing activities of the Poste Energia offer through the goods and services that Poste Italiane has by virtue of its role as exclusive supplier of the universal postal service, at least until access is guaranteed on equivalent terms to competing operators; and (ii) an order directed to Poste Italiane to ensure that competing operators have access to such goods and services, on equivalent terms;</w:t>
      </w:r>
    </w:p>
    <w:p>
      <w:r>
        <w:t>27. It is deemed, in light of the above considerations, that Poste Italiane may have engaged in conduct in violation of Article 8, paragraph 2-quater of Law No. 287/1990;</w:t>
      </w:r>
    </w:p>
    <w:p>
      <w:r>
        <w:t>28. It is further deemed that the conduct of Poste Italiane fits into a unique context, characterized by the end of protected regimes in the supply of electricity and natural gas, which has favored the entry of numerous new operators, and that the recent partial extension of the greater protection in electricity supply until June 2024 has further expanded the time period in which domestic users will have the opportunity to choose their supplier in the free market;</w:t>
      </w:r>
    </w:p>
    <w:p>
      <w:r>
        <w:t>29. It is deemed that during this transition period, active operators have strong incentives to attract new customers coming from the protected regime, thus increasing competitive pressure in these markets, and that in this context, an exclusive and difficult-to-replicate competitive advantage such as that which PostePay can rely on appears capable of illegitimately and irreparably altering competitive dynamics, as PostePay would be able to attract new customers by contacting the numerous users who use the postal and financial services of the Poste Italiane group every day;</w:t>
      </w:r>
    </w:p>
    <w:p>
      <w:r>
        <w:t>30. It is deemed that there is an urgency to initiate a procedure aimed at the possible adoption of precautionary measures imposing on Poste Italiane the obligation to guarantee access to competitors to the resources made available to PostePay on equivalent terms, in order to restore the level playing field and prevent the conduct of Poste Italiane from causing serious and irreparable harm to competition during the time necessary for the conduct of the investigation;</w:t>
      </w:r>
    </w:p>
    <w:p>
      <w:r>
        <w:t>RESOLVES</w:t>
      </w:r>
    </w:p>
    <w:p>
      <w:r>
        <w:t>a) to initiate the investigation against Poste Italiane S.p.A. pursuant to Article 14 of Law No. 287/1990, in order to ascertain the existence of a violation of Article 8, paragraph 2-quater of Law No. 287/1990;</w:t>
      </w:r>
    </w:p>
    <w:p>
      <w:r>
        <w:t>BULLETIN NO. 6 OF FEBRUARY 12, 2024</w:t>
      </w:r>
    </w:p>
    <w:p>
      <w:r>
        <w:t>b) to set a deadline of sixty days, starting from the date of notification of this measure, for the exercise by the legal representatives of the parties of the right to be heard, specifying that the request for a hearing must be received by the Transport, Energy and Environment Directorate of the Competition Department - 2 of this Authority at least fifteen days before the expiration of the aforementioned deadline;</w:t>
      </w:r>
    </w:p>
    <w:p>
      <w:r>
        <w:t>c) to initiate the precautionary procedure pursuant to Article 14-bis of Law No. 287/1990, aimed at verifying the actual existence of the necessary requirements for the adoption of precautionary measures aimed at restoring and maintaining competitive conditions in the affected markets;</w:t>
      </w:r>
    </w:p>
    <w:p>
      <w:r>
        <w:t>d) to set, within the procedure for the adoption of precautionary measures, a deadline of seven days starting from the date of notification of this measure for the submission by the legal representatives of the parties, or by persons delegated by them, of written statements and documents and the request for a hearing before the College, specifying that the request for a hearing must be received by the Transport, Energy and Environment Directorate of the Competition Department - 2 of this Authority within five days from the date of notification of this measure;</w:t>
      </w:r>
    </w:p>
    <w:p>
      <w:r>
        <w:t>e) that the person responsible for the procedure is Dr. Matteo Aggio;</w:t>
      </w:r>
    </w:p>
    <w:p>
      <w:r>
        <w:t>f) that the documents of the procedure can be viewed at the Transport, Energy and Environment Directorate of the Competition Department - 2 of this Authority by the legal representatives of the parties or by persons delegated by them;</w:t>
      </w:r>
    </w:p>
    <w:p>
      <w:r>
        <w:t>g) that the deadline for closing the procedure is set for July 19, 2024.</w:t>
      </w:r>
    </w:p>
    <w:p>
      <w:r>
        <w:t>This measure will be notified to the interested parties and published in the Bulletin of the Competition and Market Authority.</w:t>
      </w:r>
    </w:p>
    <w:p>
      <w:r>
        <w:t>THE SECRETARY GENERAL THE PRESIDENT</w:t>
        <w:br/>
        <w:t>Guido Stazi Roberto Rustichelli</w:t>
      </w:r>
    </w:p>
    <w:p>
      <w:r>
        <w:t>Competition Authority Weekly Bulletin</w:t>
        <w:br/>
        <w:t>of competition and market Year XXXIV - No. 6 - 2024</w:t>
        <w:br/>
        <w:t>Editorial coordination Giulia Antenucci</w:t>
        <w:br/>
        <w:t>Editorial staff Angela D’Auria, Valerio Ruocco, Manuela Villani</w:t>
        <w:br/>
        <w:t>Competition and Market Authority</w:t>
        <w:br/>
        <w:t>Document management, protocol and statistical services Directorate</w:t>
        <w:br/>
        <w:t>Piazza Giuseppe Verdi, 6/a - 00198 Rome</w:t>
        <w:br/>
        <w:t>Tel.: 06-858211 Fax: 06-85821256</w:t>
        <w:br/>
        <w:t>Web: https://www.agcm.it</w:t>
        <w:br/>
        <w:t>Graphic realization Strategic Design 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