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https://www.agcm.it/dotcmsdoc/bollettini/2022/7-22.pdf</w:t>
      </w:r>
    </w:p>
    <w:p>
      <w:r>
        <w:t>Pages translated : 104</w:t>
      </w:r>
    </w:p>
    <w:p/>
    <w:p>
      <w:r>
        <w:rPr>
          <w:b/>
        </w:rPr>
        <w:t>[Pages 1–3]</w:t>
      </w:r>
    </w:p>
    <w:p>
      <w:r>
        <w:t>Bulletin</w:t>
        <w:br/>
        <w:t>Weekly</w:t>
        <w:br/>
        <w:t>Year XXXII - No. 7</w:t>
        <w:br/>
        <w:t>Published on the website www.agcm.it</w:t>
        <w:br/>
        <w:t>February 28, 2022</w:t>
      </w:r>
    </w:p>
    <w:p>
      <w:r>
        <w:t>SUMMARY</w:t>
        <w:br/>
        <w:t>AGREEMENTS AND ABUSE OF DOMINANT POSITION 5</w:t>
        <w:br/>
        <w:t>A524 - LEADIANT BIOSCIENCES/DRUG FOR THE TREATMENT OF CEREBROTENDINOUS XANTHOMATOSIS</w:t>
        <w:br/>
        <w:t>Measure No. 29982 5</w:t>
        <w:br/>
        <w:t>A536 - TUSCANY REGION/TENDER FOR THE AWARD OF LOCAL PUBLIC TRANSPORT SERVICE</w:t>
        <w:br/>
        <w:t>Measure No. 29983 7</w:t>
        <w:br/>
        <w:t>I840 - OBSTACLES TO FREE ARENAS</w:t>
        <w:br/>
        <w:t>Measure No. 29987 9</w:t>
        <w:br/>
        <w:t>I850 - FIBERCOP AGREEMENTS</w:t>
        <w:br/>
        <w:t>Measure No. 30002 11</w:t>
        <w:br/>
        <w:t>CONCENTRATION OPERATIONS 52</w:t>
        <w:br/>
        <w:t>C12424 - BCP ACQUISITIONS/LOTTERY BUSINESS BRANCH OF SCIENTIFIC GAMES CORPORATION</w:t>
        <w:br/>
        <w:t>Measure No. 29985 52</w:t>
        <w:br/>
        <w:t>C12425 - IREN/ALEGAS</w:t>
        <w:br/>
        <w:t>Measure No. 29986 58</w:t>
        <w:br/>
        <w:t>REPORTING AND CONSULTATIVE ACTIVITIES 62</w:t>
        <w:br/>
        <w:t>AS1818 – LOMBARDY REGION - REGULATION OF TATTOOING AND PIERCING ACTIVITIES 62</w:t>
        <w:br/>
        <w:t>AS1819 - TAXI SERVICE MUNICIPALITY OF MONREALE 63</w:t>
        <w:br/>
        <w:t>UNFAIR COMMERCIAL PRACTICES 66</w:t>
        <w:br/>
        <w:t>PS11523 - TRAGHETTILINES.IT-VARIOUS ISSUES</w:t>
        <w:br/>
        <w:t>Measure No. 29977 66</w:t>
        <w:br/>
        <w:t>PS12146 - CRÉDIT AGRICOLE-INSTANT TRANSFER</w:t>
        <w:br/>
        <w:t>Measure No. 30001 96</w:t>
        <w:br/>
        <w:t>PS11990 - TIKTOK-CRYSTAL DROPS</w:t>
        <w:br/>
        <w:t>Notice of extension of the conclusion of the procedure 104</w:t>
      </w:r>
    </w:p>
    <w:p>
      <w:r>
        <w:t>BULLETIN NO. 7 OF FEBRUARY 28, 2022 5</w:t>
        <w:br/>
        <w:t>AGREEMENTS AND ABUSE OF DOMINANT POSITION</w:t>
        <w:br/>
        <w:t>A524 - LEADIANT BIOSCIENCES/DRUG FOR THE TREATMENT OF CEREBROTENDINOUS XANTHOMATOSIS</w:t>
        <w:br/>
        <w:t>Measure No. 29982</w:t>
        <w:br/>
        <w:t>THE COMPETITION AND MARKET AUTHORITY</w:t>
        <w:br/>
        <w:t>IN ITS MEETING of February 8, 2022;</w:t>
        <w:br/>
        <w:t>HEARD the Rapporteur Professor Michele Ainis;</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Law No. 287 of October 10, 1990;</w:t>
        <w:br/>
        <w:t>HAVING REGARD TO Presidential Decree No. 217 of April 30, 1998;</w:t>
        <w:br/>
        <w:t>HAVING REGARD TO its Measure No. 27940 of October 8, 2020, with which an investigation was initiated against the companies Essetifin S.p.A., Leadiant Biosciences S.p.A., Leadiant Biosciences Ltd., Leadiant GmbH, and Sigma-Tau Arzneimittel GmbH in liquidation to ascertain the existence of a violation of Article 102 TFEU, consisting of having implemented a single articulated strategy aimed at preventing competitors' access to the market for the production of CDCA-based drugs and imposing unjustifiably excessive prices for the sale of Leadiant Chenodeoxycholic Acid, used for the treatment of the rare disease known as cerebrotendinous xanthomatosis;</w:t>
        <w:br/>
        <w:t>HAVING REGARD TO its Measures No. 28377 of October 13, 2020, No. 29704 of June 8, 2021, No. 29855 of October 19, 2021, with which the deadline for closing the investigation procedure was extended, most recently to February 28, 2022, in order to ensure the Parties the broadest exercise of the right of defense and to fully guarantee the right to adversarial proceedings;</w:t>
        <w:br/>
        <w:t>HAVING REGARD TO the documents of the procedure;</w:t>
        <w:br/>
        <w:t>CONSIDERING the complexity of the case subject to the investigation procedure;</w:t>
        <w:br/>
        <w:t>CONSIDERING that due to unforeseen organizational needs, the deadline for closing the investigative phase has been deferred;</w:t>
        <w:br/>
        <w:t>CONSIDERING that the extension of the deadline for closing the investigative phase also necessitates an extension of the deadline for concluding the procedure;</w:t>
        <w:br/>
        <w:t>THEREFORE CONSIDERED necessary to extend the deadline for closing the procedure, currently set for February 28, 2022;</w:t>
      </w:r>
    </w:p>
    <w:p>
      <w:r>
        <w:rPr>
          <w:b/>
        </w:rPr>
        <w:t>[Pages 4–6]</w:t>
      </w:r>
    </w:p>
    <w:p>
      <w:r>
        <w:t>6 BULLETIN NO. 7 OF FEBRUARY 28, 2022</w:t>
      </w:r>
    </w:p>
    <w:p>
      <w:r>
        <w:t>RESOLUTION</w:t>
      </w:r>
    </w:p>
    <w:p>
      <w:r>
        <w:t>to extend the deadline for the conclusion of the procedure to May 20, 2022. This measure will be notified to the interested parties and published in the Bulletin of the Competition and Market Authority.</w:t>
      </w:r>
    </w:p>
    <w:p>
      <w:r>
        <w:t xml:space="preserve">THE DEPUTY SECRETARY GENERAL THE PRESIDENT pro tempore  </w:t>
        <w:br/>
        <w:t>Serena Stella Michele Ainis</w:t>
      </w:r>
    </w:p>
    <w:p>
      <w:r>
        <w:t>BULLETIN NO. 7 OF FEBRUARY 28, 2022 7</w:t>
      </w:r>
    </w:p>
    <w:p>
      <w:r>
        <w:t>A536 - TUSCANY REGION/TENDER FOR THE ASSIGNMENT OF LOCAL PUBLIC TRANSPORT SERVICE</w:t>
      </w:r>
    </w:p>
    <w:p>
      <w:r>
        <w:t>Measure No. 29983</w:t>
      </w:r>
    </w:p>
    <w:p>
      <w:r>
        <w:t>THE COMPETITION AND MARKET AUTHORITY</w:t>
      </w:r>
    </w:p>
    <w:p>
      <w:r>
        <w:t>IN ITS MEETING of February 8, 2022;</w:t>
      </w:r>
    </w:p>
    <w:p>
      <w:r>
        <w:t>HEARD the Rapporteur Professor Michele Ainis;</w:t>
      </w:r>
    </w:p>
    <w:p>
      <w:r>
        <w:t>HAVING REGARD TO Article 102 of the Treaty on the Functioning of the European Union (TFEU);</w:t>
      </w:r>
    </w:p>
    <w:p>
      <w:r>
        <w:t>HAVING REGARD TO Council Regulation No. 1/2003 of December 16, 2002;</w:t>
      </w:r>
    </w:p>
    <w:p>
      <w:r>
        <w:t>HAVING REGARD TO Law No. 287 of October 10, 1990;</w:t>
      </w:r>
    </w:p>
    <w:p>
      <w:r>
        <w:t>HAVING REGARD TO Presidential Decree No. 217 of April 30, 1998;</w:t>
      </w:r>
    </w:p>
    <w:p>
      <w:r>
        <w:t>HAVING REGARD TO the "Communication regarding the application of Article 14 bis of Law No. 287 of October 10, 1990" adopted with Measure No. 16218 in the meeting of December 12, 2006;</w:t>
      </w:r>
    </w:p>
    <w:p>
      <w:r>
        <w:t>HAVING REGARD TO its resolution of June 3, 2020, which initiated an investigative procedure pursuant to Article 14 of Law No. 287/90, against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to ascertain the existence of possible violations of Article 102 of the TFEU, consisting of the failure to transfer necessary information and data, as well as the failure to implement the acts preparatory to the transfer of essential assets for the takeover of Autolinee Toscane S.p.A. in the provision of TPL services in the Tuscan Regional Area;</w:t>
      </w:r>
    </w:p>
    <w:p>
      <w:r>
        <w:t>HAVING REGARD TO the same resolution of June 3, 2020, which also adopted provisional precautionary measures, pursuant to Article 14-bis of Law No. 287/90, against the same companies, aimed at ordering the transmission, each for the part of its own competence: 1) of the information necessary for the cancellation of mortgages on real estate; 2) of the data and documents on essential real estate, indispensable for the stipulation of transfer acts; 3) of the data and documents on AVM systems co-financed by the Tuscany Region and linked to the service; 4) of the information concerning the subscriber lists;</w:t>
      </w:r>
    </w:p>
    <w:p>
      <w:r>
        <w:t>HAVING REGARD TO its resolution of June 23, 2020, which confirmed, pursuant to Article 14-bis of Law No. 287/90, the adoption of the provisional precautionary measures decided on June 3, 2020;</w:t>
      </w:r>
    </w:p>
    <w:p>
      <w:r>
        <w:t>HAVING REGARD TO its communication of October 23, 2020, concerning the acknowledgment of the activities carried out by ATAF&amp;Linea S.c. a r.l., Ataf Gestioni S.r.l., Li-nea S.p.A., Tiemme S.p.A., Siena Mobilità S.c. a r.l., ByBus S.c. a r.l., BusItalia – Sita Nord S.r.l., CTT Nord S.r.l., Vaibus S.c. a r.l., Trasporti Toscani S.r.l., Consorzio Pisano Trasporti S.r.l., 3’ Millennium Travel S.r.l., Etruria Mobilità S.c. a r.l.,</w:t>
      </w:r>
    </w:p>
    <w:p>
      <w:r>
        <w:t>8 BULLETIN NO. 7 OF FEBRUARY 28, 2022</w:t>
      </w:r>
    </w:p>
    <w:p>
      <w:r>
        <w:t>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in order to comply with the precautionary measures referred to in the aforementioned resolutions of June 3, 2020 and June 23, 2020;</w:t>
      </w:r>
    </w:p>
    <w:p>
      <w:r>
        <w:t>HAVING REGARD TO its resolution of December 22, 2020, which extended the investigation subjectively against the companies Rete Automobilistica Maremmana Amiatina S.p.A. (in abbreviated form, “R.A.M.A.”), Tra.In S.p.A. and Autolinee Toscana Nord S.r.l., as well as extended the subject of the dispute to the alleged abusive conduct concerning the failure to transfer, even temporarily, the essential assets (real estate for sale and/or lease, buses and other movable assets) for the takeover of Autolinee Toscane S.p.A. against the companies ONE S.c. a r.l., Ataf Gestioni S.r.l., Li-nea S.p.A., Tiemme S.p.A., BusItalia – Sita Nord S.r.l., CTT Nord S.r.l., Trasporti Toscani S.r.l., 3’ Millennium Travel S.r.l., Baschetti Autoservizi S.r.l., Autolinee Fabbri S.r.l., Copit S.p.A. and Cooperativa Autotrasporti Pratese – Società Cooperativa, already parties to the procedure, as well as R.A.M.A. S.p.A., Tra.In S.p.A. and Autolinee Toscana Nord S.r.l.;</w:t>
      </w:r>
    </w:p>
    <w:p>
      <w:r>
        <w:t>HAVING REGARD TO its resolution of July 20, 2021, which extended the deadline for the conclusion of the procedure to March 31, 2022;</w:t>
      </w:r>
    </w:p>
    <w:p>
      <w:r>
        <w:t>HAVING REGARD TO the acts of the procedure;</w:t>
      </w:r>
    </w:p>
    <w:p>
      <w:r>
        <w:t>CONSIDERING the complexity of the case subject to the procedure and the large volume of documentation acquired in the file;</w:t>
      </w:r>
    </w:p>
    <w:p>
      <w:r>
        <w:t>CONSIDERING the need to ensure the Parties the broadest exercise of the right of defense and to guarantee the full unfolding of the adversarial process;</w:t>
      </w:r>
    </w:p>
    <w:p>
      <w:r>
        <w:t>HAVING REGARD TO, therefore, the need to extend the deadline for the conclusion of the procedure, currently set for March 31, 2022;</w:t>
      </w:r>
    </w:p>
    <w:p>
      <w:r>
        <w:t>RESOLUTION</w:t>
      </w:r>
    </w:p>
    <w:p>
      <w:r>
        <w:t>to extend the deadline for the conclusion of the procedure to June 30, 2022. This measure will be notified to the interested parties and published in the Bulletin of the Competition and Market Authority.</w:t>
      </w:r>
    </w:p>
    <w:p>
      <w:r>
        <w:t xml:space="preserve">THE DEPUTY SECRETARY GENERAL THE PRESIDENT pro tempore  </w:t>
        <w:br/>
        <w:t>Serena Stella Michele Ainis</w:t>
      </w:r>
    </w:p>
    <w:p>
      <w:r>
        <w:rPr>
          <w:b/>
        </w:rPr>
        <w:t>[Pages 7–9]</w:t>
      </w:r>
    </w:p>
    <w:p>
      <w:r>
        <w:t>BULLETIN NO. 7 OF FEBRUARY 28, 2022</w:t>
      </w:r>
    </w:p>
    <w:p>
      <w:r>
        <w:t>I840 - OBSTACLES TO FREE OF CHARGE ARENAS</w:t>
      </w:r>
    </w:p>
    <w:p>
      <w:r>
        <w:t>Measure No. 29987</w:t>
      </w:r>
    </w:p>
    <w:p>
      <w:r>
        <w:t>THE COMPETITION AND MARKET AUTHORITY</w:t>
      </w:r>
    </w:p>
    <w:p>
      <w:r>
        <w:t>IN ITS MEETING of February 8, 2022;</w:t>
      </w:r>
    </w:p>
    <w:p>
      <w:r>
        <w:t>HEARD the Rapporteur Professor Michele Ainis;</w:t>
      </w:r>
    </w:p>
    <w:p>
      <w:r>
        <w:t>HAVING REGARD TO Article 101 of the Treaty on the Functioning of the European Union (TFEU);</w:t>
      </w:r>
    </w:p>
    <w:p>
      <w:r>
        <w:t>HAVING REGARD TO Law No. 287 of October 10, 1990;</w:t>
      </w:r>
    </w:p>
    <w:p>
      <w:r>
        <w:t>HAVING REGARD TO Presidential Decree No. 217 of April 30, 1998;</w:t>
      </w:r>
    </w:p>
    <w:p>
      <w:r>
        <w:t>HAVING REGARD TO its resolution of June 17, 2020, which initiated the investigation pursuant to Article 14 of Law No. 287/90 against the National Association of Audiovisual and Multimedia Industries (ANICA), the National Association of Cinema Operators (ANEC), and the Lazio Regional Association of Cinema Operators (ANEC Lazio) to ascertain the existence of any violations of Article 101 of the TFEU and/or Article 2 of Law No. 287/90, with simultaneous initiation of the sub-procedure for the adoption of precautionary measures pursuant to Article 14-bis of Law No. 287/90;</w:t>
      </w:r>
    </w:p>
    <w:p>
      <w:r>
        <w:t>HAVING REGARD TO its resolution of July 8, 2020, with which specific precautionary measures were adopted pursuant to Article 14-bis of Law No. 287/90;</w:t>
      </w:r>
    </w:p>
    <w:p>
      <w:r>
        <w:t>HAVING REGARD TO the communication of the investigative findings sent to the parties of the proceeding on November 18, 2021;</w:t>
      </w:r>
    </w:p>
    <w:p>
      <w:r>
        <w:t>HAVING REGARD TO its resolution of December 3, 2021, with which the deadline of the present proceeding was extended to February 28, 2022;</w:t>
      </w:r>
    </w:p>
    <w:p>
      <w:r>
        <w:t>CONSIDERING that, due to unforeseen organizational needs, the deadline for closing the investigative phase has been deferred;</w:t>
      </w:r>
    </w:p>
    <w:p>
      <w:r>
        <w:t>CONSIDERING that the extension of the deadline for closing the investigative phase also necessitates an extension of the deadline for concluding the proceeding;</w:t>
      </w:r>
    </w:p>
    <w:p>
      <w:r>
        <w:t>THEREFORE CONSIDERED necessary an extension of the deadline for concluding the proceeding, currently set for February 28, 2022;</w:t>
      </w:r>
    </w:p>
    <w:p>
      <w:r>
        <w:t>DECIDES</w:t>
      </w:r>
    </w:p>
    <w:p>
      <w:r>
        <w:t>to extend the deadline for concluding the proceeding to March 15, 2022.</w:t>
      </w:r>
    </w:p>
    <w:p>
      <w:r>
        <w:t>The present measure will be notified to the interested parties and published in the Bulletin of the Competition and Market Authority.</w:t>
      </w:r>
    </w:p>
    <w:p>
      <w:r>
        <w:t>THE VICE SECRETARY GENERAL THE PRESIDENT f.f.</w:t>
      </w:r>
    </w:p>
    <w:p>
      <w:r>
        <w:t>Serena Stella Michele Ainis</w:t>
      </w:r>
    </w:p>
    <w:p>
      <w:r>
        <w:t>BULLETIN NO. 7 OF FEBRUARY 28, 2022</w:t>
      </w:r>
    </w:p>
    <w:p>
      <w:r>
        <w:t>I850 - FIBERCOP AGREEMENTS</w:t>
      </w:r>
    </w:p>
    <w:p>
      <w:r>
        <w:t>Measure No. 30002</w:t>
      </w:r>
    </w:p>
    <w:p>
      <w:r>
        <w:t>THE COMPETITION AND MARKET AUTHORITY</w:t>
      </w:r>
    </w:p>
    <w:p>
      <w:r>
        <w:t>IN ITS MEETING of February 15, 2022;</w:t>
      </w:r>
    </w:p>
    <w:p>
      <w:r>
        <w:t>HEARD the Rapporteur, President Roberto Rustichelli;</w:t>
      </w:r>
    </w:p>
    <w:p>
      <w:r>
        <w:t>HAVING REGARD TO Article 101 of the Treaty on the Functioning of the European Union (TFEU);</w:t>
      </w:r>
    </w:p>
    <w:p>
      <w:r>
        <w:t>HAVING REGARD TO Regulation No. 1/2003 of the Council of December 16, 2002;</w:t>
      </w:r>
    </w:p>
    <w:p>
      <w:r>
        <w:t>HAVING REGARD TO Law No. 287 of October 10, 1990;</w:t>
      </w:r>
    </w:p>
    <w:p>
      <w:r>
        <w:t>HAVING REGARD TO Presidential Decree No. 217 of April 30, 1998;</w:t>
      </w:r>
    </w:p>
    <w:p>
      <w:r>
        <w:t>HAVING REGARD TO its measure No. 28488 of December 15, 2020, with which an investigation was initiated pursuant to Article 14 of Law No. 287/90, against the companies Telecom Italia S.p.A., Fastweb S.p.A., Teemo Bidco S.à r.l., FiberCop S.p.A., Tiscali Italia S.p.A. and KKR &amp; Co. Inc. to ascertain the existence of violations of Article 101 of the TFEU;</w:t>
      </w:r>
    </w:p>
    <w:p>
      <w:r>
        <w:t>HAVING REGARD TO the "Communication on the application procedures of Article 14-ter of Law No. 287 of October 10, 1990," adopted in the meeting of September 6, 2012, and published in Bulletin No. 35 of September 17, 2012;</w:t>
      </w:r>
    </w:p>
    <w:p>
      <w:r>
        <w:t>HAVING REGARD TO the communications of August 4, 2021, and August 6, 2021, with which the companies Telecom Italia S.p.A., Fastweb S.p.A., Teemo Bidco S.à r.l., FiberCop S.p.A., Tiscali Italia S.p.A. and KKR &amp; Co. Inc. submitted commitments pursuant to Article 14-ter of Law No. 287/90;</w:t>
      </w:r>
    </w:p>
    <w:p>
      <w:r>
        <w:t>HAVING REGARD TO its measure No. 29807 of September 7, 2021, with which a public consultation was initiated regarding the commitments submitted by Telecom Italia S.p.A., Fastweb S.p.A., Teemo Bidco S.à r.l., FiberCop S.p.A., Tiscali Italia S.p.A. and KKR &amp; Co. Inc. pursuant to Article 14-ter of Law No. 287/90;</w:t>
      </w:r>
    </w:p>
    <w:p>
      <w:r>
        <w:t>HAVING REGARD TO the observations received during the public consultation regarding the commitments proposed by Telecom Italia S.p.A., Fastweb S.p.A., Teemo Bidco S.à r.l., FiberCop S.p.A., Tiscali Italia S.p.A. and KKR &amp; Co. Inc.;</w:t>
      </w:r>
    </w:p>
    <w:p>
      <w:r>
        <w:t>HAVING REGARD TO the communications of November 12, 2021, with which the companies Telecom Italia S.p.A., Fastweb S.p.A., Teemo Bidco S.à r.l., FiberCop S.p.A., Tiscali Italia S.p.A. and KKR &amp; Co. Inc. submitted their observations regarding the outcomes of the public consultation initiated on September 13, 2021, and the ancillary modifications to the commitments submitted pursuant to Article 14-ter of Law No. 287/90;</w:t>
      </w:r>
    </w:p>
    <w:p>
      <w:r>
        <w:t>HAVING REGARD TO its measure No. 29948 of December 14, 2021, with which the deadline for concluding the proceeding was extended to February 15, 2022;</w:t>
      </w:r>
    </w:p>
    <w:p>
      <w:r>
        <w:t>HAVING REGARD TO the opinion expressed pursuant to Article 1, paragraph 6, letter c), No. 11, of Law No. 249 of July 31, 1997, by the Authority for Communications Guarantees on January 14, 2022;</w:t>
      </w:r>
    </w:p>
    <w:p>
      <w:r>
        <w:t>HAVING REGARD TO the acts of the proceeding;</w:t>
      </w:r>
    </w:p>
    <w:p>
      <w:r>
        <w:t>CONSIDERING the following:</w:t>
      </w:r>
    </w:p>
    <w:p>
      <w:r>
        <w:rPr>
          <w:b/>
        </w:rPr>
        <w:t>[Pages 10–12]</w:t>
      </w:r>
    </w:p>
    <w:p>
      <w:r>
        <w:t>12 BULLETIN NO. 7 OF FEBRUARY 28, 2022</w:t>
      </w:r>
    </w:p>
    <w:p>
      <w:r>
        <w:t>I. THE PARTIES</w:t>
      </w:r>
    </w:p>
    <w:p>
      <w:r>
        <w:t>1. Telecom Italia S.p.A. (hereinafter also "TIM") is a company active in the installation and provision of telecommunications infrastructure, as well as in the offering of related services. In particular, TIM is the owner of the telephone network, on which it provides retail services to end consumers and wholesale access services to other operators who do not own an access network to reach the end customer. TIM provides fixed, mobile, and satellite telephony services, data transmission services and Internet access, connectivity services, network services and access to infrastructure, services related to e-commerce, website creation, offering Internet/Intranet/Extranet solutions to businesses, online advertising space sales, and multimedia services. In 2020, the total revenue generated worldwide by the Telecom Group was approximately 15.08 billion euros, of which approximately 12.9 billion came from sales in Italy1.</w:t>
      </w:r>
    </w:p>
    <w:p>
      <w:r>
        <w:t>2. Fastweb S.p.A. (hereinafter also "Fastweb" or "FW") provides broadband and ultra-broadband telecommunications services, targeting both residential and business customers, and is one of the main competing operators of the former monopolist. It is also active in the mobile telecommunications services market. Fastweb is 100% controlled by Swisscom Italia S.r.l., which is in turn controlled by Swisscom AG, a company based in Switzerland that provides telecommunications services for residential and business customers and represents the incumbent operator in the Swiss market. In 2020, FW generated revenues of 2.3 billion euros2.</w:t>
      </w:r>
    </w:p>
    <w:p>
      <w:r>
        <w:t>3. Teemo Bidco S.à r.l. (hereinafter "Teemo"), based in Luxembourg, is a company controlled by the investment fund KKR &amp; Co. Inc. ("KKR Fund") through the management of KKR Global Infrastructure Investor III L.P., a company incorporated in the Cayman Islands.</w:t>
      </w:r>
    </w:p>
    <w:p>
      <w:r>
        <w:t>4. FiberCop S.p.A. (hereinafter "FiberCop") is a company established in November 2020, whose share capital is currently 100% owned by TIM, into which TIM's secondary network will flow. FiberCop aims to be a vehicle for the realization of secondary fiber optic networks. In this sense, the project provides for Teemo and Fastweb to enter the share capital of the company. Following the jurisdictional consultation initiated by TIM on September 7, 2020, the European Commission determined that the operation – consisting of the contribution of TIM's secondary network to FiberCop and the simultaneous entry of KKR (37.5%) and Fastweb (4.5%) – does not constitute a concentration under Council Regulation (EC) No. 139/2004 of January 20, 2004, on the control of concentrations between undertakings.</w:t>
      </w:r>
    </w:p>
    <w:p>
      <w:r>
        <w:t>5. Tiscali Italia S.p.A. (hereinafter also "Tiscali") provides broadband and ultra-broadband telecommunications services and is also active in the mobile telecommunications services market as a mobile virtual network operator (MVNO). In 2020, Tiscali generated consolidated revenues of 144 million euros3.</w:t>
      </w:r>
    </w:p>
    <w:p>
      <w:r>
        <w:t>1 See TIM S.p.A. Annual Financial Report 2020.</w:t>
        <w:br/>
        <w:t>2 See Fastweb S.p.A. Sustainability Report 2020.</w:t>
        <w:br/>
        <w:t>3 See Tiscali Italia S.p.A. Annual Financial Report as of December 31, 2020.</w:t>
      </w:r>
    </w:p>
    <w:p>
      <w:r>
        <w:t>BULLETIN NO. 7 OF FEBRUARY 28, 2022</w:t>
      </w:r>
    </w:p>
    <w:p>
      <w:r>
        <w:t>II. THIRD PARTIES INTERVENING</w:t>
      </w:r>
    </w:p>
    <w:p>
      <w:r>
        <w:t>6. The Italian Internet Provider Association (hereinafter, "AIIP"), established in June 1995, is an association of telecommunications operators, whose main objectives are the promotion and dissemination in Italy of access to the market of networks and/or electronic communications services, as well as the development in a competitive environment of networks and/or electronic communication services.</w:t>
      </w:r>
    </w:p>
    <w:p>
      <w:r>
        <w:t>7. Asco Tlc S.p.A. (hereinafter, "Asco") is an electronic communications operator active in the installation and provision of fiber optic infrastructure, as well as in the offering of related connectivity services.</w:t>
      </w:r>
    </w:p>
    <w:p>
      <w:r>
        <w:t>8. Colt Technology Services S.p.A. (hereinafter, "Colt") is a telecommunications operator with proprietary fiber optic infrastructure and is active in providing voice and broadband services both wholesale and retail, particularly with reference to business customers.</w:t>
      </w:r>
    </w:p>
    <w:p>
      <w:r>
        <w:t>9. Eolo S.p.A. (hereinafter, "Eolo") is a telecommunications operator active in offering broadband and ultra-broadband telecommunications services using Fixed Access Wireless (FWA) technologies.</w:t>
      </w:r>
    </w:p>
    <w:p>
      <w:r>
        <w:t>10. Iliad Italia S.p.A. (hereinafter, "Iliad") is a company active in providing mobile telecommunications services. Iliad has also initiated the infrastructural activities necessary for the provision of fixed ultra-broadband telecommunications services.</w:t>
      </w:r>
    </w:p>
    <w:p>
      <w:r>
        <w:t>11. Intred S.p.A. (hereinafter, "Intred") is a telecommunications operator active in the installation of telecommunications infrastructure that offers electronic communication services to the public throughout the national territory.</w:t>
      </w:r>
    </w:p>
    <w:p>
      <w:r>
        <w:t>12. Irideos S.p.A. (hereinafter, "Irideos") is a company active in the installation and provision of fiber optic infrastructure, as well as in the offering of related connectivity services, particularly with regard to business customers.</w:t>
      </w:r>
    </w:p>
    <w:p>
      <w:r>
        <w:t>13. Open Fiber S.p.A. (hereinafter, also "Open Fiber" or "OF") is a company that, since December 21, 2015, has been active in the installation, provision, and operation of high-speed fiber optic and ultra-broadband electronic communication networks. The company operates as a wholesale access service provider on high-capacity telecommunications networks, both in areas with higher infrastructural competition (black areas) and in areas of market failure (white areas), where OF is the successful bidder for public tenders for the realization of the access network under concession.</w:t>
      </w:r>
    </w:p>
    <w:p>
      <w:r>
        <w:t>14. Retelit Digital Services S.p.A. (hereinafter, "Retelit") is an electronic communications operator that provides broadband and ultra-broadband telecommunications services.</w:t>
      </w:r>
    </w:p>
    <w:p>
      <w:r>
        <w:t>15. Sky Italia S.r.l. (hereinafter, also "Sky Italia" or "Sky") is a company active in offering pay TV services and free television services, as well as in offering telecommunications services on fixed networks.</w:t>
      </w:r>
    </w:p>
    <w:p>
      <w:r>
        <w:t>16. Unidata S.p.A. (hereinafter, "Unidata") is an electronic telecommunications operator active in the wholesale access market and in the retail provision of fixed and broadband and ultra-broadband electronic telecommunications services.</w:t>
      </w:r>
    </w:p>
    <w:p>
      <w:r>
        <w:t>17. Vodafone Italia S.p.A. (hereinafter, "Vodafone") is a telecommunications company of the Vodafone Group Plc and is active in offering fixed line telecommunications services and mobile telecommunications services.</w:t>
      </w:r>
    </w:p>
    <w:p>
      <w:r>
        <w:t>18. Wind Tre S.p.A. (hereinafter, "Wind Tre") is a telecommunications company controlled by CK Hutchison Holdings Limited, active in offering fixed line telecommunications services and mobile telecommunications services.</w:t>
      </w:r>
    </w:p>
    <w:p>
      <w:r>
        <w:t>III. THE INQUIRY PROCEDURE</w:t>
      </w:r>
    </w:p>
    <w:p>
      <w:r>
        <w:t>19. The inquiry procedure in question was initiated on December 15, 20204 to verify whether the complex of agreements entered into between the Parties, relating to the establishment of the joint company FiberCop, as well as the provision of access services to FiberCop's secondary network by TIM, Fastweb, and Tiscali could reduce competition in the wholesale and retail markets for broadband and ultra-broadband telecommunications services, in violation of Article 101 of the Treaty on the Functioning of the European Union (TFEU).</w:t>
      </w:r>
    </w:p>
    <w:p>
      <w:r>
        <w:t>20. The companies Asco, Colt, Eolo, Intred, Irideos, Open Fiber, Retelit, Sky Italia, Unidata, Vodafone, Wind Tre, as well as the association AIIP were admitted to the inquiry procedure, following a motivated request5, on the dates of January 27, 2021, January 28, 2021, and February 4, 20216.</w:t>
      </w:r>
    </w:p>
    <w:p>
      <w:r>
        <w:t>21. The Parties and the intervening third parties accessed the file on several occasions7. TIM was heard on the dates of March 22, 20218, April 12, 20219, July 9, 202110, and November 8, 2021.</w:t>
      </w:r>
    </w:p>
    <w:p>
      <w:r>
        <w:t>4 See AGCM Measure No. 28488 of December 15, 2020, case I850 – FiberCop Agreements.</w:t>
        <w:br/>
        <w:t>5 See docs. 8, 13, 14, 20, 23, 27, 33, 34, 40, 41, 42, 43, 54.</w:t>
        <w:br/>
        <w:t>6 See docs. 35, 36, 37, 38, 39, 44, 45, 46, 47, 48, 49, 50, 61.</w:t>
        <w:br/>
        <w:t>7 TIM accessed the file on the dates of January 21, 2021, March 19, 2021, April 13, 2021, May 25, 2021, June 24, 2021, October 19, 2021, November 5, 2021, December 9, 2021 (see docs. 29, 111, 184, 235, 260, 297, 320, IMP.80); Fastweb accessed the file on January 21, 2021, March 30, 2021, April 13, 2021, May 25, 2021, June 24, 2021, October 19, 2021, November 5, 2021, December 9, 2021 (see docs. 30, 136, 173, 238, 263, 298, 321, IMP.72); Teemo and KKR accessed the file on February 4, 2021, March 31, 2021, April 13, 2021, May 25, 2021, June 24, 2021, October 19, 2021, November 5, 2021, December 9, 2021 (see docs. 62, 148, 179, 186, 237, 258, 301, 323, IMP.76); FiberCop accessed the file on April 13, 2021, and October 19, 2021 (see docs. 174, 299); Tiscali accessed the file on January 21, 2021, March 30, 2021, April 13, 2021, May 25, 2021, June 24, 2021, October 19, 2021, November 5, 2021, December 9, 2021 (see docs. 31, 142, 183, 236, 264, 300, 322, IMP.81). See also the following documents: AIIP (35, 132, 169, 259, 303, IMP.68), Asco (36, 133, 170, 304, IMP.69), Colt (47, 134, 171, 305, IMP.70), Eolo (61, 135, 172, 306, IMP.71), Iliad (46, 137, 175, 268, 307, IMP.73), Intred (48, 138, 177. 308, IMP.74), Irideos (45, 143, 178, 267, 309, 316, IMP.75), Open Fiber (37, 146, 185, 262, 296, 302, 324, IMP.77), Retelit (49, 145, 187, 310, IMP.78), Sky Italia (44, 144, 188, 265, 311, IMP.79), Unidata (50, 141, 182, 312, IMP.82), Vodafone (38, 140, 181, 261, 313, IMP.83), Wind Tre (39, 139, 180, 266, 314, IMP.84).</w:t>
        <w:br/>
        <w:t>8 See doc. 116.</w:t>
        <w:br/>
        <w:t>9 See doc. 164.</w:t>
        <w:br/>
        <w:t>10 See doc. 274.</w:t>
      </w:r>
    </w:p>
    <w:p>
      <w:r>
        <w:rPr>
          <w:b/>
        </w:rPr>
        <w:t>[Pages 13–15]</w:t>
      </w:r>
    </w:p>
    <w:p>
      <w:r>
        <w:t>BULLETIN NO. 7 OF FEBRUARY 28, 2022</w:t>
      </w:r>
    </w:p>
    <w:p>
      <w:r>
        <w:t>202111. Teemo and KKR were audited on February 19, 202112 and March 19, 202113. Fastweb was audited on April 9, 202114, July 9, 202115, and November 9, 202116. Tiscali was audited on April 22, 202117 and July 29, 202118. The companies Open Fiber19, AIIP20, Vodafone21, Irideos22, Wind Tre23, and Sky Italia24 were also audited.</w:t>
      </w:r>
    </w:p>
    <w:p>
      <w:r>
        <w:t>22. On August 4 and 6, 2021, the Parties submitted commitments pursuant to Article 14-ter of Law No. 287/9025. On September 7, 2021, having verified the non-manifest unfoundedness of the same, their publication was ordered. The public consultation, initiated on September 13, 202126, was participated in by Idee Economiche &amp; Design S.a.s., AIIP, Intred, I.S.I. Line S.r.l. (“ISI Line”), OpEn Fiber, Irideos, Sky Italia, Planetel S.p.A. (“Planetel”), Iliad, Unidata, Retelit, Colt, Vodafone Italia, and Wind Tre27. Finally, on November 11 and 12, 2021, the Parties replied to the observations presented in the public consultation, also integrating the commitments submitted28.</w:t>
      </w:r>
    </w:p>
    <w:p>
      <w:r>
        <w:t>IV. THE EVIDENCE ACQUIRED</w:t>
      </w:r>
    </w:p>
    <w:p>
      <w:r>
        <w:t>IV.1. Premise</w:t>
      </w:r>
    </w:p>
    <w:p>
      <w:r>
        <w:t>23. On September 1, 2020, Telecom Italia S.p.A. (“TIM”) and Teemo Bidco S.à r.l. (“Teemo Bidco”), a special purpose company indirectly owned by investment funds managed by a subsidiary of KKR &amp; Co. Inc., signed an agreement aimed at creating a joint venture named FiberCop, active in the provision of passive wholesale access services, primarily on secondary copper and fiber networks29.</w:t>
      </w:r>
    </w:p>
    <w:p>
      <w:r>
        <w:t>24. The agreement provided, as of the completion date of the transaction on April 1, 202130: (i) the transfer from TIM to FiberCop of the business unit comprising all assets, liabilities, and contracts related to its passive secondary access network, both in copper and fiber, from the street cabinets to the buildings concerned – including the verticals31 – and its participation in Flash Fiber S.r.l. (“Flash Fiber”), equal to 80%; (ii) the purchase by Teemo Bidco of the 37.5% share of the capital of FiberCop; (iii) the signing of the Master Service Agreement (“MSA”), which defines the terms and conditions of the long-term reciprocal service relationship between TIM and FiberCop. Based on a Commitment Letter signed on September 1, 2020, by TIM, Teemo Bidco, and Fastweb, the conferment in FiberCop of the 20% share of Flash Fiber held by Fastweb was provided, in exchange for a 4.5% share of the capital of FiberCop.</w:t>
      </w:r>
    </w:p>
    <w:p>
      <w:r>
        <w:t>25. According to the Parties32, the main purpose of FiberCop is to provide a decisive impetus to rapidly deploy a ultra-broadband network in Italy, through the use of optical technologies with GPON-FTTH architecture33, by 2025. FiberCop is expected to play the role of a company that builds next-generation networks and operates exclusively in the wholesale markets of passive network resources (infrastructure deployment, fiber connections, copper connections) of the secondary network only. FiberCop should also represent that vehicle capable of aggregating all potential investors who intend to build ultra-broadband networks, according to the methods provided for in Article 76 of Directive (EU) 2018/1972 of the European Parliament and of the Council, of December 11, 2018, which establishes the European Electronic Communications Code (hereinafter, “European Electronic Communications Code” or “EECC”) for co-investment. In this sense, the participation in the operation by Fastweb and the project of a strategic partnership between Tiscali and FiberCop should be interpreted.</w:t>
      </w:r>
    </w:p>
    <w:p>
      <w:r>
        <w:t>26. Consequently, FiberCop, in addition to representing a vehicle permanently open to external investors, should also offer its passive resources to all operators, including TIM, on reasonable and non-discriminatory terms.</w:t>
      </w:r>
    </w:p>
    <w:p>
      <w:r>
        <w:t>IV.2. The relevant markets</w:t>
      </w:r>
    </w:p>
    <w:p>
      <w:r>
        <w:t>27. Considering the scope of the agreements under examination and the activities of the companies involved, it is deemed appropriate to identify34: (i) the market for wholesale access services to the fixed broadband and ultra-broadband network; (ii) the market for retail telecommunications services on fixed broadband and ultra-broadband networks.</w:t>
      </w:r>
    </w:p>
    <w:p>
      <w:r>
        <w:t>31 The secondary network consists of the transmission carriers in fiber and copper in the network segment that originates from the distribution cabinets up to the distributors located in the immediate vicinity of the building or within the same. The transmission carriers consist of the asset activities concerning the optical fiber or copper cables and the aerial or underground deployment infrastructures that house the cables. The type of infrastructure, aerial or underground, determines the value in the fixed assets of the transmission carrier (for example, due to the high incidence of excavation costs on the transmission carriers). The termination segments are transmission carriers that originate from the distributor, pass through the adduction and vertical infrastructure of the building, until they connect to the user's real estate unit.</w:t>
      </w:r>
    </w:p>
    <w:p>
      <w:r>
        <w:t>32 Cf. doc. PI.3, 84, 116, 195.</w:t>
      </w:r>
    </w:p>
    <w:p>
      <w:r>
        <w:t>33 Gigabit-capable Passive Optical Network is a technology commonly used to build FTTH (Fiber To The Home) networks, whereby the Internet connection of a home is achieved by bringing the optical fiber inside the house.</w:t>
      </w:r>
    </w:p>
    <w:p>
      <w:r>
        <w:t>34 Cf. AGCM Measure No. 28162 of February 25, 2020, case A514 – Telecom Italia fiber conduct; AGCM Measure No. 27102 of March 28, 2018, case I799 – Tim-Fastweb-Fiber network construction.</w:t>
      </w:r>
    </w:p>
    <w:p>
      <w:r>
        <w:t>BULLETIN NO. 7 OF FEBRUARY 28, 2022</w:t>
      </w:r>
    </w:p>
    <w:p>
      <w:r>
        <w:t>28. The market for wholesale access services to the fixed broadband and ultra-broadband network (hereinafter also “wholesale market”), of national geographical size, is defined from a commodity perspective as the services that allow telecommunications operators to provide services to end customers through access to the fixed local broadband and ultra-broadband network. Access to the local network that connects the end customer is a necessary production factor to operate in the downstream market of retail telecommunications services. For operators intending to prepare an offer of telecommunications services aimed at end customers, the procurement of local network access services is essential, as it is not possible to serve end customers without access to the local network.</w:t>
      </w:r>
    </w:p>
    <w:p>
      <w:r>
        <w:t>29. In this market, TIM represents the operator that provides the majority of access services. In particular, with reference to local access, TIM's share is over 90% of the lines in 201835, while the remaining share is represented by other operators such as Open Fiber and Fastweb. The latter provides wholesale local access services, predominantly the VULA service, also through the use of the Flash Fiber vehicle36. With reference to wholesale central access services, TIM holds a market share by volume of approximately 50% in 2018, while Fastweb and Tiscali hold, respectively, market shares by volume of 11% and about 2% of wholesale central accesses37.</w:t>
      </w:r>
    </w:p>
    <w:p>
      <w:r>
        <w:t>30. The market for retail telecommunications services on fixed broadband and ultra-broadband networks (hereinafter also “retail market”), of national geographical size, is defined from a product perspective as the set of fixed network voice and data services at broadband and ultra-broadband levels intended for end users. In this market, there is a more intense competitive comparison compared to the upstream related market of wholesale access services. Here, TIM is the only vertically integrated operator possessing an access network covering the entire national geographical market. The market shares by volume, as of June 2021, are represented in Table 1 below.</w:t>
      </w:r>
    </w:p>
    <w:p>
      <w:r>
        <w:t>35 Cf. AGCOM Resolution No. 348/19/CONS, titled “Coordinated analysis of the markets for access services to the fixed network pursuant to Article 50 ter of the Code,” document IV.</w:t>
      </w:r>
    </w:p>
    <w:p>
      <w:r>
        <w:t>36 Cf. AGCM Measure No. 27102 of March 28, 2018, case I799 – Tim-Fastweb-Fiber network construction.</w:t>
      </w:r>
    </w:p>
    <w:p>
      <w:r>
        <w:t>37 Cf. AGCOM Resolution No. 348/19/CONS, titled “Coordinated analysis of the markets for access services to the fixed network pursuant to Article 50 ter of the Code,” document IV.</w:t>
      </w:r>
    </w:p>
    <w:p>
      <w:r>
        <w:rPr>
          <w:b/>
        </w:rPr>
        <w:t>[Pages 16–18]</w:t>
      </w:r>
    </w:p>
    <w:p>
      <w:r>
        <w:t>BULLETIN NO. 7 OF FEBRUARY 28, 2022</w:t>
      </w:r>
    </w:p>
    <w:p>
      <w:r>
        <w:t>Table 1 – Detailed access to broadband and ultra-broadband (June 2020)38</w:t>
      </w:r>
    </w:p>
    <w:p>
      <w:r>
        <w:t>Number of broadband and ultra-broadband accesses (million lines) Market share (%) Operator</w:t>
      </w:r>
    </w:p>
    <w:p>
      <w:r>
        <w:t>TIM 7.78 42.3%</w:t>
        <w:br/>
        <w:t>Vodafone 3.03 16.5%</w:t>
        <w:br/>
        <w:t>Fastweb 2.77 15.1%</w:t>
        <w:br/>
        <w:t>Wind Tre 2.58 14.0%</w:t>
        <w:br/>
        <w:t>Linkem 0.66 3.6%</w:t>
        <w:br/>
        <w:t>Eolo 0.57 3.1%</w:t>
        <w:br/>
        <w:t>Tiscali 0.44 2.4%</w:t>
        <w:br/>
        <w:t>Others 0.57 3.1%</w:t>
        <w:br/>
        <w:t>Total 18.40 100.0%</w:t>
      </w:r>
    </w:p>
    <w:p>
      <w:r>
        <w:t>IV.3. The structure of telecommunications networks</w:t>
      </w:r>
    </w:p>
    <w:p>
      <w:r>
        <w:t>31. The local access network (local loop) constitutes the terminal part of telecommunications networks, to which operators alternative to the owner of the access network connect to reach the final customer. TIM's access network can be divided into the primary access network, consisting of the section between the local exchange and the street cabinet (cabinet), and the secondary network, consisting of the section between the cabinet and the user’s premises.</w:t>
      </w:r>
    </w:p>
    <w:p>
      <w:r>
        <w:t>32. Historically, in the copper local access network, alternative operators (OAO – Other Authorised Operators, also known as OLO – Other Licensed Operators) have linked their telecommunications networks to TIM exchanges in order to connect directly to the access network and reach the customer with their ADSL services (through the so-called ULL service – Unbundling of the Local Loop)39. Over the years, TIM has initiated a fiber infrastructure project, using FTTC technology (Fiber To The Cabinet), which involves bringing optical fiber to the street cabinet equipped with active (electrically powered) devices in order to offer ultra-broadband services in VDSL mode and subsequent evolutions40, with download speeds exceeding 30 Mbps.</w:t>
      </w:r>
    </w:p>
    <w:p>
      <w:r>
        <w:t>33. With this technology, OAOs had two alternatives in order to offer ultra-broadband services: (i) to lay their own primary fiber optic network and build a cabinet adjacent to that of TIM and access the secondary network in a disaggregated manner (through the so-called SLU access service – Sub Loop Unbundling), managing the connection to the customer autonomously; (ii) to have TIM manage the connection from the exchange to the user’s premises through the VULA FTTC service (for OAOs that did not reach the exchange, there remained the option of having TIM manage the service entirely up to a collection point with the Bitstream service).</w:t>
      </w:r>
    </w:p>
    <w:p>
      <w:r>
        <w:t>34. Historically, therefore, it is possible to identify a scale of investments by alternative operators depending on their degree of infrastructure, where the lowest level is represented by operators connecting to TIM at local collection points (macro-regional, regional, or provincial), the intermediate level is represented by operators who have their own devices in the exchange, and then there are operators who have invested in the construction of primary networks and have reached the level of the street cabinet.</w:t>
      </w:r>
    </w:p>
    <w:p>
      <w:r>
        <w:t>35. The mechanisms characterizing TIM-FiberCop's fiber optic network are similar to those observed for the copper network, as the new infrastructure follows the historical structure of TIM's copper network41. In Figure 1 below, an exemplary diagram of a local fiber optic network is shown, according to a GPON architecture (Gigabit-capable Passive Optical Network)42.</w:t>
      </w:r>
    </w:p>
    <w:p>
      <w:r>
        <w:t>Figure 1 - Exemplary diagram of a local telecommunications network43</w:t>
      </w:r>
    </w:p>
    <w:p>
      <w:r>
        <w:t>36. GPON fiber optic networks are of the point-to-multipoint type, as a single operator device (OLT, Optical Line Terminal44), which is often located in the local exchange, can reach multiple customer homes, each of which has a termination device called ONT (Optical Network Terminal). Each of these connections between an OLT and a set of user devices (ONT) is called an optical tree. The size of the optical tree is determined by the number of ONTs that can be connected to a single OLT, which depends on the so-called splitting factor, that is, the factor of line division, which can reach a maximum of 128 lines.</w:t>
      </w:r>
    </w:p>
    <w:p>
      <w:r>
        <w:t>37. The splitting factor used by FiberCop is 1:64, meaning that a maximum of 64 ONTs are connected to 1 OLT. This factor is achieved through two splitters, the first splitter (primary splitter 1:4) divides the single incoming fiber into 4 optical fibers destined for as many secondary splitters of factor 1:16, which each connect up to 16 ONTs. The splitters are positioned in the street cabinets known as CRO (Cabinet Ripartilinea Ottico).</w:t>
      </w:r>
    </w:p>
    <w:p>
      <w:r>
        <w:t>38. A GPON is, therefore, a shared network45, in the sense that the OLT sends a single light signal to all the ONTs of the same optical tree, consisting of a plurality of data packets intended for multiple users that have been organized (multiplexing). Each ONT receives the same signal (the same sequence of light pulses) and selects the packets intended for it, ignoring the data packets intended for other users/ONTs46. This means that the download capacity of the network must be divided by the number of ONTs connected simultaneously in the same optical tree, and therefore, a greater splitting factor corresponds to a lower average speed for users.</w:t>
      </w:r>
    </w:p>
    <w:p>
      <w:r>
        <w:t>39. The GPON technology provides up to 2.488Gbps downstream and up to 1.244Gbps upstream shared among the terminals that are connected to the same optical tree. The XGS-GPON technology, an evolution of GPON technology, offers a system capable of providing symmetric 10Gbps.</w:t>
      </w:r>
    </w:p>
    <w:p>
      <w:r>
        <w:t>40. The local telecommunications network (see Figure 1 and Figure 2, the so-called local loop) can be divided into a primary network, consisting of the section of linkage between the exchange and the street cabinet (CRO), and the secondary network, that is, the section between the cabinet and the user’s premises, where the terminal point is constituted by the ONT in FTTH networks and by the PTE (building termination point) in FTTB networks47.</w:t>
      </w:r>
    </w:p>
    <w:p>
      <w:r>
        <w:t>45 An optical splitter receives an incoming single optical fiber (OLT side) and produces N output signals on N optical fibers (splitting factor 1:N). In the downstream direction (from OLT to ONT), the splitter refracts the incoming light onto the outgoing optical fibers, thus dividing the power of the light by N. From this behavior follows the fact that each ONT also receives traffic intended for other ONTs. Therefore, it is necessary to use encryption techniques to protect the information, which is discarded at the ONT level if intended for another ONT. In the upstream direction (from ONT to OLT), the splitter sums the contributions of light carried by the N optical fibers that are synchronized according to mechanisms managed by the OLT devices.</w:t>
      </w:r>
    </w:p>
    <w:p>
      <w:r>
        <w:t>46 Regarding the signal, in the same data flow there may be a multicast signal, that is, the same data packet intended for multiple users, as in the case of live audio-video content, or singlecast, that is, data packets intended for a single subject, as in the case of Internet browsing or Internet Protocol telephony services (VoIP).</w:t>
      </w:r>
    </w:p>
    <w:p>
      <w:r>
        <w:t>47 The secondary network can be further divided into the section between the street cabinet (CRO) and the building termination point (PTE) and the section between the PTE and the user’s premises (ONT), called the building vertical. Where the fiber network ends at the PTE, there would be an FTTB (Fiber To The Building) network, while if the user network reaches the user’s premises/ONT, there is an FTTH (Fiber To The Home) network.</w:t>
      </w:r>
    </w:p>
    <w:p>
      <w:r>
        <w:rPr>
          <w:b/>
        </w:rPr>
        <w:t>[Pages 19–21]</w:t>
      </w:r>
    </w:p>
    <w:p>
      <w:r>
        <w:t>BULLETIN NO. 7 OF FEBRUARY 28, 2022</w:t>
      </w:r>
    </w:p>
    <w:p>
      <w:r>
        <w:t>21</w:t>
        <w:br/>
        <w:t>Figure 2 - Network Architecture48</w:t>
      </w:r>
    </w:p>
    <w:p>
      <w:r>
        <w:t>41. The perimeter of FiberCop exclusively concerns the secondary network, that is to say, the portion of the fiber optic network (and the portion of the copper network) downstream of the street cabinet (CRO). The FiberCop network is therefore a “semi-GPON” which, unlike “full-GPON” networks, does not include the primary fiber optic network segment. It follows that to connect the core networks of operators to the FiberCop network – similarly to what is observed for mixed fiber-copper FTTC networks – it is necessary to associate a segment of primary network that reaches the street cabinet (CRO).</w:t>
      </w:r>
    </w:p>
    <w:p>
      <w:r>
        <w:t>42. Access to this network can therefore be either passive or active. Passive access, which can only be carried out in the presence of a primary connection up to the CRO, allows the OAO to manage communication with the customer entirely autonomously (similar to disaggregated access services ULL and SLU), while with active access the OAO will not manage communication from the collection point (at the level of the local exchange or macro area) to the user’s premises (thus a bitstream service is provided).</w:t>
      </w:r>
    </w:p>
    <w:p>
      <w:r>
        <w:t>43. An alternative operator uses passive access (Figure 3) by connecting its own primary network (on which it has ownership rights or other real rights of enjoyment, such as the IRU49) and using its own devices (OLT and ONT) on splitters used exclusively by itself. In this way, the operator manages all qualitative aspects of the network.</w:t>
      </w:r>
    </w:p>
    <w:p>
      <w:r>
        <w:t>48 See doc. 53.</w:t>
      </w:r>
    </w:p>
    <w:p>
      <w:r>
        <w:t>49 The IRU (Indefeasible Right of Use) or irrevocable right of use consists of the ability for the holder to use a predetermined share of the cable, understood as a circuit or a certain number of circuits established on the cable. The right is defined as “irrevocable” as it cannot be extinguished by unilateral act of either Party.</w:t>
      </w:r>
    </w:p>
    <w:p>
      <w:r>
        <w:t>22</w:t>
        <w:br/>
        <w:t>BULLETIN NO. 7 OF FEBRUARY 28, 2022</w:t>
      </w:r>
    </w:p>
    <w:p>
      <w:r>
        <w:t>Figure 3 - Passive Access Scenario to FiberCop50</w:t>
      </w:r>
    </w:p>
    <w:p>
      <w:r>
        <w:t>44. Other types of access to FiberCop consist of the provision of active services by TIM or another entity that has the primary network reaching the FiberCop network, in favor of operators who want to reach customers (Figure 4 below). Among the active services, there are VULA H services and Bitstream NGA. With the VULA H service, the operator owning the primary network maintains control of the segment of the connection that goes from the customer’s home to the local exchange where the collection point of the alternative telephone operator is located.</w:t>
      </w:r>
    </w:p>
    <w:p>
      <w:r>
        <w:t>45. Therefore, in the event that TIM manages the VULA H service, it will be TIM that manages all aspects of communication from the exchange to the user’s premises, including the management of the OLT at the exchange51. In this case, the “junction” between the access network of the first operator and the second occurs at the local exchange and the control of communication between the customer and the local exchange remains with the operator owning the network itself. All alternative operators using the VULA H provided by the same entity, for example TIM, share the OLT device, the primary fiber, and the FiberCop splitters, which are assigned to the operator providing the VULA H service.</w:t>
      </w:r>
    </w:p>
    <w:p>
      <w:r>
        <w:t>46. The Bitstream NGA has the same characteristics as the VULA H service, but differs in that the junction point between the network of the owning operator and that of the leasing operator does not occur at the exchange but at a “further downstream” point compared to that provided by the VULA. This junction occurs at the so-called “collection point,” which can be at the level of a local “collection area” (approximately at the provincial level) or at the level of a “macro area” (approximately at the regional level).</w:t>
      </w:r>
    </w:p>
    <w:p>
      <w:r>
        <w:t>50 See doc. 109, 127.</w:t>
      </w:r>
    </w:p>
    <w:p>
      <w:r>
        <w:t>51 Where authorized by the operator managing the VULA H service, an ONT may be installed at the user’s premises owned by the alternative operator, which must necessarily be compatible with the OLT devices chosen by the provider of the VULA H service.</w:t>
      </w:r>
    </w:p>
    <w:p>
      <w:r>
        <w:t>BULLETIN NO. 7 OF FEBRUARY 28, 2022</w:t>
      </w:r>
    </w:p>
    <w:p>
      <w:r>
        <w:t>23</w:t>
        <w:br/>
        <w:t>Figure 4 - Active Access Scenario to FiberCop52</w:t>
      </w:r>
    </w:p>
    <w:p>
      <w:r>
        <w:t>47. Essentially, since the FiberCop network is exclusively a secondary network, alternative operators present at the exchange must reach the CRO (street cabinet) to connect to this network. This implies the need to build or acquire in any capacity the primary network in order to have passive access to FiberCop. Alternatively, they may decide to have another entity that reaches the CRO manage the communication, purchasing an active service (VULA H or Bitstream NGA). In this latter situation, the alternative operator has less infrastructure as it effectively resells the telecommunications services managed by another entity.</w:t>
      </w:r>
    </w:p>
    <w:p>
      <w:r>
        <w:t>48. In this sense, TIM has confirmed that to participate in co-investment it is not necessary for the operator to be physically present at the optical cabinet (it is not necessary for it to own the primary fiber network), but it may purchase “from another co-investor, who is present at the CRO, the services necessary to transport traffic to its upstream nodes (effectively receiving a VULA-like or Bitstream-like service)”53.</w:t>
      </w:r>
    </w:p>
    <w:p>
      <w:r>
        <w:t>49. On this point, it is therefore necessary to illustrate the state of investments of operators in the primary network in order to carefully define the technological context in which it is necessary to evaluate the agreements in question (Table 2). TIM is the only entity that has a primary network capable of serving almost all cabinets and real estate units (UIT) of the FiberCop project (with percentages of 80-90% of UIT and 90-100% of cabinets in black and gray areas). In black areas, Fastweb holds primary network for about 20-30% of UIT/cabinets. The percentage of FiberCop black areas reached by at least one operator other than TIM and Fastweb is less than 20-30% and the presence of two or more alternative operators to TIM and Fastweb holding the primary network in black areas is virtually nonexistent. In gray areas, the presence of primary network from operators other than TIM</w:t>
      </w:r>
    </w:p>
    <w:p>
      <w:r>
        <w:t>52 See doc. 109, 127.</w:t>
      </w:r>
    </w:p>
    <w:p>
      <w:r>
        <w:t>53 See doc. 53, 57 (annex 10 - Proposal_Commitments_Coinvestment_TIM - final_29jan21_CLEAR).</w:t>
      </w:r>
    </w:p>
    <w:p>
      <w:r>
        <w:rPr>
          <w:b/>
        </w:rPr>
        <w:t>[Pages 22–24]</w:t>
      </w:r>
    </w:p>
    <w:p>
      <w:r>
        <w:t>24 BULLETIN NO. 7 OF FEBRUARY 28, 2022</w:t>
      </w:r>
    </w:p>
    <w:p>
      <w:r>
        <w:t>is virtually nonexistent, Fastweb is the only operator that reaches the highest percentage, equal to 1-10% of the UIT and cabinets.</w:t>
      </w:r>
    </w:p>
    <w:p>
      <w:r>
        <w:t>Table 2 - Statistics on the presence of primary networks of telecommunications operators54,*</w:t>
      </w:r>
    </w:p>
    <w:p>
      <w:r>
        <w:t>Black areas Gray areas</w:t>
      </w:r>
    </w:p>
    <w:p>
      <w:r>
        <w:t>Number of UIT55 subject to new infrastructure 4.79 million 4.66 million</w:t>
      </w:r>
    </w:p>
    <w:p>
      <w:r>
        <w:t>% of UIT reached by TIM's primary network [80-90%] [80-90%]</w:t>
      </w:r>
    </w:p>
    <w:p>
      <w:r>
        <w:t>% of UIT reached by Fastweb's primary network [20-30%] [1-10%]</w:t>
      </w:r>
    </w:p>
    <w:p>
      <w:r>
        <w:t>% of UIT reached by the primary network of at least one alternative operator to TIM and Fastweb [20-30%] [&lt;1%]</w:t>
      </w:r>
    </w:p>
    <w:p>
      <w:r>
        <w:t>% of UIT reached by the primary network of at least two alternative operators to TIM and Fastweb [&lt;1%] [&lt;1%]</w:t>
      </w:r>
    </w:p>
    <w:p>
      <w:r>
        <w:t>Number of cabinets subject to new infrastructure [20,000-25,000] [25,000-30,000]</w:t>
      </w:r>
    </w:p>
    <w:p>
      <w:r>
        <w:t>% of cabinets reached by TIM's primary network [90-100%] [90-100%]</w:t>
      </w:r>
    </w:p>
    <w:p>
      <w:r>
        <w:t>% of cabinets reached by Fastweb's primary network [20-30%] [1-10%]</w:t>
      </w:r>
    </w:p>
    <w:p>
      <w:r>
        <w:t>% of cabinets reached by the primary network of at least one alternative operator to TIM and Fastweb [20-30%] [&lt;1%]</w:t>
      </w:r>
    </w:p>
    <w:p>
      <w:r>
        <w:t>% of cabinets reached by the primary network of at least two alternative operators to TIM and Fastweb [&lt;1%] [&lt;1%]</w:t>
      </w:r>
    </w:p>
    <w:p>
      <w:r>
        <w:t>50. In gray areas, currently, TIM is effectively the only operator with a primary network, while in black areas, alternative operators to TIM reach a maximum of 20-30% of FiberCop areas with their primary network. This data results from the reduced interest of alternative operators to TIM in developing FTTC solutions in disaggregated access to Sub Loop Unbundling56, with the migration towards TIM's VULA/Bitstream services or towards Open Fiber services.</w:t>
      </w:r>
    </w:p>
    <w:p>
      <w:r>
        <w:t>51. The information regarding the level of primary infrastructure confirms that, without appropriate incentives for future infrastructure development by alternative operators: (i) in gray areas, alternative operators will be able to use FiberCop exclusively through the VULA H/Bitstream NGA services provided by TIM; (ii) in black areas, TIM is the only entity capable of offering VULA H/Bitstream NGA services for almost all FiberCop areas, while the possibility of having at least one alternative primary network provider to TIM is limited to less than one-third of FiberCop areas.</w:t>
      </w:r>
    </w:p>
    <w:p>
      <w:r>
        <w:t>52. In light of the data presented, it is therefore necessary to ensure that the agreements under examination provide adequate incentives for alternative operators to invest in primary network infrastructure, given that the currently observed dynamics show a low level of primary infrastructure, consisting of the laying or acquisition of rights on primary optical fiber and the use of their own OLT devices.</w:t>
      </w:r>
    </w:p>
    <w:p>
      <w:r>
        <w:t>IV.4. Contracts entered into by the Parties</w:t>
      </w:r>
    </w:p>
    <w:p>
      <w:r>
        <w:t>IV.4.a. The contract entered into with Fastweb</w:t>
      </w:r>
    </w:p>
    <w:p>
      <w:r>
        <w:t>53. On September 1, 2020, Fastweb, TIM, and Teemo entered into a "Commitment Letter" (hereinafter, "MoU Fastweb")57 whereby the companies established (i) the transfer of the share of Flash Fiber held by Fastweb (equal to 20%) to FiberCop, in exchange for a 4.5% share of FiberCop's stock and (ii) the signing of a Master Service Agreement ("Fastweb MSA") with a duration of fifteen years, automatically renewable for another fifteen years. According to the MoU Fastweb, FiberCop will provide access services to the secondary network (semi-GPON), but also access services to the primary and secondary network (full-GPON, with the primary network to be provided by TIM) and point-to-point services. The price for a single secondary line is €8.50/month, the activation charges for the line will be €70, while the deactivation charges will be €20. An automatic and co-determined adjustment mechanism for the charges starting from the year 2030 based on the general ISTAT index is also provided.</w:t>
      </w:r>
    </w:p>
    <w:p>
      <w:r>
        <w:t>54. Regarding guaranteed minimums, from 2023 Fastweb must ensure FiberCop a guaranteed minimum number of lines that will have a steady state of [1-1.25] million active lines in black areas58. From 2032 to 2035, FiberCop will be the preferred supplier in black areas, and Fastweb will not be able to migrate its customers to the networks of other operators. Fastweb can meet this guaranteed minimum either through passive access (with its own primary optical fiber lines) or with active accesses provided by TIM (VULA FTTH). If Fastweb does not reach the guaranteed minimum in black areas, it may partially compensate the target with FTTH lines and copper lines in black, gray, and white areas, for a maximum of 30% of the guaranteed minimums.</w:t>
      </w:r>
    </w:p>
    <w:p>
      <w:r>
        <w:t>55. According to Fastweb's internal documents59, the agreement in question will have different effects concerning three distinct geographical areas of application60: (a) in the Flash Fiber areas ("FF footprint"), Fastweb will have access in continuity with the Flash Fiber conditions; (b) in areas where Fastweb already has its primary network ("FTTS areas"), passive access to FiberCop can be obtained through the reuse of primary networks; (c) in areas called "OF areas," Fastweb does not have a primary network and uses TIM's active services (VULA), Fastweb's business plan anticipated purchasing FTTH services from Open Fiber as soon as they become available. With the agreement, therefore, Fastweb will remain on the FiberCop-TIM network and "may therefore decide to remain on an active service (without significant investments) for a longer period, this decision [to switch to passive services] can be made when the commercial results are visible and central office by central office"61.</w:t>
      </w:r>
    </w:p>
    <w:p>
      <w:r>
        <w:t>IV.4.b. The contracts entered into with Tiscali</w:t>
      </w:r>
    </w:p>
    <w:p>
      <w:r>
        <w:t>56. On August 27, 2020, Tiscali and TIM entered into a Memorandum of Understanding (hereinafter, "MoU Tiscali") whereby they intended to "outline the essential terms of the agreements reached for the establishment of a strategic partnership aimed at developing the UBB market - concerning both consumer and business customers in its various segments - through Tiscali's participation in the aforementioned co-investment project, which will be defined, in the forms and definitive contents, in one or more subsequent binding contracts (also in the form of a letter of commitments)"62. The project involved the decommissioning and rationalization of Tiscali's infrastructures, with the consequent migration to a Bitstream NGA resale service. At the same time, the agreements provided for the activation/migration on the FiberCop network of a significant share of Tiscali accesses, "in any case not less than [300,000 - 500,000] FTTH lines by December 31, 2031, provided that the definitive contracts will include minimum annual thresholds"63.</w:t>
      </w:r>
    </w:p>
    <w:p>
      <w:r>
        <w:t>57. On the same day (August 27, 2020), TIM and Tiscali also signed a Strategic Partnership Agreement64 (hereinafter, "Strategic Partnership") with which they intended to integrate the essential terms of the MoU Tiscali and whose signing is an essential condition for its effectiveness. In the Strategic Partnership, TIM commits to applying a reduction in the monthly fee for the infrastructure services provided to Tiscali, provided that the infrastructure transformation plan is respected. Tiscali has committed "to initiate a migration project of its entire migrable customer base to TIM's UBB network, prioritizing FTTH technology where already available and, pending the development of FiberCop's FTTH network, on TIM's FTTC technology."65 In execution of these agreements, TIM and Tiscali signed on November 20, 2020, the "TIM-Tiscali Co-investment Contract"66 and the "TIM-Tiscali Rationalization Contract"67. The binding nature of the TIM-Tiscali Co-investment Contract is therefore</w:t>
      </w:r>
    </w:p>
    <w:p>
      <w:r>
        <w:rPr>
          <w:b/>
        </w:rPr>
        <w:t>[Pages 25–27]</w:t>
      </w:r>
    </w:p>
    <w:p>
      <w:r>
        <w:t>BULLETIN NO. 7 OF FEBRUARY 28, 2022</w:t>
      </w:r>
    </w:p>
    <w:p>
      <w:r>
        <w:t>significantly high both with reference to the current customers of Tiscali and with reference to those expected in the future68.</w:t>
      </w:r>
    </w:p>
    <w:p>
      <w:r>
        <w:t>IV.5. The co-investment project proposed by TIM</w:t>
      </w:r>
    </w:p>
    <w:p>
      <w:r>
        <w:t>58. On January 29, 2021, TIM submitted to the Authority for Communications Guarantees (hereinafter also “AGCOM”) and simultaneously published a co-investment offer pursuant to Article 76 of Directive (EU) 2018/1972 of the European Parliament and of the Council of December 11, 2018 (new European Electronic Communications Code)69. The plan provides for the realization of a new ultra-high-capacity fiber optic infrastructure “point-to-point”, in secondary access network in 1,610 municipalities, with FTTH secondary access network and, residually, FTTB. The target coverage in each municipality will be approximately 75-80% and will allow reaching, in total, 12.9 million UIT (Technical Real Estate Units) out of a total of 16.5 million in the municipalities, thus accounting for 75% of UIT in gray and black areas (excluding the municipality of Milan, not included in TIM's offer). The implementation of the plan will be completed by 2025.</w:t>
      </w:r>
    </w:p>
    <w:p>
      <w:r>
        <w:t>59. Access to co-investment by operators is open. They can choose to participate in the co-investment by committing to purchase a “guaranteed minimum” of accesses, assuming a fully predefined financial commitment ex ante, or it may consist of the immediate purchase of dedicated infrastructure in IRU (splitter) which, in exchange for this initial contribution, will guarantee them the option to access in the future (for the entire duration of the IRU) the usage prices of the Semi-GPON provided for co-investors, without minimum constraints.</w:t>
      </w:r>
    </w:p>
    <w:p>
      <w:r>
        <w:t>60. To join the co-investment, it is not necessary for the operator to be physically present at the optical cabinet (it is not necessary for them to hold the primary fiber network), but they may purchase “from another co-investor, who is present at the CRO, the necessary services to transport traffic to their upstream nodes (effectively receiving a VULA-like or Bitstream-like service)”70.</w:t>
      </w:r>
    </w:p>
    <w:p>
      <w:r>
        <w:t>61. The geographical entry threshold for joining the co-investment consists of an entire municipality, but for municipalities with a number of UIT greater than 75,000 (corresponding to an ISTAT population of over approximately 200,000 inhabitants), TIM may evaluate requests for membership for fractions of the municipality. For each municipality, if an IRU-based membership mode71 of the splitter is chosen, splitters must be requested for each cabinet, while in the mode with guaranteed minimum “pay-per-use”, there will be a minimum constraint of lines equal to 10% of UIT (Figure 5), or equal to 1% in the case of small operators (with a maximum market share of 5%). Such volume commitments will have a duration of ten years, while the purchase of the IRU on the splitter has a duration of twenty years.</w:t>
      </w:r>
    </w:p>
    <w:p>
      <w:r>
        <w:t>62. The price in IRU for twenty years of the Access to the CRO service is €3,500 for each CRO for all the years of infrastructure implementation (2021-2025), to which are added the costs of individual lines and activation costs. For each CRO, a maximum of two primary splitters can be acquired. The payment of the IRU, in fact, only determines the absence of a guaranteed minimum, but operators will still have to pay the prices for individual lines, similar to the co-investment mode with guaranteed minimum. In particular, the prices for the lines will depend on the year of membership. These prices will be applied up to a maximum level equal to 110% of the guaranteed minimum lines, similarly to what was applied to Fastweb regarding 150% of the guaranteed minimum lines. It is expected that from January 1, 2030, all fees and activation/deactivation contributions will be adjusted to the annual inflation rate (CPI – Consumer Price Index), currently estimated at 1.6% per annum and within a range (max 2%, min 0.75%).</w:t>
      </w:r>
    </w:p>
    <w:p>
      <w:r>
        <w:t>Table 3 - Prices of access services to the Semi-GPON proposed by TIM73</w:t>
      </w:r>
    </w:p>
    <w:p>
      <w:r>
        <w:t>Contribution of Monthly fee Contribution of Year of activation (€) (€/month) applicable deactivation (€) applicable for the duration of applicable for the duration co-investor of the co-investment** of the co-investment**</w:t>
      </w:r>
    </w:p>
    <w:p>
      <w:r>
        <w:t>2021 8.50 € 70.0 € 20.0</w:t>
        <w:br/>
        <w:t>2022 8.71 € 71.0 € 20.3</w:t>
        <w:br/>
        <w:t>2023 8.93 € 72.0 € 20.6</w:t>
        <w:br/>
        <w:t>2024 9.16 € 73.0 € 20.9</w:t>
        <w:br/>
        <w:t>2025 9.39 € 74.1 € 21.2</w:t>
        <w:br/>
        <w:t>from 2026 Price not indicated by TIM</w:t>
      </w:r>
    </w:p>
    <w:p>
      <w:r>
        <w:t>63. TIM's investment proposal published on January 29, 2021, appears partially different from what was originally intended to be proposed74. In fact, from the internal documentation, TIM's intention to include active services in the co-investment offer emerges175. It should also be noted that, on March 29, 2021, TIM published on its wholesale portal an offer called “Introduction of functionalities enabling the activation of FTTH accesses”76, available nationwide starting from July 202177. These functionalities allow the provision of active services by TIM, effectively equal to VULA H and Bitstream NGA, although formally alternative operators access FiberCop in a disaggregated manner78 (Figure 6). The price of these functionalities is €3.90/month per line, with an activation cost of €5.94.</w:t>
      </w:r>
    </w:p>
    <w:p>
      <w:r>
        <w:t>64. TIM also stated that the only differences found between these enabling functions and active services concern exclusively the process – as using the enabling functions will require two contracts, one regarding primary network services (enabling functions) and one regarding access to the secondary network of FiberCop – while “from a technical-performance perspective, VULA H and the service constituted by the new functionalities and the semi-GPON are substantially similar at a technical-qualitative level”79, with TIM managing the communication between OLT and ONT (thus the communication between primary and secondary network) and “the sharing of primary fiber lines and the splitter among two or more operators who simultaneously benefit from the service on the same CRO”80.</w:t>
      </w:r>
    </w:p>
    <w:p>
      <w:r>
        <w:rPr>
          <w:b/>
        </w:rPr>
        <w:t>[Pages 28–30]</w:t>
      </w:r>
    </w:p>
    <w:p>
      <w:r>
        <w:t>30 BULLETIN NO. 7 OF FEBRUARY 28, 2022</w:t>
      </w:r>
    </w:p>
    <w:p>
      <w:r>
        <w:t>Figure 6 - Operational scheme of enabling functionalities81</w:t>
      </w:r>
    </w:p>
    <w:p>
      <w:r>
        <w:t>65. On April 21, 2021, TIM published some additions to the co-investment offer. Among the main elements that emerge from the addition is the circumstance that "starting from 2021, access to the services of the new FiberCop network for non-co-investors (and for co-investors in areas where they decide not to co-invest) will be guaranteed by TIM through the use of active VULA-H and FTTH bitstream services."</w:t>
      </w:r>
    </w:p>
    <w:p>
      <w:r>
        <w:t>66. With Resolution No. 110/21/CONS82, published on April 22, 2021, AGCOM initiated a public consultation on TIM's co-investment project presented on January 29, 2021, subsequently modified on March 25, 2021. Following the market consultation, AGCOM sent TIM, on August 27, 2021, a communication of its preliminary conclusions, expressing preliminary regulatory assessments and requesting some modifications aimed at making the commitments compatible with the CECE. On these requests, on September 30, 2021, the Authority expressed an opinion pursuant to Article 22 of Law No. 287/9083. After the modifications made by TIM84, the co-investment offer was deemed admissible.</w:t>
      </w:r>
    </w:p>
    <w:p>
      <w:r>
        <w:t>81 See doc. 152.</w:t>
      </w:r>
    </w:p>
    <w:p>
      <w:r>
        <w:t>82 See AGCOM Resolution No. 110/21/CONS titled "Initiation of the investigative procedure and public consultation concerning the proposal of commitments presented by TIM pursuant to Articles 76 and 79 CCEE regarding co-investment in ultra-high-capacity networks."</w:t>
      </w:r>
    </w:p>
    <w:p>
      <w:r>
        <w:t>83 S4307 - AGCOM/Co-investment proposal presented by TIM.</w:t>
      </w:r>
    </w:p>
    <w:p>
      <w:r>
        <w:t>84 In particular, the modifications introduced by TIM concern: (i) the exclusion from the co-investment perimeter of the Flash Fiber areas, as they do not meet the requirement of new network under the CECE; (ii) the elimination from the co-investment offer of references to services that fall outside the secondary network; (iii) the provision, in addition to the models already presented, of an additional model of adherence to co-investment based on a more structured IRU, including access to the optical cabinet and the secondary network, in the form of a "capacity IRU"; (iv) the extension from 7 to 10 years of the time window to adhere to the co-investment; (v) the indication of the procedure to be followed to evaluate any requests for participation in the shareholding of FiberCop and any local corporate vehicles; (vi) the introduction of greater co-determination prerogatives for co-investors in the rollout of the project through a more articulated governance proposal of the Technical Committee of Co-investors; (vii) the introduction of a commitment to publish updated information on the progress of the project on a semi-annual basis (list of municipalities subject to the investment plan, number of operators who have already adhered, and committed/available capacity in individual municipalities/central areas) and to the annual publication of all necessary information (technical and economic) related to the ancillary services to the SemiGPON service; (viii) the provision of greater granularity of the thresholds for adherence to co-investment, through: (a) the introduction, in addition to the initial profile (with the possibility of requesting up to 64 Semi-GPON accesses in pay-per-use without a guaranteed minimum), of a new "entry-level" access profile to the CRO in IRU for 20 years that allows requesting up to 16 Semi-GPON accesses at the price of 1,400 Euros; (b) reduction of the minimum commitment for the purchase of Semi-GPON accesses in pay-per-use from 10% to 8% of the UIT covered by the FiberCop plan in the area chosen by the co-investor (municipalities or fractions of large municipalities); (ix) the willingness to evaluate, for facilities not yet built, requests from co-investors with specific needs regarding a larger size of the CRO and the number of primary splitters to be used, taking into account the consequent impacts on costs and construction times; (x) the elimination of the geographical threshold of the entire municipality for adherence to co-investment based on access to the CRO in IRU and the new capacity IRU and the introduction of a threshold for "central area"; (xi) the extension from 19 to 39 of the larger cities in which FiberCop reserves the right to enter into co-investment agreements based on "guaranteed minimums" with reference to geographical areas smaller than the entire municipal coverage; (xii) the introduction of the commitment to allow co-investors the option to manage maintenance and provisioning activities on-site (so-called impulsive maintenance) with respect to passive Semi-GPON accesses with their own network companies; (xiii) the introduction of a co-investment offer for P2P connections to be provided at the optical cabinet (CRO/CNO); (xiv) the provision of compensatory protection mechanisms for co-investors in case of delays in the rollout of the fiber network exceeding certain thresholds that may lead to a reduction and/or geographical reconfiguration of purchase commitments; (xv) the clarification of the contractual regime applicable in the event of transfer or early termination (withdrawal) of the co-investment contract. See AGCOM Resolution No. 1/22/CONS titled "Initiation of the public consultation on the regulatory treatment of new VHC networks subject to co-investment in light of the evaluation of the proposal of commitments presented by TIM pursuant to Articles 76 and 79 CCEE."</w:t>
      </w:r>
    </w:p>
    <w:p>
      <w:r>
        <w:t>85 See AGCOM Resolution No. 1/22/CONS titled "Initiation of the public consultation on the regulatory treatment of new VHC networks subject to co-investment in light of the evaluation of the proposal of commitments presented by TIM pursuant to Articles 76 and 79 CCEE."</w:t>
      </w:r>
    </w:p>
    <w:p>
      <w:r>
        <w:t>86 S4392 – AGCOM/Regulatory treatment of new VHC networks.</w:t>
      </w:r>
    </w:p>
    <w:p>
      <w:r>
        <w:t>87 See doc. 84, 115.</w:t>
      </w:r>
    </w:p>
    <w:p>
      <w:r>
        <w:t>32 BULLETIN NO. 7 OF FEBRUARY 28, 2022</w:t>
      </w:r>
    </w:p>
    <w:p>
      <w:r>
        <w:t>69. TIM believes that the FiberCop project can accelerate the take-up of FTTH networks and the shutdown of copper networks, further increasing transparency guarantees through corporate separation. It would also strengthen the competitive capacity of OLOs (including Fastweb and Tiscali) and the competitiveness of wholesale and retail markets, without reducing incentives for infrastructure investment in primary for those OLOs that (like Fastweb) have the propensity and plans in this direction and without unnecessary competitive restrictions to achieve the efficiencies of the infrastructure project88.</w:t>
      </w:r>
    </w:p>
    <w:p>
      <w:r>
        <w:t>70. According to TIM, therefore, the publication of the co-investment offer would be suitable to dispel any concerns of the Authority expressed in the initiation measure89. In particular, co-investors can choose to adhere to the co-investment in areas (Municipalities) of geographical extension smaller than the entire FiberCop plan, thus allowing even smaller operators to invest in the local realities in which they are most rooted, or for other operators to differentiate their strategy on a geographical basis, combining the co-investment services offered by FiberCop. An additional element of flexibility of the FiberCop project is constituted by the option for co-investors to transfer, in whole or in part, the acquired rights to use the infrastructure (in IRU or pay per use with a guaranteed minimum). It is expected that co-investors will be able to benefit from forms of co-determination in the various phases of the implementation of the FiberCop plan, being able to effectively contribute to the identification of the areas/Municipalities deemed priority within the FiberCop implementation plan.</w:t>
      </w:r>
    </w:p>
    <w:p>
      <w:r>
        <w:t>71. The economic structure of prices, in TIM's opinion90, is such as to guarantee the assumption of the necessary and essential risk for a co-investment project, leaving ample choice to the potential co-investor OAO; on the other hand, it creates for co-investors (both for those adhering in IRU mode and for those assuming guaranteed minimums) an incentive to compete aggressively in downstream markets (wholesale and retail) in order to maximize the return on investment made by the OAO co-investor on the new network.</w:t>
      </w:r>
    </w:p>
    <w:p>
      <w:r>
        <w:t>72. The guaranteed minimums in favor of FiberCop and the long duration of the co-investment contracts would not, according to TIM, lead to effects of reducing the contestability of demand in the wholesale market to the detriment of TIM's competitors who have built their infrastructure. In the first place, in fact, such agreements would diverge from the "normal" wholesale purchase agreements that contemplate quantity discounts open to all, as they would be selectively directed to those who decide to take on the investment risk. This co-investment offer is open to all interested operators91. There would also be no effects of reducing the incentives of co-investors – particularly Fastweb – to build their own primary network as TIM has deemed it appropriate to make modifications to address the concerns of the initiation measure and has limited the co-investment offer to passive services only92.</w:t>
      </w:r>
    </w:p>
    <w:p>
      <w:r>
        <w:t>88 See doc. 116.</w:t>
      </w:r>
    </w:p>
    <w:p>
      <w:r>
        <w:t>89 See doc. 116, 164.</w:t>
      </w:r>
    </w:p>
    <w:p>
      <w:r>
        <w:t>90 See doc. 116.</w:t>
      </w:r>
    </w:p>
    <w:p>
      <w:r>
        <w:t>91 See doc. 116.</w:t>
      </w:r>
    </w:p>
    <w:p>
      <w:r>
        <w:t>92 See doc. 116.</w:t>
      </w:r>
    </w:p>
    <w:p>
      <w:r>
        <w:rPr>
          <w:b/>
        </w:rPr>
        <w:t>[Pages 31–33]</w:t>
      </w:r>
    </w:p>
    <w:p>
      <w:r>
        <w:t>BULLETIN NO. 7 OF FEBRUARY 28, 2022</w:t>
      </w:r>
    </w:p>
    <w:p>
      <w:r>
        <w:t>73. Regarding the minimum guaranteed equal to 10% of the UIT, in the technical opinion sent by TIM93, as well as in the published co-investment offer94, it is stated that this threshold has a technical reason due to the circumstance that each co-investor will have a dedicated splitter and, therefore, it is intended to avoid exhausting the space in the street cabinet (CRO) due to the undersized use of splitters.</w:t>
      </w:r>
    </w:p>
    <w:p>
      <w:r>
        <w:t>74. Fastweb believes that the nature of an infrastructure operator would, in itself, be suitable to dispel the Authority's concerns regarding the possibility that the FiberCop Project disincentivizes the realization and use of passive network infrastructures by the same95. The infrastructure path undertaken by Fastweb across the entire national territory would demonstrate its willingness to further strengthen its position as an infrastructure operator and to sell, in the meantime, telecommunications services in the retail and wholesale markets using the technologies available from time to time. However, Fastweb emphasizes that this infrastructure path is only possible if there is adequate competitive space96.</w:t>
      </w:r>
    </w:p>
    <w:p>
      <w:r>
        <w:t>75. Tiscali observes that the contracts concluded with TIM should be evaluated in the context of the company's relaunch based on the transformation of the business model into that of a smart telco, a strategic-industrial path initiated in 2016, in order to allow a swift migration of its customer base to next-generation fiber networks, focusing on the provision of retail services to consumer customers with a high rate of innovation97. Tiscali's approach aims to reduce connection and traffic management costs, as well as network investments, at a time of phasing out older technologies (ADSL). This has allowed it to concentrate its efforts on marketing services at the retail level, maintaining infrastructural availability exclusively of the backbone network, and this strategy should be contextualized within the company's relaunch project after some financial difficulties. Tiscali considers the presence of multiple operators as wholesale access providers to be very important98.</w:t>
      </w:r>
    </w:p>
    <w:p>
      <w:r>
        <w:t>99 “Under the standard co-investment option, the capacity commitment must be larger than a minimum threshold of 10% of the ITUs covered by FiberCop in the set of municipalities chosen by the co-investor. The reason for this restriction is technical. Because the space at the optical cabinet is limited, and because co-investors will rely on dedicated splitters to connect to their customers, a minimum entry threshold is necessary to avoid multiple small, and thus relatively risk-free, investments to block the capacity of a whole splitter. In this sense it is a pro-competitive measure that prevents small providers from blocking large shares of capacity that could be used to serve additional customers.” Cfr. doc. 195 (Economic Assessment of AGCM’s concerns about the FiberCop co-investment project).</w:t>
      </w:r>
    </w:p>
    <w:p>
      <w:r>
        <w:t>94 “The technical ‘entry threshold’ for joining the co-investment applies – for one or more municipalities in which the co-investor has adhered to the offer – in the case where the co-investor requests access to the Semi-GPON on a ‘pay-per-use’ basis based on the ‘minimum guaranteed’ and, therefore, without purchasing the IRU of the devices in the optical cabinet. In fact, the use of even a single access of Semi-GPON on a ‘pay-per-use’ basis by a co-investor requires the dedicated use of one of the splitters of the optical cabinet which, therefore, can no longer be used for other purposes. Therefore, the entry threshold for the ‘minimum guaranteed’ of the Semi-GPON on a ‘pay-per-use’ basis is equal to 10% of the UIT covered in the set of municipalities chosen by the co-investor.” Cfr. doc. 53, 57 (annex 10 - Proposal_Commitments_Co-investment_TIM - final_29jan21_CLEAR).</w:t>
      </w:r>
    </w:p>
    <w:p>
      <w:r>
        <w:t>95 Cfr. doc. 286.</w:t>
      </w:r>
    </w:p>
    <w:p>
      <w:r>
        <w:t>96 Cfr. doc. 286.</w:t>
      </w:r>
    </w:p>
    <w:p>
      <w:r>
        <w:t>97 Cfr. doc. 208.</w:t>
      </w:r>
    </w:p>
    <w:p>
      <w:r>
        <w:t>98 Cfr. doc. 208.</w:t>
      </w:r>
    </w:p>
    <w:p>
      <w:r>
        <w:t>34 BULLETIN NO. 7 OF FEBRUARY 28, 2022</w:t>
      </w:r>
    </w:p>
    <w:p>
      <w:r>
        <w:t>VI. CONSIDERATIONS OF THIRD PARTIES</w:t>
      </w:r>
    </w:p>
    <w:p>
      <w:r>
        <w:t>76. Open Fiber99 believes that the FiberCop project does not have the characteristics of a co-investment under the European Electronic Communications Code, as it would lack the minimum characteristics100 and would pose significant competitive issues in various respects. The same opinion is held by AIIP101, Vodafone102, Wind Tre103, and Sky Italia104.</w:t>
      </w:r>
    </w:p>
    <w:p>
      <w:r>
        <w:t>77. According to Open Fiber105, the FiberCop project presents characteristics that would reduce the competitive capacity of alternative operators to TIM, favoring the strengthening of TIM's dominance in both wholesale and retail markets. Similar considerations are made by Vodafone106 and Wind Tre107. Furthermore, Open Fiber observes that the minimum guarantees of 10% of the Technical Real Estate Units in each area would effectively block about 16% of the retail market share, or almost the entirety of the demand expressed individually by Fastweb, Vodafone, and Wind Tre, configuring a de facto exclusivity that covers almost the entire contestable market108.</w:t>
      </w:r>
    </w:p>
    <w:p>
      <w:r>
        <w:t>99 Cfr. doc. 93, 96.</w:t>
      </w:r>
    </w:p>
    <w:p>
      <w:r>
        <w:t>100 That is, (i) the presence of a structural character even where there is no true common vehicle, which translates into the need to have purchase agreements that have specific structural rights; (ii) the need to promote sustainable competition in the long term; (iii) investments in new networks affecting areas where there are insufficient investments and not in areas where infrastructure competition is already appreciable; (iv) a significant degree of co-determination of choices regarding network development; (v) transparent and non-discriminatory co-investment offers.</w:t>
      </w:r>
    </w:p>
    <w:p>
      <w:r>
        <w:t>101 AIIP considers it critical that the agreements have already predetermined all aspects that should be co-determined in such a project, such as the coverage scope and civic addresses, rollout timelines, and the network structure based on GPON architecture, which is less independent than a point-to-point structure. Cfr. doc. 198.</w:t>
      </w:r>
    </w:p>
    <w:p>
      <w:r>
        <w:t>102 Vodafone observes that the structure of the operation guarantees TIM full control of FiberCop and the services of design, creation, activation, and maintenance. TIM has therefore designed a structure aimed at maintaining and strengthening its dominance, with an increase in barriers to entry for retail operators, discouraging investments. Cfr. doc. 200.</w:t>
      </w:r>
    </w:p>
    <w:p>
      <w:r>
        <w:t>103 Cfr. doc. 214. Wind Tre observes that design issues, such as the distance of the connection, are decisive for the economies of scale of operators, as the possibility of reaching more customers with a single connection and a single device (OLT) allows for lowering barriers to entry; the solution adopted in the agreements, therefore, would advantage TIM (which already has the entire primary network and devices), and, to some extent, Fastweb, compared to other operators; moreover, “TIM's approach to co-investment is that it has already decided with Fastweb and Tiscali the methods and conditions of the co-investment, benefiting only a small group of operators at the expense of other operators, such as Open Fiber and W3.” (cfr. doc. 214).</w:t>
      </w:r>
    </w:p>
    <w:p>
      <w:r>
        <w:t>104 Cfr. doc. 241.</w:t>
      </w:r>
    </w:p>
    <w:p>
      <w:r>
        <w:t>105 Cfr. doc. 93, 96.</w:t>
      </w:r>
    </w:p>
    <w:p>
      <w:r>
        <w:t>106 According to Vodafone, “the provision of increasing rates beyond the threshold of 110% constitutes a disincentive to expand its customer base and to achieve economies of scale. In Vodafone's opinion, it is as if TIM, the only entity that would not be limited by this threshold due to the scale it currently achieves, has the intention of limiting or controlling the expansion capacity of its competitors. The offer in IRU, then, does not constitute a real alternative, as the initial financial commitment is so high that neither TIM nor Fastweb has chosen it.” Cfr. doc. 200.</w:t>
      </w:r>
    </w:p>
    <w:p>
      <w:r>
        <w:t>107 Cfr. doc. 214.</w:t>
      </w:r>
    </w:p>
    <w:p>
      <w:r>
        <w:t>108 Cfr. doc. 93, 96. Wind Tre also observes that “with long-term minimum guarantees, the possibility of sourcing from alternative operators, such as Open Fiber, would be limited, where these operators would build networks and begin marketing their services before FiberCop. This is a concrete case since FiberCop will build the network in 57 cities, most of which Open Fiber is already present in or will be shortly. This risks, in W3's opinion, disincentivizing healthy competition based on investments, as it removes the return on investment from other operators.” (cfr. doc. 214).</w:t>
      </w:r>
    </w:p>
    <w:p>
      <w:r>
        <w:t>BULLETIN NO. 7 OF FEBRUARY 28, 2022</w:t>
      </w:r>
    </w:p>
    <w:p>
      <w:r>
        <w:t>78. Similarly, Vodafone believes that the provisions in question significantly reduce the contestability of customers that can be acquired by Open Fiber – as the FiberCop infrastructure project completely overlaps with Open Fiber for the first 57 cities – and reduce the infrastructure incentives for Fastweb, also having a slowing effect on fiber construction109.</w:t>
      </w:r>
    </w:p>
    <w:p>
      <w:r>
        <w:t>79. AIIP observes that, although the minimum guarantees are on a local basis, they can be compensated across the entire national territory, effectively favoring national operators and disincentivizing local infrastructure, favoring the use of active services110. Irideos believes that the 1% constraint does not allow small operators, especially those specialized in business customers, to compete.</w:t>
      </w:r>
    </w:p>
    <w:p>
      <w:r>
        <w:t>80. Furthermore, Open Fiber observes that the scope of FiberCop, limited to the secondary network portion, is a complement to TIM's primary network and, in light of the limited presence of primary network from other operators, a (new) bottleneck for access to the portion of the network intended for co-investment will be created111. Similar considerations have been expressed by Irideos112 and Vodafone, which believes that, due to the uneconomic nature of building the primary network, the project favors TIM as the almost sole provider of access services in both primary and secondary networks113. AIIP observes that the agreements in question could discourage investments and infrastructure competition, with the consequence that the only way to provide services is to become a mere reseller of TIM's connection114.</w:t>
      </w:r>
    </w:p>
    <w:p>
      <w:r>
        <w:t>81. AIIP believes that the project currently proposed by TIM as FiberCop and implemented by Fastweb and Tiscali appears to be merely a re-proposition and evolution of the Cassiopea project of</w:t>
      </w:r>
    </w:p>
    <w:p>
      <w:r>
        <w:t>109 Therefore, “it seems counterproductive to set minimum guarantees too high if there is no real co-investment and real network construction in co-determined modes. The minimum guarantees should be reduced or the investment mechanism should be reviewed.” Cfr. doc. 200.</w:t>
      </w:r>
    </w:p>
    <w:p>
      <w:r>
        <w:t>110 According to Vodafone, “since demand is captured through FiberCop, well before construction begins, incentives to expedite laying and modernization activities are reduced. In fact, even if one were to arrive late, FiberCop would not lose customers, already captured by the minimum guarantees and preference clauses.” Cfr. doc. 198.</w:t>
      </w:r>
    </w:p>
    <w:p>
      <w:r>
        <w:t>111 According to Open Fiber, in fact, “the share of the primary network controlled by TIM is absolutely priority and therefore it follows that everyone will have to depend on TIM for large areas of the co-investment project. This is an additional element that severely limits the autonomy of co-investors and consequently their competitive pressure in wholesale and retail markets.” Cfr. doc. 93.</w:t>
      </w:r>
    </w:p>
    <w:p>
      <w:r>
        <w:t>112 According to Irideos, “the FiberCop project worsens the competitive conditions of the market. In fact, there is a total ineffectiveness of the separation of FiberCop, whose infrastructural scope is lower than previous corporate separation projects proposed by TIM. In fact, TIM creates a new bottleneck constituted by the primary network that is necessary for the connection of the secondary network of FiberCop. In this regard, FW and Tiscali enjoy asymmetric conditions compared to other operators, based mainly on active services, thereby demonstrating that the structure of the project imposes serious limits on competition and effectively imposes a model of resale of active services. What happens, in fact, is that the agreements determine a real “disinvestment scale,” contrary to the logic of competition based on investments, in which an operator has no economic incentive to invest in network segments since the active services provided by TIM are more advantageous and do not allow covering infrastructure costs.” Cfr. doc. 202.</w:t>
      </w:r>
    </w:p>
    <w:p>
      <w:r>
        <w:t>113 According to Vodafone, therefore, “this is a project that, considering the structure of FiberCop and the contractual conditions, effectively discourages infrastructure and strengthens TIM as the only entity providing wholesale services, predominantly of an active type.” Cfr. doc. 200.</w:t>
      </w:r>
    </w:p>
    <w:p>
      <w:r>
        <w:t>114 According to AIIP, this circumstance appears critical, as control of the infrastructure is “essential for having resilience and commercial margins, both for quality and for the development of services. Relying on mere active services leads to a flattening of quality levels, as well as a dependence on the provider of the active service (which for example determines the interruption of service when the provider goes down).” Cfr. doc. 198.</w:t>
      </w:r>
    </w:p>
    <w:p>
      <w:r>
        <w:rPr>
          <w:b/>
        </w:rPr>
        <w:t>[Pages 34–36]</w:t>
      </w:r>
    </w:p>
    <w:p>
      <w:r>
        <w:t>36 BULLETIN NO. 7 OF FEBRUARY 28, 2022</w:t>
      </w:r>
    </w:p>
    <w:p>
      <w:r>
        <w:t>TIM115. Vodafone116 and Irideos117 observe that the absence of a primary network by alternative operators and the use of active services could lead to the risk of having exclusively very high minimum purchase targets, without real infrastructure and investment, reiterating logics of reducing the contestability of demand based on the provision of active services.</w:t>
      </w:r>
    </w:p>
    <w:p>
      <w:r>
        <w:t>VII. COMMITMENTS</w:t>
      </w:r>
    </w:p>
    <w:p>
      <w:r>
        <w:t>VII.1. Commitments presented by the Parties</w:t>
      </w:r>
    </w:p>
    <w:p>
      <w:r>
        <w:t>VII.1.a. Tiscali</w:t>
      </w:r>
    </w:p>
    <w:p>
      <w:r>
        <w:t>82. Tiscali submitted, on August 4, 2021, commitments pursuant to Article 14-ter of Law No. 287/90118, consisting of: (1) the formal termination of the co-investment contract signed by the Company and TIM, along with the commitment not to exceed – should a new co-investment contract be signed – the overall threshold of [200,000-400,000] lines by the expiration of the ten-year co-investment contract that may be signed by Tiscali; (2) the signing of a new version of the rationalization contract that eliminates any connection with the co-investment contract and with a reduction of the minimum quantity of lines from [omitted] to [omitted], equal to [20-30%].</w:t>
      </w:r>
    </w:p>
    <w:p>
      <w:r>
        <w:t>83. Tiscali believes that the commitments are suitable to effectively eliminate all concerns raised by the Authority and are capable of full and timely implementation by Tiscali, as well as easily verifiable. Specifically, Tiscali claims to have reduced the competitive risks identified by the Authority, making demand more contestable as the minimum purchase obligations have been limited and the formal termination of the co-investment contract based on active services has been executed.</w:t>
      </w:r>
    </w:p>
    <w:p>
      <w:r>
        <w:t>VII.1.b. TIM</w:t>
      </w:r>
    </w:p>
    <w:p>
      <w:r>
        <w:t>84. TIM transmitted, on August 6, 2021, the form for the submission of commitments pursuant to Article 14-ter of Law No. 287/90119, with a duration until December 31, 2031. In particular, the commitments aimed at addressing the Authority's concerns are articulated as follows:</w:t>
      </w:r>
    </w:p>
    <w:p>
      <w:r>
        <w:t>Commitment No. 1: Ensure certain timelines for the realization of the Fibercop network and its actual availability for marketing purposes. The commitment consists of realizing a minimum number of connections to the UIT (realization of the termination points referred to as PTE) equal to those indicated in Table 4 below. Where objective, unforeseen causes independent of TIM and FiberCop (for example, local administrative impediments) prevent the achievement of the annual targets subject to the commitment, TIM will proceed to a re-scheduling of the subsequent annual targets in order to preserve the cumulative target and its progression and timing as much as possible. Verification mechanisms are also provided, through an independent third party, and the publication on the FiberCop portal, by January 31 of each year, of data on the marketability of all UIT reported by TIM as realized as of December 31 of the previous year.</w:t>
      </w:r>
    </w:p>
    <w:p>
      <w:r>
        <w:t>Table 4 – Infrastructure Objectives</w:t>
      </w:r>
    </w:p>
    <w:p>
      <w:r>
        <w:t>Year 2021 2022 2023 2024 2025 2026</w:t>
        <w:br/>
        <w:t>Total UIT [4,000,000- [6,000,000- [8,000,000- [10,000,000- [11,500,000- [12,500,000-</w:t>
        <w:br/>
        <w:t>FTTH FC 6,000,000] 8,000,000] 10,000,000] 11,500,000] 12,500,000] 13,500,000]</w:t>
      </w:r>
    </w:p>
    <w:p>
      <w:r>
        <w:t>Commitment No. 2: Facilitate the construction of the primary network by co-investors in municipalities where the Flash Fiber fiber network is not present (“lease and buy”). In municipalities other than those where the Flash Fiber fiber network is present, TIM commits – for five years from the approval of the Commitments – to provide operators requesting access to the CRO splitter with at least one fiber in the passive primary network for twenty years through four options that allow acquisition on a pay-per-use basis (with a minimum number of lines) or through IRU, with and without guaranteed minimums. The acquisition of the fibers subject to this commitment is guaranteed only if requested within six months from the approval of the commitments.</w:t>
      </w:r>
    </w:p>
    <w:p>
      <w:r>
        <w:t>Commitment No. 3: Offer a discount on additional fibers for the realization of fiber in the primary network in the 29 Flash Fiber municipalities. Due to the different structure of the Flash Fiber network, which requires four primary fibers for each connection to the secondary network, TIM commits to transfer to operators wishing to connect to the CNO, in IRU for twenty years, simultaneously four primary network fibers, with a discount compared to the Regulated Offer. TIM commits – where not already available – to lay the necessary optical fiber cables to connect the requested CNOs. Commitment No. 3 has a duration of five years from the approval of the Commitments.</w:t>
      </w:r>
    </w:p>
    <w:p>
      <w:r>
        <w:t>Commitment No. 4: Allow non-co-investor operators access to the passive Semi-GPON service on a pay-per-use basis. TIM commits to provide non-co-investors, starting in 2026, the passive access service Semi-GPON (a) on a pay-per-use basis at the price of €10.40 per month in the years 2026-2029 and at an undefined price (“market price”) for subsequent years; access can only occur using TIM's active enabling services (b) through direct access to the CRO, subject to technical verification of the availability of the splitters, through the purchase of the splitter in IRU for twenty years.</w:t>
      </w:r>
    </w:p>
    <w:p>
      <w:r>
        <w:t>Commitment No. 5: Entry-level IRU profile. Take all necessary actions so that FiberCop offers the co-investor acquiring access services to the CRO with the IRU mode for twenty years, as an alternative to the current IRU profile that allows connecting up to 64 customers, another access profile to the CRO in IRU for sixteen customers, at a maximum price of €1,400.</w:t>
      </w:r>
    </w:p>
    <w:p>
      <w:r>
        <w:t>Commitment No. 6: Increase the threshold of excess flexibility for the application of the price provided in relation to the guaranteed minimum and take all necessary actions so that FiberCop proposes to Fastweb the consequent revision of the Fastweb Service Agreement. For co-investors, the threshold beyond which increased costs (from €8.50 to €10.40) for access to the secondary network will apply will vary from 110% to 115%; for Fastweb, the threshold will be [135-145%]. Furthermore, it is expected that for volumes between 115% and 130% (for Fastweb between [135-145%] and [150-160%]), the price increase will be 5% (a price of €8.92 instead of €10.40/line).</w:t>
      </w:r>
    </w:p>
    <w:p>
      <w:r>
        <w:t>Commitment No. 7: Grant co-investors the ability to install their own optical network termination at the end customer’s premises. The commitment consists of granting each co-investor the ability to install their own ONTs at their end customers, subject to appropriate technical compatibility checks with the OLT installed at the geographically competent TIM exchange. To this end, TIM commits to define and propose to AGCOM a technical compatibility verification procedure within six months from the date of approval of the Commitments. Within twelve months from the publication of the aforementioned procedure, interested operators may request certification of their ONTs, both external and integrated into the modem. Furthermore, TIM commits to publish and periodically update a list of ONTs already certified by the Company, for which the absence of technological obstacles to communications with the OLTs installed at TIM exchanges will thus be guaranteed ex ante. The use of one of the specific certified internal or external ONTs will therefore represent a time and cost advantage for co-investors.</w:t>
      </w:r>
    </w:p>
    <w:p>
      <w:r>
        <w:t>Commitment No. 8: Clarify in advertising and commercial communications regarding its retail service offers on the FTTH network that consumers remain free to install modems not provided by TIM for internet connections. TIM commits to ensure that advertising and commercial communications regarding its retail service offers on the FTTH network have an even clearer and more explicit content, eliminating any possible ambiguity regarding the fact that consumers who adhere to such an offer, while being able to rent or purchase the required modems from TIM for internet connections, are still free to install modems not provided by TIM.</w:t>
      </w:r>
    </w:p>
    <w:p>
      <w:r>
        <w:t>Commitment No. 9: Narrow the scope of TIM's offer to only passive services. TIM commits to exclude active services from the scope of the co-investment.</w:t>
      </w:r>
    </w:p>
    <w:p>
      <w:r>
        <w:t>Commitment No. 10: Allow co-investors to autonomously manage customer activation activities (delivery) and technical assistance (assurance) regarding fiber accesses. TIM commits to grant co-investors the ability to autonomously manage all their delivery and assurance activities regarding fiber accesses.</w:t>
      </w:r>
    </w:p>
    <w:p>
      <w:r>
        <w:t>Commitment No. 11: Establish, together with representatives of Fibercop and co-investors, a technical committee of co-investors. Within the committee, the development lines and any changes to the rollout plan subject to co-investment will be shared with the co-investors, a semi-annual plan that will indicate the municipalities where realizations are scheduled in the following semester and the indicative number of UIT. Co-investors will submit their proposals to FiberCop, which will be subject to joint evaluation, and may indicate specific municipalities in which to prioritize the said plan, which will be taken into account by FiberCop.</w:t>
      </w:r>
    </w:p>
    <w:p>
      <w:r>
        <w:t>Commitment No. 12: Segregation of information. TIM commits to take all necessary actions so that: (i) FiberCop adopts appropriate measures to prevent the transfer of any commercially sensitive information among its shareholders; (ii) its Board of Directors adopts an antitrust compliance manual. The commitment is similar to that of FiberCop (see below).</w:t>
      </w:r>
    </w:p>
    <w:p>
      <w:r>
        <w:t>Commitment No. 13: Negotiate with Tiscali a new contract for the rationalization of the Tiscali network unlinked from the co-investment in the TIM network, in replacement of the one signed by the Parties in November 2020, with a reduction of the guaranteed minimums to [100,000-150,000] units. The commitment is similar to that proposed by Tiscali (see above).</w:t>
      </w:r>
    </w:p>
    <w:p>
      <w:r>
        <w:rPr>
          <w:b/>
        </w:rPr>
        <w:t>[Pages 37–39]</w:t>
      </w:r>
    </w:p>
    <w:p>
      <w:r>
        <w:t>BULLETIN NO. 7 OF FEBRUARY 28, 2022</w:t>
      </w:r>
    </w:p>
    <w:p>
      <w:r>
        <w:t>Commitment No. 14: Modify Article 4.7 of the TIM Service Agreement (“ISTAT adjustments”). The commitment consists of making the ISTAT adjustment of the fees only contingent and not automatic.</w:t>
      </w:r>
    </w:p>
    <w:p>
      <w:r>
        <w:t>VII.1.c. Fastweb</w:t>
      </w:r>
    </w:p>
    <w:p>
      <w:r>
        <w:t>85. The commitments of Fastweb, received on August 9, 2021, have a duration until December 31, 2031, and are structured as follows:</w:t>
      </w:r>
    </w:p>
    <w:p>
      <w:r>
        <w:t>Commitment No. 1: Extension of the territorial scope to which the minimum guarantees apply. Modification of the minimum guarantees. The commitment consists of the geographical extension of Fastweb's adherence to the FiberCop project also to gray areas and the reconfiguration of the annual commitment related to the Minimum Guarantees of certain years undertaken by Fastweb towards FiberCop in the Commitment Letter.</w:t>
      </w:r>
    </w:p>
    <w:p>
      <w:r>
        <w:t>Commitment No. 2: Achievement of the Minimum Guarantees through purchases of the secondary network segment of FiberCop. The commitment consists of ensuring that only the fees for the purchase of the secondary network are counted towards the minimum guarantees, but Fastweb may use active services to connect to FiberCop.</w:t>
      </w:r>
    </w:p>
    <w:p>
      <w:r>
        <w:t>Commitment No. 3: Infrastructure of the primary network. Fastweb commits, starting from 2027, to have the availability of primary network infrastructures for coverage equal to [30-80%] of FiberCop's potential coverage in areas of Fastweb's interest, provided that the prices charged by TIM to non-co-investors for the provision of Semi-GPON accesses are such as not to disincentivize co-investment and therefore not lower than €10.40.</w:t>
      </w:r>
    </w:p>
    <w:p>
      <w:r>
        <w:t>Commitment No. 4: Fastweb's ability to modify the Minimum Guarantees annually in case of underestimation. Increase of the tolerance threshold. Fastweb commits to exercising the option to modify the annual Minimum Guarantees in line with what is provided for in Article 5.2.3 of the MSA in case of an increase in its customer base and in any case taking into account the overall technical and economic conditions of the wholesale FTTH services available on the market and to take all necessary actions so that FiberCop consents to the modification of Article 5.2.2 of the MSA, in the sense of increasing the tolerance threshold from [135-145%] to [150-160%].</w:t>
      </w:r>
    </w:p>
    <w:p>
      <w:r>
        <w:t>Commitment No. 5: Activation and maintenance activities for its customers managed by Fastweb. Updating of databases related to the status of network advancement. The commitment consists of managing delivery and assurance activities independently or through third-party companies appointed by Fastweb, provided that technical obstacles do not make it economically convenient for Fastweb to turn to the market for the provision of such services.</w:t>
      </w:r>
    </w:p>
    <w:p>
      <w:r>
        <w:t>Commitment No. 6: ISTAT adjustments. Fastweb commits to modifying, at FiberCop's request, Article 5.7 of the MSA, concerning ISTAT adjustments, making it only optional and not automatic.</w:t>
      </w:r>
    </w:p>
    <w:p>
      <w:r>
        <w:t>VII.1.d. FiberCop</w:t>
      </w:r>
    </w:p>
    <w:p>
      <w:r>
        <w:t>86. The commitments presented by FiberCop on August 6, 2021, consist of: (1) adopting measures aimed at ensuring the segregation of competitively sensitive information, consisting of the adoption of appropriate physical, logical, and behavioral measures to ensure the segregation of retail and wholesale customer data of operators between the Company, its shareholders (in particular TIM and Fastweb), and other operators. Compliance with the measures taken with this commitment will be ensured by the Company's Antitrust &amp; Compliance Officer; (2) adopting antitrust compliance measures, in order to ensure full compliance with antitrust regulations and will include, among other things, the preparation of a Manual in which the rules and behavioral measures that must be implemented by FiberCop and its directors and employees will be defined. The antitrust compliance Manual will contain indications of the measures for the segregation of operational and commercial business information from the shareholders. Any violation of such measures will result in the application of disciplinary sanctions proportionate to the conduct and its severity. The Manual, along with the documentation related to the antitrust compliance program, will be part of the corporate policies and its effectiveness will be strengthened by the provision of an anonymous reporting procedure (whistleblowing) for any violations of competition law.</w:t>
      </w:r>
    </w:p>
    <w:p>
      <w:r>
        <w:t>87. FiberCop believes that the proposed commitments are suitable to impact the preparation and implementation of informational barriers and the segregation of competitively sensitive information, in response to the Authority's concern regarding a possible exchange of information and possible coordination between TIM and Fastweb in the wholesale and retail markets, also considering the maintenance of a structural link between TIM and Fastweb beyond 2035, the year of the expected dissolution of Flash Fiber.</w:t>
      </w:r>
    </w:p>
    <w:p>
      <w:r>
        <w:t>VII.1.e. Teemo/KKR</w:t>
      </w:r>
    </w:p>
    <w:p>
      <w:r>
        <w:t>88. Teemo and KKR, in the form received on August 6, 2021, committed to: (1) taking all necessary actions so that FiberCop offers the co-investor acquiring access services to the CRO with the IRU mode for twenty years, as an alternative to the current IRU profile that allows connecting up to 64 customers, another entry-level profile; (2) taking all necessary actions so that FiberCop proposes to Fastweb the revision of the Fastweb Service Agreement (§ 5.2.2); (3) establishing, together with representatives of FiberCop and the co-investors, a Technical Committee of co-investors; (4) taking all necessary actions so that: (i) FiberCop adopts appropriate measures to prevent the transfer of any commercially sensitive information between its shareholders; and (ii) its Board of Directors has an antitrust compliance manual; (5) modifying Articles 4.7 of the Master Service Agreement between FiberCop and TIM and 2.2.7.3 of the Master Service Agreement between FiberCop and Fastweb, concerning the ISTAT indexing of the fees for FiberCop services. Furthermore, the companies declared their formal adherence to the commitments of TIM (from 1 to 14), of FiberCop (1 and 2), and of Fastweb's commitment No. 6.</w:t>
      </w:r>
    </w:p>
    <w:p>
      <w:r>
        <w:t>VII.2. Observations received during the public consultation</w:t>
      </w:r>
    </w:p>
    <w:p>
      <w:r>
        <w:t>89. As indicated above, with the measure of September 7, 2021, the initiation of the public consultation regarding the commitments of the Parties was ordered. The public consultation, initiated on September 13, 2021, included participation from Idee Economiche &amp; Design sas, AIIP, Intred, ISI Line, Open Fiber, Irideos, Sky Italia, Planetel, Iliad, Unidata, Retelit, Colt, Vodafone Italia, and Wind Tre.</w:t>
      </w:r>
    </w:p>
    <w:p>
      <w:r>
        <w:t>90. The observations on the market test, in addition to focusing on the absence of the conditions identified by Article 76 of the CECE for co-investment, also concerned the criticalities of the commitments of the Parties.</w:t>
      </w:r>
    </w:p>
    <w:p>
      <w:r>
        <w:t>91. In particular, with reference to TIM's commitments, respondents to the public consultation believe that commitment No. 1 would merely reiterate the already established network development plan, so that the infrastructure commitment would be significantly lower than FiberCop's updated plans. The observations then focused on the need to provide penalties and compensations in favor of co-investors in case of delays. Furthermore, the cases related to a justified delay should be well defined and exhaustive, and it would be necessary to provide a detailed and constant flow of data on coverage, both to verify compliance with the commitment and to plan investments in time.</w:t>
      </w:r>
    </w:p>
    <w:p>
      <w:r>
        <w:t>92. Regarding TIM's second commitment, related to the transfer in IRU of fibers in the primary network, which could be a significant tool to promote the infrastructure of alternative operators, respondents – recognizing the value of the commitment – considered some of its provisions critical, relating to: (i) the fact that the commitment is directed only to co-investors; (ii) the minimum of twenty lines; (iii) the price level being higher than what the regulation provides; (iv) the duration. Additionally, respondents to the market test viewed TIM's commitment No. 3 positively, noting that it should also be extended to non-co-investors and that it should be extended in duration.</w:t>
      </w:r>
    </w:p>
    <w:p>
      <w:r>
        <w:t>93. With reference to TIM's Commitment No. 4, related to passive access to the secondary network, many observations focused on the need to guarantee all operators passive access to the CRO both in IRU and pay-per-use mode from 2021 due to the impossibility for some operators to adhere considering the excessively high minimum guarantees.</w:t>
      </w:r>
    </w:p>
    <w:p>
      <w:r>
        <w:t>94. Many respondents positively evaluated TIM's Commitment No. 5, related to the introduction of a new IRU profile for sixteen customers, considering it however discriminatory in favor of Fastweb and insufficient to eliminate the problem of minimum guarantees. Commitment No. 7, related to the installation of an ONT for alternative operators, was also considered positive, although there were some observations regarding the timing and costs of the certification process.</w:t>
      </w:r>
    </w:p>
    <w:p>
      <w:r>
        <w:t>95. Respondents believe that Commitment No. 8 is merely a reiteration of the existing regulation regarding consumers' free choice of modems. Furthermore, for Commitment No. 9, respondents noted that TIM could provide active services due to the presence of enabling active services (VULA H like and Bitstream NGA like), thus deeming it useful to monitor the conditions applied to such services outside the scope of co-investment.</w:t>
      </w:r>
    </w:p>
    <w:p>
      <w:r>
        <w:t>96. TIM's Commitment No. 10 was generally appreciated during the public consultation; however, many parties highlighted the need to extend it to non-co-investors and to specify what the technical operating mechanisms and economic relationships governing its operation are.</w:t>
      </w:r>
    </w:p>
    <w:p>
      <w:r>
        <w:t>97. Observations on TIM's Commitment No. 11 concerned, on the one hand, the absence of the requirement for co-determination of investments pursuant to the European Communications Code.</w:t>
      </w:r>
    </w:p>
    <w:p>
      <w:r>
        <w:rPr>
          <w:b/>
        </w:rPr>
        <w:t>[Pages 40–42]</w:t>
      </w:r>
    </w:p>
    <w:p>
      <w:r>
        <w:t>42 BULLETIN NO. 7 OF FEBRUARY 28, 2022</w:t>
      </w:r>
    </w:p>
    <w:p>
      <w:r>
        <w:t>Electronic and, on the other hand, the need to have an updated and detailed flow of information regarding the state of network design and infrastructure.</w:t>
      </w:r>
    </w:p>
    <w:p>
      <w:r>
        <w:t>98. With reference to TIM's commitment no. 12, concerning the transfer of information between FiberCop shareholders and the adoption of the antitrust compliance manual, some respondents to the public consultation consider this commitment generic and not adequately detailed, while some have emphasized the need to ensure the absence of interlocking directorates and to have an independent third party serve as the Antitrust &amp; Compliance Officer.</w:t>
      </w:r>
    </w:p>
    <w:p>
      <w:r>
        <w:t>99. According to the respondents, TIM's commitment no. 13 (amendments to contracts with Tiscali) would demonstrate the absence of a real incentive for investment and the presence of discriminatory behaviors by TIM. Finally, regarding commitment no. 14 (adjustment of ISTAT prices), the respondents believe that the automatic price increases of FiberCop would not be justified in light of cost dynamics and investment returns.</w:t>
      </w:r>
    </w:p>
    <w:p>
      <w:r>
        <w:t>100. The observations related to Fastweb's commitments concerned, with reference to commitment no. 1, the circumstance that the geographical expansion would not ensure the absence of effects reducing the contestability of demand. Regarding commitments no. 2 and 3, the respondents noted that the commitment cannot be conditioned on the circumstance that TIM practices a price of at least €10.40, as this would demonstrate coordination between Fastweb and TIM regarding the minimum prices of wholesale services offered. The observations related to Fastweb's commitments no. 4, 5, and 6 were the same as those made regarding the analogous commitments of TIM.</w:t>
      </w:r>
    </w:p>
    <w:p>
      <w:r>
        <w:t>101. The observations on the commitments of the other Parties reflect the observations concerning TIM, as they mirror what was proposed by the latter. Finally, further observations focused on the circumstance that the structure defined by the FiberCop agreements could result in perpetual coordination between the two main vertically integrated operators (TIM and Fastweb).</w:t>
      </w:r>
    </w:p>
    <w:p>
      <w:r>
        <w:t>VII.3. Accessory modifications to the commitments</w:t>
      </w:r>
    </w:p>
    <w:p>
      <w:r>
        <w:t>102. TIM submitted on November 12, 2021 a new version of the commitments with accessory modifications that it believes are sufficient to dispel the competitive concerns highlighted by the Authority and the observations of third parties. In summary, the proposed accessory modifications consist of: (i) strengthening commitment 1 aimed at increasing incentives for the realization of the network as planned and enhancing the protection of co-investors in case of deviations/delays in the complex roll-out process by including specific compensatory mechanisms in the Co-investment Offer; (ii) strengthening commitments 2 and 3 aimed at extending the duration of the incentivizing offers related to the primary network until the end of 2030, as well as expanding – by reducing the minimum guaranteed number of customers from twenty to sixteen on each requested fiber – the accessibility of option A of commitment 2 concerning the primary lease and buy offer for co-investors; (iii) strengthening the entry flexibility provided by commitment no. 5, by reducing the minimum guarantee from 10% to 8%, increasing geographical flexibility, both in the case of adherence based on access to the CRO in IRU, including a new membership model inclusive of CRO and secondary network (so-called capacity IRU) and adherence to co-investment through point-to-point fiber connections in the secondary network to be provided at the CRO (“P2P fiber connections”), to the advantage of operators focused on the business segment, to which will be added the offer of active (terminating) and passive access services (starting from 2026) to allow access to P2P fiber connections even for non-co-investors; (iv) providing, for commitment no. 6, the application of the same flexibility thresholds provided for Fastweb also to other co-investors wishing to assume a similar commitment in terms of size; (v) extending to non-co-investors of commitment 7, concerning the ability to install their own optical network termination (ONT) at the final customer's premises; (vi) further clarifying how the options for independently managing the maintenance and activation services of the line provided by commitment no. 10 will be structured; (vii) detailing commitment no. 11 related to the technical committee of co-investors (CTC) and expanding the information on the roll-out made available to co-investors; (viii) strengthening the guarantees provided by commitment 12 regarding the fairness of relations between the partners, in terms of the exchange of commercially sensitive information within FiberCop.</w:t>
      </w:r>
    </w:p>
    <w:p>
      <w:r>
        <w:t>103. Similar measures to strengthen the guarantees provided by commitment 12 regarding the fairness of relations between the partners, in terms of the exchange of commercially sensitive information within FiberCop and the expansion of information on the roll-out made available to co-investors have been adopted by FiberCop in the new commitment form received on November 12, 2021.</w:t>
      </w:r>
    </w:p>
    <w:p>
      <w:r>
        <w:t>104. Fastweb submitted on November 12, 2021, a new version of the commitments in which, in addition to clarifying some aspects of them, it eliminated from Commitment no. 3 the condition related to the price charged by TIM to non-co-investors for the provision of Semi-GPON accesses.</w:t>
      </w:r>
    </w:p>
    <w:p>
      <w:r>
        <w:t>105. In the observations submitted on November 11, 2021, Tiscali believes that the observations received during the market test do not affect the validity of the initially proposed measures nor suggest possible profiles for further reasonable refinement. This is because the commitments should be contextualized within the restructuring process of the company, due to its financial condition. Tiscali believes that the adoption of a "smart telco" strategy was already present before the signing of the agreements with TIM. The commitments would therefore create a separation between co-investment and the rationalization process of the Tiscali network, also increasing contestability both in the rationalization contract and in the case of possible future adherence to co-investment.</w:t>
      </w:r>
    </w:p>
    <w:p>
      <w:r>
        <w:t>106. Finally, Teemo and KKR, with communication dated November 15, 2021, expressed their intention to adhere to the accessory modifications of TIM and FiberCop.</w:t>
      </w:r>
    </w:p>
    <w:p>
      <w:r>
        <w:t>VIII. EVALUATION OF THE COMMITMENTS</w:t>
      </w:r>
    </w:p>
    <w:p>
      <w:r>
        <w:t>VIII.1. Premise</w:t>
      </w:r>
    </w:p>
    <w:p>
      <w:r>
        <w:t>107. As a preliminary matter, in light of the considerations expressed by the Parties, it seems appropriate to clarify the scope of this measure and the relationships with the regulatory activities of the Authority for Guarantees in Communications.</w:t>
      </w:r>
    </w:p>
    <w:p>
      <w:r>
        <w:t>108. In this regard, it should be noted that the procedure that led to this measure was initiated pursuant to Article 101 of the TFEU to verify whether the complex of agreements entered into between the Parties, relating to the establishment of the joint company FiberCop and the provision of access services to FiberCop's secondary network by TIM, Fastweb, and Tiscali, could reduce competition in the wholesale services market and in the retail market for broadband and ultra-broadband telecommunications, in violation of Article 101 of the TFEU. The subject of the evaluation is therefore broader than the agreements that could be traced back to TIM's co-investment project. In any case, regarding regulatory activity, the purpose of the antitrust procedure is different, aimed at verifying that the complex of agreements already entered into between the Parties – some of which, as mentioned, do not fall within and cannot be classified as "co-investment" (for example, as they are aimed at the divestment of telecommunications networks) – do not harm competition.</w:t>
      </w:r>
    </w:p>
    <w:p>
      <w:r>
        <w:t>109. This verification activity occurs regardless of the characterization of the project as "co-investment" under the European Electronic Communications Code, as has happened in the past with similar nature projects, such as the creation of the joint company Flash Fiber between TIM and Fastweb. Thus, the Authority's activity is not aimed at verifying the presence of the requirements of Article 76 of the EECC, which is subject to evaluation by AGCOM, but at ascertaining the violation of Article 101 of the TFEU or, in the case of application of Article 14-ter, the suitability of the proposed commitments to remove the competitive concerns highlighted by the initiation measure of the investigation. Moreover, these circumstances are confirmed by the regulatory assessments carried out by AGCOM, where – for example – it was not considered that the project for the infrastructure of the former Flash Fiber areas fell within the scope of co-investment under the EECC, which, on the contrary, are evaluated in this procedure to verify the presence of any efficiencies related to infrastructure competition and the absence of significant restrictions for static and dynamic competition.</w:t>
      </w:r>
    </w:p>
    <w:p>
      <w:r>
        <w:rPr>
          <w:b/>
        </w:rPr>
        <w:t>[Pages 43–45]</w:t>
      </w:r>
    </w:p>
    <w:p>
      <w:r>
        <w:t>BULLETIN NO. 7 OF FEBRUARY 28, 2022</w:t>
      </w:r>
    </w:p>
    <w:p>
      <w:r>
        <w:t>VIII.2. Assessments regarding the commitments</w:t>
      </w:r>
    </w:p>
    <w:p>
      <w:r>
        <w:t>110. The competitive risks highlighted in the initiation measure concerned the circumstance that the co-investment contracts would lead to a reduction in the contestability of demand (with high guaranteed minimums, preference clauses, absence of adherence mechanisms through structural rights, IRU), not allowing for a real infrastructure development of operators alternative to TIM, favoring instead the use of active services (VULA and Bitstream NGA) provided by TIM. The agreement would also centralize certain technological choices, such as those regarding the splitting factor or related to the user premises equipment (ONT).</w:t>
      </w:r>
    </w:p>
    <w:p>
      <w:r>
        <w:t>111. Ultimately, some clauses of the contracts under examination could, contrary to the declared objectives of the FiberCop project, reduce competition in the wholesale and retail markets for broadband and ultra-broadband telecommunications services, also generating a distorting effect on investments, resulting in fact discriminatory – favoring the provision of certain active services over passive access services or certain technological solutions over others – and disincentivizing investment-based competition, as well as increasing barriers to entry.</w:t>
      </w:r>
    </w:p>
    <w:p>
      <w:r>
        <w:t>112. The commitments proposed by the Parties, as integrated and modified, appear to be suitable for enhancing the efficiency components of the co-investment agreement, among which is also the potential improvement of infrastructural competition in the fixed network telecommunications markets and capable of removing the competitive issues that had been identified by the Authority in its initiation measure.</w:t>
      </w:r>
    </w:p>
    <w:p>
      <w:r>
        <w:t>113. Firstly, the commitments provide for an obligation for FiberCop to proceed with rapid infrastructure development in the indicated areas, supported by adequate deterrent mechanisms. This strengthens the relationship between the purchasing obligations of the participating alternative operators in the co-investment and the realization of FiberCop's infrastructure works, preventing an unjustified reduction in the demand for wholesale services from alternative operators without real infrastructure development.</w:t>
      </w:r>
    </w:p>
    <w:p>
      <w:r>
        <w:t>114. In general, indeed, the set of commitments allows for the provision of a set of tools suitable for facilitating the infrastructure development of alternative operators, stimulating investment-based infrastructural competition in passive access, while ensuring that the minimum purchasing obligations are proportionate and have a purpose-related link to the infrastructure of the primary network.</w:t>
      </w:r>
    </w:p>
    <w:p>
      <w:r>
        <w:t>115. From the perspective of the contestability of demand for wholesale access services, the commitments allow, on the one hand, greater flexibility in the entry rules for co-investors and, on the other hand, modify the existing contracts with Fastweb and Tiscali.</w:t>
      </w:r>
    </w:p>
    <w:p>
      <w:r>
        <w:t>116. With regard to the access profile for co-investment, the guaranteed minimums have been reduced to 8% and adherence may occur in limited geographical areas (on a municipal basis and for smaller areas in municipalities with at least 50,000 inhabitants). Furthermore, contrary to what was highlighted in the initiation measure, co-investment may occur without guaranteed minimums, through the acquisition of IRU rights on the splitters (profile of 64 or 16 lines) or with a capacitive IRU (including CRO and secondary network); specific options for business operators will also be provided, with point-to-point connections both in co-investment and through active and passive access for non-co-investors.</w:t>
      </w:r>
    </w:p>
    <w:p>
      <w:r>
        <w:t>117. Tiscali and TIM have also formally terminated the co-investment contract based on active services and have separated the rationalization contract of the Tiscali network, also limiting its scope in terms of lines. Tiscali has finally committed, in the event of future adherence to the co-investment, to limit the amount of guaranteed minimum lines, maintaining its contestable demand.</w:t>
      </w:r>
    </w:p>
    <w:p>
      <w:r>
        <w:t>118. Regarding Fastweb, the incidence of guaranteed minimums has been reduced, expanding the scope of collaboration to gray areas, and the purpose-related link with investments has also been strengthened, providing for infrastructure development of the primary network sections – without any conditions – for coverage of at least [30-80%] of FiberCop's potential coverage.</w:t>
      </w:r>
    </w:p>
    <w:p>
      <w:r>
        <w:t>119. In general, from the perspective of incentives for the infrastructure development of alternative operators, the commitments appear to provide the suitable tools to allow for passive access to FiberCop, without the provision of active or enabling services by TIM.</w:t>
      </w:r>
    </w:p>
    <w:p>
      <w:r>
        <w:t>120. Alternative operators will be able to acquire dark fiber in the primary network through various modalities (with guaranteed minimums and without guaranteed minimums), thus being able to immediately connect to FiberCop's cabinets with a completely passive and independently managed access. The commitments also allow for the choice of their own ONT device for alternative operators, thus enabling operators who initially use TIM's active services to easily migrate to a completely passive access without having to change the equipment at the end users' premises. Furthermore, the possibility of independently managing maintenance and activation activities of the lines is foreseen, which play a significant role in the provision of telecommunications services.</w:t>
      </w:r>
    </w:p>
    <w:p>
      <w:r>
        <w:t>121. The commitments, therefore, may allow, in the wholesale access services market for fixed broadband and ultra-broadband networks, to expand the number of infrastructured alternative operators, as well as their geographical scope of operation, allowing for greater competition in the provision of wholesale services. In the retail telecommunications services market on fixed broadband and ultra-broadband networks, there will also be a greater degree of commercial autonomy – in economic and qualitative terms – due to the greater degree of infrastructure development of alternative operators on their own networks, as well as the increased presence of supply sources for non-infrastructured operators.</w:t>
      </w:r>
    </w:p>
    <w:p>
      <w:r>
        <w:t>122. Further improvements concern the information flows necessary for the investment planning of alternative operators, as well as the possibility of infrastructure development, through passive access, also for non-co-investors starting from 2026. Measures have also been adopted to limit the risks of transferring sensitive information from alternative operators to FiberCop's shareholders.</w:t>
      </w:r>
    </w:p>
    <w:p>
      <w:r>
        <w:t>123. Overall, therefore, the commitments appear to remove the prima facie risks identified in the initiation measure, providing adequate guarantees regarding the infrastructure development of FiberCop and alternative operators to TIM, according to a scale logic of investments and also considering the market context that has developed in recent years, which sees the presence of infrastructural competition exercised by Open Fiber, which has developed and continues to develop an alternative model for the provision of wholesale access services that ensures increasing competitive pressure both static and dynamic.</w:t>
      </w:r>
    </w:p>
    <w:p>
      <w:r>
        <w:t>VIII.3. Interaction with the commitments in the Flash Fiber procedure</w:t>
      </w:r>
    </w:p>
    <w:p>
      <w:r>
        <w:t>124. In the initiation measure of the procedure, it was noted that the new project could present interactions with the commitments undertaken in the investigative procedure I799 concerning the joint company Flash Fiber133 and, in particular, with commitment no. 4 – according to which the Flash Fiber company was to be dissolved in 2035, with its consequent liquidation – and with commitment no. 5 – which provided for a quantitative limitation of the Parties' obligation to activate Flash Fiber lines.</w:t>
      </w:r>
    </w:p>
    <w:p>
      <w:r>
        <w:t>125. On this point, it is noted that – regarding the liquidation of the Flash Fiber company – Fastweb and TIM have observed that the liquidation of the Flash Fiber company could occur even before 2035, if the investments made were recovered, as certified by a third party appointed by the Court of Milan pursuant to Article 2343 of the Civil Code134. Furthermore, the nature of FiberCop is significantly different from Flash Fiber, which was a jointly controlled consortium company by TIM and Fastweb. In contrast, with the FiberCop project, there is an open co-investment in which Fastweb assumes the same role as the other alternative operators, thus having a different degree of influence over infrastructure decisions compared to that of the Flash Fiber consortium company. In light of these considerations, it is not believed that there is a violation of commitment no. 4 of measure no. 27102 of March 28, 2018.</w:t>
      </w:r>
    </w:p>
    <w:p>
      <w:r>
        <w:t>126. Regarding commitment no. 5, in the initiation measure, it was noted that the circumstance that, at least in the initial period in which a large part of the fiber lines of FiberCop will consist of Flash Fiber lines, there could be an obligation to purchase a number of Flash Fiber lines exceeding that provided for in commitment no. 5 of Fastweb.</w:t>
      </w:r>
    </w:p>
    <w:p>
      <w:r>
        <w:t>127. During the procedure, Fastweb and TIM clarified that Fastweb's purchasing obligations in the Flash Fiber areas will not be increased in accordance with the commitments undertaken in procedure I799. The obligations undertaken by Fastweb in the FiberCop project will begin from 2023, when the FiberCop network is expected to have reached a significantly larger geographical extension than that of Flash Fiber135. In this sense, Fastweb's new commitments appear to ensure that the purchasing obligations actually refer to the gray and black areas of the entire FiberCop infrastructure project, and therefore to a significantly broader geographical scope compared to the original Flash Fiber project in which Fastweb also committed to uniformly and unconditionally infrastructure itself in the primary network section. Therefore, at this time, there are no elements that allow us to consider that there has been a violation of commitment no. 5 of procedure I799, which would only occur if, in the future, the purchasing obligations of the FiberCop co-investment project are met in an almost total manner in the Flash Fiber areas.</w:t>
      </w:r>
    </w:p>
    <w:p>
      <w:r>
        <w:t>IX. THE OPINION OF THE AUTHORITY FOR GUARANTEES IN COMMUNICATIONS</w:t>
      </w:r>
    </w:p>
    <w:p>
      <w:r>
        <w:t>128. On January 14, 2022, the opinion of the Authority for Guarantees in Communications was received, expressed pursuant to Article 1, paragraph 6, letter c), no. 11, of Law No. 249 of July 31, 1997. AGCOM highlights, in line with what is stated in this measure, the different role played by the Authority and AGCOM in the application of their respective competences.</w:t>
      </w:r>
    </w:p>
    <w:p>
      <w:r>
        <w:rPr>
          <w:b/>
        </w:rPr>
        <w:t>[Pages 46–48]</w:t>
      </w:r>
    </w:p>
    <w:p>
      <w:r>
        <w:t>48 BULLETIN NO. 7 OF FEBRUARY 28, 2022</w:t>
      </w:r>
    </w:p>
    <w:p>
      <w:r>
        <w:t>concerning the case in question regarding the creation of FiberCop and the conditions for access to the network of that company. Therefore, while recalling the main regulatory profiles outlined in its Resolutions No. 110/21/CONS and No. 1/22/CONS, AGCOM deemed it appropriate to share the conclusions of the present measure.</w:t>
      </w:r>
    </w:p>
    <w:p>
      <w:r>
        <w:t>129. In particular, AGCOM shared the conclusions regarding the relevant markets identified, considering that, for the purposes of the antitrust procedure, the relevant market is functional to precisely delineate the product and geographic scope of the markets affected by the agreements under examination and, in this sense, its definition may differ from that adopted for regulatory purposes by the Authority. AGCOM also recalled that, from a regulatory perspective, different product and geographic scopes have been identified for the imposition of regulatory measures on TIM, which have been identified exclusively in the local wholesale access and central wholesale markets for mass-market products (markets 3a and 3b) throughout the national territory, with the exception of the city of Milan.</w:t>
      </w:r>
    </w:p>
    <w:p>
      <w:r>
        <w:t>130. AGCOM also agrees with the fact that the commitments, as integrated and modified, appear suitable to enhance the efficiency components of the co-investment agreement, among which is also the potential improvement of infrastructure competition in the fixed network telecommunications markets, and are capable of removing the competitive issues highlighted in the initiation measure.</w:t>
      </w:r>
    </w:p>
    <w:p>
      <w:r>
        <w:t>131. AGCOM believes that the proposed measures can ensure the realization of the FiberCop network within certain timelines, as highlighted in AGCOM Resolution No. 1/22/CONS. Regarding concerns related to the contestability of demand, AGCOM agrees that the commitments, on the one hand, allow for greater flexibility in the entry rules for potential co-investors – with the reduction of entry thresholds, both percentage and geographic, and with the introduction of additional entry profiles – and, on the other hand, modify the existing contracts with Fastweb and Tiscali in the parts that could harm competition. AGCOM also emphasizes the presence of an improvement in the information flows necessary for investment planning and for adherence to the project.</w:t>
      </w:r>
    </w:p>
    <w:p>
      <w:r>
        <w:t>132. With reference to the excess flexibility thresholds for the application of the price provided in relation to the minimum guaranteed (as per commitment no. 6), AGCOM believes that TIM has presented, in the co-investment project, a different tolerance threshold scheme compared to that included in the Commitments presented in this proceeding, as a different threshold level would apply for co-investors committing to guaranteed minimums equal to or greater than 8% of the total UIT covered by the FiberCop plan.</w:t>
      </w:r>
    </w:p>
    <w:p>
      <w:r>
        <w:t>133. On this point, it should be noted, however, that in the modifications to the commitments proposed by TIM, it has committed to applying the same flexibility thresholds provided for Fastweb to other co-investors who intend to undertake a similar commitment in terms of size for commitment no. 6. Therefore, although using different expressions, TIM's commitment no. 6 and the provisions of the co-investment project proposed in the regulatory context appear to be compatible, as both consist in not discriminating against co-investors who find themselves in the same position as Fastweb, that is, those who have joined the project with the same scale (at least 8% on the UIT covered by the co-investment project).</w:t>
      </w:r>
    </w:p>
    <w:p>
      <w:r>
        <w:t>134. Regarding the measures aimed at facilitating the infrastructure of alternative operators (commitments no. 2 and 3 of TIM related to the primary network), AGCOM emphasizes that – from a regulatory perspective – the co-investment project deemed admissible under the CECE concerns exclusively the secondary network in areas other than those of Flash Fiber, thus a different scope from that of the present measure both from a geographic perspective and in terms of the network elements involved. For these reasons, AGCOM has deemed that there are currently no grounds for removing the regulation concerning TIM's primary network services, which fall outside the co-investment project under the CECE. On these services, TIM's commitments provide – for co-investors, until 2030 – four options that allow for the acquisition of access to the primary network on a pay-per-use basis (with a minimum number of lines) or through IRU, with or without guaranteed minimums. According to AGCOM, these adherence options provide prices, including the application of a discount mechanism, different from those currently regulated.</w:t>
      </w:r>
    </w:p>
    <w:p>
      <w:r>
        <w:t>135. Therefore, considering that the primary access network falls among the services subject to ex ante regulation under the current legislation, AGCOM believes it must carry out its assessments regarding the economic conditions provided for in the commitments in question and, in particular, to verify the existence of any discriminatory profiles between co-investors and non-co-investors, so that TIM complies with the obligation to provide such network elements on non-discriminatory terms to all operators. In this regard, it should be noted that TIM's commitments no. 2 and 3 aim to facilitate the infrastructure of operators who adhere to the co-investment project, reducing the risk that this project turns into mere resale of active services, which would not produce any benefit in terms of static and dynamic competition in the retail fixed broadband and ultra-broadband telecommunications services market and, above all, in the wholesale access market for fixed broadband and ultra-broadband. However, regulatory assessments regarding the generalized applicability of any incentives for the infrastructure of alternative operators' primary networks will remain unaffected, which will be examined by AGCOM as part of the ongoing analysis of the fixed network access markets initiated with resolution no. 637/20/CONS.</w:t>
      </w:r>
    </w:p>
    <w:p>
      <w:r>
        <w:t>136. With reference to the Flash Fiber areas, AGCOM observes that, from a regulatory perspective, within the evaluation procedure of the Co-investment Offer initiated with resolution no. 110/21/CONS, the municipalities where the Flash Fiber network is present have recently been excluded from the scope of the Co-investment Offer presented pursuant to Article 76 CCEE as, being existing networks, they could not fall within the scope of application of the regulation. In light of this, Fastweb's purchase commitments related to the FF network are not relevant for the purposes of meeting the guaranteed minimums provided for in the Co-investment Offer under Article 76 CECE.</w:t>
      </w:r>
    </w:p>
    <w:p>
      <w:r>
        <w:t>137. On this point, reference is made to what was previously indicated regarding the interactions with the I799 procedure. In particular, Fastweb and TIM clarified that Fastweb's purchase obligations in the Flash Fiber areas will not be increased in line with the commitments made in the I799 procedure, as the obligations undertaken by Fastweb in the FiberCop project will begin in 2023, when the FiberCop network is expected to have reached a significantly larger geographical extent than that of Flash Fiber. Therefore, in light of the fact that Fastweb has also committed to uniformly and unconditionally infrastructure the primary network segment, there are currently no elements that would allow one to believe that there has been a violation of commitment no. 5 of the I799 procedure, which would only occur if, in the future, the purchase obligations of the FiberCop co-investment project are met by Fastweb in an almost total manner in the Flash Fiber areas.</w:t>
      </w:r>
    </w:p>
    <w:p>
      <w:r>
        <w:t>138. In conclusion, AGCOM generally shares the Authority's conclusions that the commitments appear suitable to remedy the competitive concerns raised in the initiation measure of the investigation, without prejudice to the regulatory profiles that appear to be complementary to the antitrust considerations.</w:t>
      </w:r>
    </w:p>
    <w:p>
      <w:r>
        <w:t>X. CONCLUSIONS</w:t>
      </w:r>
    </w:p>
    <w:p>
      <w:r>
        <w:t>139. Based on the aforementioned elements and the considerations made, it is believed that the commitments presented by the Parties appear suitable to remedy the competitive concerns raised by the Authority at the initiation of the investigation procedure.</w:t>
      </w:r>
    </w:p>
    <w:p>
      <w:r>
        <w:t>140. The commitments appear to allow for an increase in the level of infrastructure competition, promoting the development of competitive offers of wholesale access services and thus enabling more operators to prepare high-capacity service offers in the wholesale and retail fixed telecommunications markets.</w:t>
      </w:r>
    </w:p>
    <w:p>
      <w:r>
        <w:t>141. The Authority will monitor the execution of the commitments and reserves the right to take any further future action should any additional relevant profiles be identified under national and European competition law.</w:t>
      </w:r>
    </w:p>
    <w:p>
      <w:r>
        <w:t>CONSIDERING, therefore, that the commitments presented by Telecom Italia S.p.A., Fastweb S.p.A., FiberCop S.p.A., Tiscali Italia S.p.A., Teemo Bidco S.à r.l. and KKR &amp; Co. Inc. are suitable to eliminate the anticompetitive profiles subject to the investigation;</w:t>
      </w:r>
    </w:p>
    <w:p>
      <w:r>
        <w:t>CONSIDERING to make the commitments presented by Telecom Italia S.p.A., Fastweb S.p.A., FiberCop S.p.A., Tiscali Italia S.p.A., Teemo Bidco S.à r.l. and KKR &amp; Co. Inc. mandatory pursuant to Article 14-ter, paragraph 1, of Law 287/90;</w:t>
      </w:r>
    </w:p>
    <w:p>
      <w:r>
        <w:t>all of the above having been stated and considered:</w:t>
      </w:r>
    </w:p>
    <w:p>
      <w:r>
        <w:t>RESOLVES</w:t>
      </w:r>
    </w:p>
    <w:p>
      <w:r>
        <w:t>a) to make mandatory for Telecom Italia S.p.A. the commitments presented, pursuant to Article 14-ter, paragraph 1, of Law No. 287/90, in the terms described above and attached to this measure, which form an integral part thereof;</w:t>
      </w:r>
    </w:p>
    <w:p>
      <w:r>
        <w:t>b) to make mandatory for FiberCop S.p.A. the commitments presented, pursuant to Article 14-ter, paragraph 1, of Law No. 287/90, in the terms described above and attached to this measure, which form an integral part thereof;</w:t>
      </w:r>
    </w:p>
    <w:p>
      <w:r>
        <w:rPr>
          <w:b/>
        </w:rPr>
        <w:t>[Pages 49–51]</w:t>
      </w:r>
    </w:p>
    <w:p>
      <w:r>
        <w:t>BULLETIN NO. 7 OF FEBRUARY 28, 2022 51</w:t>
      </w:r>
    </w:p>
    <w:p>
      <w:r>
        <w:t>c) to make the commitments presented by Fastweb S.p.A. mandatory, pursuant to Article 14-ter, paragraph 1, of Law No. 287/90, in the terms described above and attached to this measure, which form an integral part thereof;</w:t>
      </w:r>
    </w:p>
    <w:p>
      <w:r>
        <w:t>d) to make the commitments presented by Tiscali Italia S.p.A. mandatory, pursuant to Article 14-ter, paragraph 1, of Law No. 287/90, in the terms described above and attached to this measure, which form an integral part thereof;</w:t>
      </w:r>
    </w:p>
    <w:p>
      <w:r>
        <w:t>e) to make the commitments presented by Teemo Bidco S.à r.l. and KKR &amp; Co. Inc. mandatory, pursuant to Article 14-ter, paragraph 1, of Law No. 287/90, in the terms described above and attached to this measure, which form an integral part thereof;</w:t>
      </w:r>
    </w:p>
    <w:p>
      <w:r>
        <w:t>f) to close the proceeding without establishing the infringement, pursuant to the same Article 14-ter, paragraph 1, of Law No. 287/90;</w:t>
      </w:r>
    </w:p>
    <w:p>
      <w:r>
        <w:t>g) that Telecom Italia S.p.A. submits to the Authority, within sixty days from the notification of this measure, an initial report on the status of implementation of the commitments undertaken, accompanied by all necessary related documentation, indicating also the name of the third party and independent subject provided for in commitment 1, and that subsequently it submits, on an annual basis by January 31 of each year, until January 31, 2032, a report on the status of implementation of the commitments undertaken;</w:t>
      </w:r>
    </w:p>
    <w:p>
      <w:r>
        <w:t>h) that the companies Fastweb S.p.A., FiberCop S.p.A., Tiscali Italia S.p.A., Teemo Bidco S.à r.l. and KKR &amp; Co. Inc. submit to the Authority, within sixty days from the notification of this measure and subsequently on an annual basis by January 31 of each year, until January 31, 2032, a report on the status of implementation of the commitments undertaken, accompanied by all necessary related documentation.</w:t>
      </w:r>
    </w:p>
    <w:p>
      <w:r>
        <w:t>This measure will be notified to the interested parties and published in the Bulletin of the Competition and Market Authority.</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measure itself.</w:t>
      </w:r>
    </w:p>
    <w:p>
      <w:r>
        <w:t>THE DEPUTY SECRETARY GENERAL THE PRESIDENT</w:t>
        <w:br/>
        <w:t>Serena Stella Roberto Rustichelli</w:t>
      </w:r>
    </w:p>
    <w:p>
      <w:r>
        <w:t>52 BULLETIN NO. 7 OF FEBRUARY 28, 2022</w:t>
      </w:r>
    </w:p>
    <w:p>
      <w:r>
        <w:t>CONCENTRATION OPERATIONS</w:t>
        <w:br/>
        <w:t>C12424 - BCP ACQUISITIONS/LOTTERY BUSINESS BRANCH OF SCIENTIFIC GAMES CORPORATION</w:t>
        <w:br/>
        <w:t>Measure No. 29985</w:t>
        <w:br/>
        <w:t>THE COMPETITION AND MARKET AUTHORITY</w:t>
        <w:br/>
        <w:t>IN ITS MEETING of February 8, 2022;</w:t>
        <w:br/>
        <w:t>HEARD the Rapporteur Professor Michele Ainis;</w:t>
        <w:br/>
        <w:t>HAVING REGARD TO Regulation (EC) No. 139/2004;</w:t>
        <w:br/>
        <w:t>HAVING REGARD TO Law No. 287 of October 10, 1990;</w:t>
        <w:br/>
        <w:t>HAVING REGARD TO the D.P.R. No. 217 of April 30, 1998;</w:t>
        <w:br/>
        <w:t>HAVING REGARD TO the communication from BCP Acquisitions LLC, received on January 10, 2022, subsequently supplemented and clarified on January 20, 21, and 26, 2022;</w:t>
        <w:br/>
        <w:t>HAVING REGARD TO the documentation on file;</w:t>
        <w:br/>
        <w:t>CONSIDERED the following:</w:t>
      </w:r>
    </w:p>
    <w:p>
      <w:r>
        <w:t>I. THE PARTIES</w:t>
      </w:r>
    </w:p>
    <w:p>
      <w:r>
        <w:t>1. BCP Acquisitions LLC (hereinafter, "BCP Acquisitions" or "Notifying Party" or "Buyer") is a company ultimately controlled by Brookfield Asset Management Inc. (hereinafter, "Brookfield"), an asset manager operating globally in the offering of public and private investment products and related services. Brookfield's investments primarily focus on the sectors of real estate, infrastructure, renewable energy, and private equity, as well as in the sectors of corporate credit, private equity, real assets, and publicly traded equity.</w:t>
      </w:r>
    </w:p>
    <w:p>
      <w:r>
        <w:t>Brookfield, during 2020, achieved a consolidated worldwide revenue of approximately [90-100]* billion euros, of which approximately [6-7] billion euros were generated in Europe and approximately [511-700] million euros in Italy.</w:t>
      </w:r>
    </w:p>
    <w:p>
      <w:r>
        <w:t>2. Scientific Games Corporation (hereinafter, "SGC") is a company that develops technological products and services and associated content for the gaming, lottery, social gaming, and digital gaming industries. Additionally, through its participation in Lotterie Nazionali S.r.l. (hereinafter, "LNS"), it is active in the collection of games and bets. LNS is the exclusive concessionaire, on behalf of the Agency of Customs and Monopolies, for the management service of Italian lotteries with instant draw, known as Gratta&amp;Vinci, including remote participation, the so-called Gratta&amp;Vinci online.</w:t>
      </w:r>
    </w:p>
    <w:p>
      <w:r>
        <w:t>The lottery business branch of SGC (hereinafter, "Target" or "SG Lottery") is active worldwide in the development, production, promotion, sale, distribution, licensing, and supply of products and games for instant and deferred lotteries, systems and technologies for the gaming and betting sector, retail solutions for games and bets (also through the internet, known as iLottery) and gaming content of the iLottery.</w:t>
      </w:r>
    </w:p>
    <w:p>
      <w:r>
        <w:t>With reference to the activity carried out in Italy, SG Lottery provides only instant games and lottery systems and technologies. Specifically, SG Lottery's clients in Italy are LNS and Sisal Entertainment S.p.A. SG Lottery provides instant games, the Gratta&amp;Vinci, and lottery systems to LNS and terminals to Sisal Entertainment S.p.A.</w:t>
      </w:r>
    </w:p>
    <w:p>
      <w:r>
        <w:t>SG Lottery, during 2020, achieved a worldwide revenue of approximately [700-1,000] million euros, of which approximately [100-511] million euros were generated in Europe and approximately [100-511] million euros in Italy.</w:t>
      </w:r>
    </w:p>
    <w:p>
      <w:r>
        <w:t>II. DESCRIPTION OF THE OPERATION</w:t>
      </w:r>
    </w:p>
    <w:p>
      <w:r>
        <w:t>3. The communication in question concerns the acquisition of exclusive control of SG Lottery by BCP Acquisitions, which is indirectly controlled by Brookfield.</w:t>
      </w:r>
    </w:p>
    <w:p>
      <w:r>
        <w:t>4. As part of the operation, the Buyer will also acquire, indirectly through SG Lottery, 20% of the shares and voting rights of LNS and a 1% stake in the Consorzio Lotterie Nazionali S.r.l. (hereinafter "CLN"), a company that managed the automated management service of the Italian lottery with instant or deferred draw.</w:t>
      </w:r>
    </w:p>
    <w:p>
      <w:r>
        <w:t>5. The acquisition of 20% of the stakes in LNS together with the rights held by SG Lottery will allow the Buyer to exercise joint control over LNS, together with the current shareholders Arianna 2001 S.p.A. (with a 15% stake) and IGT Lottery S.p.A. (with a 64% stake).</w:t>
      </w:r>
    </w:p>
    <w:p>
      <w:r>
        <w:t>Accessory restrictions</w:t>
      </w:r>
    </w:p>
    <w:p>
      <w:r>
        <w:t>6. In the Equity Purchase Agreement ("EPA") entered into between BCP Acquisitions and SGC, there are restrictions in the form of a non-compete clause on the part of the buyer and a non-solicitation clause both on the part of the seller and on the part of the buyer.</w:t>
      </w:r>
    </w:p>
    <w:p>
      <w:r>
        <w:t>a) The non-compete clause</w:t>
      </w:r>
    </w:p>
    <w:p>
      <w:r>
        <w:t>7. Section 5.28(a) of the EPA provides that, for a period of 5 years after the closing of the operation, SGC, except for exceptions, shall not hold and shall ensure that its affiliates do not hold, directly or indirectly, any shareholding, individually or together with any other natural or legal person, or engage in any way in any activity carried out by the Target.</w:t>
      </w:r>
    </w:p>
    <w:p>
      <w:r>
        <w:t>b) The non-solicitation clauses</w:t>
      </w:r>
    </w:p>
    <w:p>
      <w:r>
        <w:t>8. Section 5.28(b) of the EPA provides that for a period of 2 years after the closing of the operation: (1) SGC shall not solicit, and shall ensure that its affiliates do not solicit, the hiring of any employee of the Buyer or its subsidiaries and (2) the Buyer shall not solicit, and shall ensure that its affiliates do not solicit, the hiring of any employee of SGC or its subsidiaries.</w:t>
      </w:r>
    </w:p>
    <w:p>
      <w:r>
        <w:t>1 The revenue in question includes [omitted].</w:t>
      </w:r>
    </w:p>
    <w:p>
      <w:r>
        <w:rPr>
          <w:b/>
        </w:rPr>
        <w:t>[Pages 52–54]</w:t>
      </w:r>
    </w:p>
    <w:p>
      <w:r>
        <w:t>54 BULLETIN NO. 7 OF FEBRUARY 28, 2022</w:t>
      </w:r>
    </w:p>
    <w:p>
      <w:r>
        <w:t>III. QUALIFICATION OF THE OPERATION</w:t>
      </w:r>
    </w:p>
    <w:p>
      <w:r>
        <w:t>9. The notified operation, as it involves the acquisition of control over companies, constitutes a concentration pursuant to Article 5, paragraph 1, letter b), of Law No. 287/1990. It falls within the scope of application of Law No. 287/1990, as the conditions set out in Article 1 of EC Regulation 139/20042 are not met, and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 the last financial year at the national level, individually by at least two of the companies involved was over 31 million euros3.</w:t>
      </w:r>
    </w:p>
    <w:p>
      <w:r>
        <w:t>10. Regarding the restrictions described above, in paragraphs 7 and 8, the following is stated. The non-compete clause and the non-solicitation clauses imposed on the seller as described above constitute restrictions directly related and necessary for the realization of the operation, as they are strictly functional to safeguarding the value of the acquired companies (in this case, of the acquired business unit), provided that they are limited in terms of the goods to the services offered by the acquired companies and that they have a duration not exceeding 2 years4. As for the non-solicitation clauses imposed on the buyer, such restrictions cannot be considered ancillary to the notified operation to the extent that they do not appear functional to the need to preserve the value of the companies (in this case, of the business unit) being acquired.</w:t>
      </w:r>
    </w:p>
    <w:p>
      <w:r>
        <w:t>IV. ASSESSMENT OF THE CONCENTRATION</w:t>
      </w:r>
    </w:p>
    <w:p>
      <w:r>
        <w:t>11. The operation in question does not involve either horizontal overlaps or vertical integrations as the Buyer and its subsidiaries do not operate in the sectors of the so-called "target companies" (SGLottery and LNS) and, therefore, the operation is configured from a competitive perspective as the mere replacement of one operator with another. More specifically, the "target companies" operate in the production, development, and supply of lottery and betting games and services and in the collection from games and betting, particularly in the collection from instant and deferred lotteries, both through the physical channel and through the online channel, as further detailed below.</w:t>
      </w:r>
    </w:p>
    <w:p>
      <w:r>
        <w:t>IV.1. Activities of production, development, and supply of lottery and betting games and services</w:t>
      </w:r>
    </w:p>
    <w:p>
      <w:r>
        <w:t>12. SG Lottery primarily operates in the B2B activity of production, development, and supply of lottery and betting games and services, which is upstream of the collection from games and betting.</w:t>
      </w:r>
    </w:p>
    <w:p>
      <w:r>
        <w:t>13. In this context, with particular reference to the B2B lottery services, such as those primarily provided by SG Lottery, according to the information provided by the Parties, competition occurs at a global level, as suppliers of games, betting, and associated technological services compete to supply various lottery gaming operators worldwide.</w:t>
      </w:r>
    </w:p>
    <w:p>
      <w:r>
        <w:t>14. SG Lottery estimates that its market share for the production, development, and supply of lottery and betting games and services worldwide is approximately [30-35%] and in the specific segment of ticket printing for lotteries, both instant and deferred, it is approximately [60-65%].</w:t>
      </w:r>
    </w:p>
    <w:p>
      <w:r>
        <w:t>15. According to the Parties, following the operation, SG Lottery will continue to compete with other suppliers of games and services active worldwide, including International Game Technology PLC, Pollard Banknote Limited, Intralot S.A., the Sazka group, diversified manufacturers that print tickets for lotteries around the world. Similarly, SG Lottery will continue to compete with suppliers of lottery gaming systems and operators in the sector that develop their own systems in-house.</w:t>
      </w:r>
    </w:p>
    <w:p>
      <w:r>
        <w:t>16. In Italy, SG Lottery, according to the Parties, will continue to compete with IGT Lottery S.p.A. and the companies of the IGT group, which are state concessionaires for fixed-odds numerical games (Gioco del Lotto) and lotteries (Gratta e Vinci and Lotteria Italia) and with Sisal S.p.A. and the companies of the Sisal group, such as Sisal Lottery Italia S.p.A., which holds the state concession for the National Totalizer Numerical Games Lottery (e.g. SuperEnalotto).</w:t>
      </w:r>
    </w:p>
    <w:p>
      <w:r>
        <w:t>17. SG Lottery estimates that its market share in 2020 in the Italian sector of production, development, and supply of lottery and betting games and services is below 10%.</w:t>
      </w:r>
    </w:p>
    <w:p>
      <w:r>
        <w:t>18. In any case, it does not appear necessary to provide a precise delimitation of the relevant market in terms of goods and geography, as, based on the considerations already anticipated and further specified below, the operation is not likely to raise significant competitive issues regardless of the definition of the relevant market adopted.</w:t>
      </w:r>
    </w:p>
    <w:p>
      <w:r>
        <w:t>19. No company controlled by Brookfield is active in the aforementioned sector, i.e. the production, development, and supply of lottery and betting games and services, in which SG Lottery operates. Therefore, there is no horizontal overlap between SG Lottery and any of the companies controlled by Brookfield.</w:t>
      </w:r>
    </w:p>
    <w:p>
      <w:r>
        <w:t>20. Furthermore, there is no vertical relationship between SG Lottery and any of the companies controlled by Brookfield, as the Buyer and its subsidiaries operate in other sectors.</w:t>
      </w:r>
    </w:p>
    <w:p>
      <w:r>
        <w:t>IV.2. Activities of collection from games and betting</w:t>
      </w:r>
    </w:p>
    <w:p>
      <w:r>
        <w:t>21. Furthermore, as mentioned above, the Buyer will also acquire 20% of the shares and voting rights of LNS and, therefore, will exercise joint control over LNS, the operation also concerns the activity of collection from games and betting in Italy, specifically from instant and deferred lotteries, both through the physical channel and through the online channel.</w:t>
      </w:r>
    </w:p>
    <w:p>
      <w:r>
        <w:t>22. Based on the Authority's decision-making practice5, the activity of collection from instant and deferred lotteries, both through the physical channel and through the online channel, does not fall within any of the three relevant markets specifically identified in the past (i. the national market for collection from entertainment and amusement machines, ii. the national market for collection from betting, and iii. the national market for collection from online games).</w:t>
      </w:r>
    </w:p>
    <w:p>
      <w:r>
        <w:t>5 See measure No. 29652 of May 4, 2021, regarding case C12371 - GAMENET GROUP/LOTTOMATICA VIDEOLOT NETWORK-LOTTOMATICA BETTING, in Bulletin No. 21/2021.</w:t>
      </w:r>
    </w:p>
    <w:p>
      <w:r>
        <w:t>23. The Authority, however, from a goods perspective, has not yet expressed itself on the possibility that the activity of collection from instant and deferred lotteries, both through the physical channel and through the online channel, constitutes a relevant market in its own right or whether it should be included in a broader market that also includes other collection activities from games.</w:t>
      </w:r>
    </w:p>
    <w:p>
      <w:r>
        <w:t>24. From a geographical perspective, however, the considerations previously made that led to consider the markets already defined as national in scope can also be deemed valid for the activity in question, as it is an activity carried out under a national single concession regime.</w:t>
      </w:r>
    </w:p>
    <w:p>
      <w:r>
        <w:t>25. In any case, it does not appear necessary to provide a precise delimitation of the relevant market in terms of goods, as, based on the considerations already anticipated and more extensively presented below, the operation is not likely to alter the structure of supply, regardless of the definition of the relevant market adopted.</w:t>
      </w:r>
    </w:p>
    <w:p>
      <w:r>
        <w:t>26. No company controlled by Brookfield is, in fact, active in the sector of collection from games and betting in Italy on which SG Lottery operates indirectly through LNS and, in particular, carries out collection activities from instant and deferred lotteries, both through the physical channel and through the online channel. Therefore, there is no horizontal overlap between SG Lottery and any of the companies controlled by Brookfield.</w:t>
      </w:r>
    </w:p>
    <w:p>
      <w:r>
        <w:t>27. The operation, therefore, will simply involve the replacement of one operator with another and will not affect the existing competitive landscape prior to the operation in the sector of collection from games and betting and, in particular, in the possible market of collection from instant and deferred lotteries, both through the physical channel and through the online channel, or a possible broader goods market.</w:t>
      </w:r>
    </w:p>
    <w:p>
      <w:r>
        <w:t>28. In any case, SG Lottery estimates that the market share held by LNS in the sector of collection from games and betting in Italy is approximately [10-15%] in 2020.</w:t>
      </w:r>
    </w:p>
    <w:p>
      <w:r>
        <w:t>29. In light of the overall considerations that precede, given the absence of horizontal overlaps, as well as possible vertical competitive issues, the operation does not appear to bring about changes in the competitive structure of the markets and, therefore, is not likely to produce significant effects from a competitive perspective.</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non-compete agreement and the non-solicitation clauses imposed on the seller present in the EPA can be considered ancillary to this operation only within the goods and temporal limits indicated above and that the Authority reserves the right to assess, where the conditions exist, the aforementioned clauses if they are realized beyond those limits;</w:t>
      </w:r>
    </w:p>
    <w:p>
      <w:r>
        <w:t>CONSIDERING, furthermore, that the non-solicitation clause imposed on the buyer present in the EPA cannot be considered ancillary to this operation and that the Authority reserves the right to assess it, where the conditions exist;</w:t>
      </w:r>
    </w:p>
    <w:p>
      <w:r>
        <w:t>RESOLVES</w:t>
      </w:r>
    </w:p>
    <w:p>
      <w:r>
        <w:t>not to initiate the investigation referred to in Article 16, paragraph 4, of Law No. 287/90.</w:t>
      </w:r>
    </w:p>
    <w:p>
      <w:r>
        <w:rPr>
          <w:b/>
        </w:rPr>
        <w:t>[Pages 55–57]</w:t>
      </w:r>
    </w:p>
    <w:p>
      <w:r>
        <w:t>BULLETIN NO. 7 OF FEBRUARY 28, 2022</w:t>
      </w:r>
    </w:p>
    <w:p>
      <w:r>
        <w:t>57</w:t>
        <w:br/>
        <w:t>The above conclusions will be communicated, pursuant to Article 16, paragraph 4, of Law No. 287/90, to the interested companies and to the Minister of Economic Development. The measure will be published in the Bulletin of the Competition and Market Authority.</w:t>
      </w:r>
    </w:p>
    <w:p>
      <w:r>
        <w:t>THE DEPUTY SECRETARY GENERAL THE PRESIDENT pro tempore</w:t>
        <w:br/>
        <w:t>Serena Stella Michele Ainis</w:t>
      </w:r>
    </w:p>
    <w:p>
      <w:r>
        <w:t>58</w:t>
        <w:br/>
        <w:t>BULLETIN NO. 7 OF FEBRUARY 28, 2022</w:t>
      </w:r>
    </w:p>
    <w:p>
      <w:r>
        <w:t>C12425 - IREN/ALEGAS</w:t>
        <w:br/>
        <w:t>Measure No. 29986</w:t>
        <w:br/>
        <w:t>THE COMPETITION AND MARKET AUTHORITY</w:t>
        <w:br/>
        <w:t>IN ITS MEETING of February 8, 2022;</w:t>
        <w:br/>
        <w:t>HEARD the Rapporteur Professor Elisabetta Iossa;</w:t>
        <w:br/>
        <w:t>HAVING REGARD TO Law No. 287 of October 10, 1990;</w:t>
        <w:br/>
        <w:t>HAVING REGARD TO Presidential Decree No. 217 of April 30, 1998;</w:t>
        <w:br/>
        <w:t>HAVING REGARD TO Regulation (EU) No. 139/2014;</w:t>
        <w:br/>
        <w:t>HAVING REGARD TO the communication from Iren S.p.A., received on January 13, 2022;</w:t>
        <w:br/>
        <w:t>HAVING REGARD TO the documentation on file;</w:t>
      </w:r>
    </w:p>
    <w:p>
      <w:r>
        <w:t>CONSIDERED the following:</w:t>
      </w:r>
    </w:p>
    <w:p>
      <w:r>
        <w:t>I. THE PARTIES</w:t>
      </w:r>
    </w:p>
    <w:p>
      <w:r>
        <w:t>1. Iren S.p.A. (“Iren”) is a multi-utility company at the head of the eponymous corporate group, active in the sectors of electricity, natural gas, thermal energy for district heating, management of integrated water services, environmental services such as waste collection, treatment, and disposal, and technological services. The Iren group achieved a worldwide turnover of approximately [3-4]* billion euros entirely generated in Italy in 2020.</w:t>
      </w:r>
    </w:p>
    <w:p>
      <w:r>
        <w:t>2. Alegas S.r.l. (“Alegas”) is a company currently belonging to the Piedmontese multi-utility group AMAG, active in the sale of electricity and natural gas in the areas of operation of the group, through offices located in Alessandria, Acqui Terme, Tortona, and Sale, thus concentrating its activity in the province of Alessandria. Alegas's worldwide turnover in 2020 was approximately [31-100] million euros, entirely generated in Italy.</w:t>
      </w:r>
    </w:p>
    <w:p>
      <w:r>
        <w:t>II. DESCRIPTION OF THE OPERATION</w:t>
      </w:r>
    </w:p>
    <w:p>
      <w:r>
        <w:t>3. The communication in question concerns the acquisition of 80% of the capital – and therefore of exclusive control – of Alegas by Iren, through its subsidiary Iren Mercato S.p.A.</w:t>
      </w:r>
    </w:p>
    <w:p>
      <w:r>
        <w:t>4. The Parties have also established a non-compete obligation, lasting three years from the date of execution of the contract, whereby the transferring group AMAG commits, with respect to the geographical area of Piedmont, not to engage in activities in competition with Alegas, not to hold or acquire shares in companies that engage in activities in competition with Alegas, and not to hire key employees employed by Alegas or collaborating with that company.</w:t>
      </w:r>
    </w:p>
    <w:p>
      <w:r>
        <w:t>* In this version, some data are omitted, as elements of confidentiality or secrecy of the information were deemed to exist.</w:t>
      </w:r>
    </w:p>
    <w:p>
      <w:r>
        <w:t>BULLETIN NO. 7 OF FEBRUARY 28, 2022</w:t>
      </w:r>
    </w:p>
    <w:p>
      <w:r>
        <w:t>59</w:t>
        <w:br/>
        <w:t>III. QUALIFICATION OF THE OPERATION</w:t>
      </w:r>
    </w:p>
    <w:p>
      <w:r>
        <w:t>5. The communicated operation, as it involves the acquisition of control of a company, constitutes a concentration pursuant to Article 5, paragraph 1, letter b), of Law No. 287/90. It falls within the scope of application of Law No. 287/90 as the conditions of Article 1 of Regulation EC 139/04 do not apply, and it is subject to the obligation of prior notification provided for by Article 16, paragraph 1, of the same law as the total turnover achieved, in the last financial year at the national level, by the group of interested companies was over 511 million euros and the total turnover achieved individually, in the last financial year at the national level, by at least two of the interested companies was over 31 million euros.</w:t>
      </w:r>
    </w:p>
    <w:p>
      <w:r>
        <w:t>6. The non-compete agreement for the benefit of Iren and the company Alegas, in the form described by the Parties, due to the duration provided and the circumstance that it is established to protect the investment made by the buyer from possible actions by the seller concerning the recently transferred business branch can be considered an ancillary restriction, directly connected to the operation1.</w:t>
      </w:r>
    </w:p>
    <w:p>
      <w:r>
        <w:t>IV. EVALUATION OF THE CONCENTRATION</w:t>
      </w:r>
    </w:p>
    <w:p>
      <w:r>
        <w:t>The relevant markets and the effects of the operation</w:t>
      </w:r>
    </w:p>
    <w:p>
      <w:r>
        <w:t>7. Due to the operations of the acquired company, the operation involves the following markets from a commodity perspective:</w:t>
        <w:br/>
        <w:t>- market for the sale of electricity to non-domestic customers in high and medium voltage;</w:t>
        <w:br/>
        <w:t>- market for the sale of electricity to non-domestic customers in low voltage;</w:t>
        <w:br/>
        <w:t>- market for the sale of electricity to domestic customers in low voltage;</w:t>
        <w:br/>
        <w:t>- market for the retail sale of natural gas to medium-large final customers;</w:t>
        <w:br/>
        <w:t>- market for the retail sale of natural gas to small final customers.</w:t>
      </w:r>
    </w:p>
    <w:p>
      <w:r>
        <w:t>8. Regarding the market for the sale of electricity to non-domestic customers in high and medium voltage, it is, according to the established practice of the Authority, of national size. In the defined market, the operation presents negligible effects, as the Parties, following the operation, will hold a joint share that is in any case well below 5%. The same conclusion is reached in the case of the market for the retail sale of natural gas to medium-large final customers (also typically defined on a national basis).</w:t>
      </w:r>
    </w:p>
    <w:p>
      <w:r>
        <w:t>9. For the markets of electricity sales to customers connected in low voltage, both domestic and non-domestic, the Authority in its established practice has considered geographical areas narrower than the national one, also considering the importance of the role played at the local level by the sales companies under the greater protection regime, which are known to be linked to the companies that hold the concession (typically municipal) for the distribution service. In this specific case, neither the acquired company nor the acquiring company are present in the territory where Alegas's activity is concentrated (some municipalities in the province of Alessandria) as distributors of electricity and thus as legal monopoly suppliers of the greater protection service. In this case,</w:t>
      </w:r>
    </w:p>
    <w:p>
      <w:r>
        <w:t>1 See Commission Communication on restrictions directly related and necessary to concentrations (2005/C 56/03).</w:t>
      </w:r>
    </w:p>
    <w:p>
      <w:r>
        <w:rPr>
          <w:b/>
        </w:rPr>
        <w:t>[Pages 58–60]</w:t>
      </w:r>
    </w:p>
    <w:p>
      <w:r>
        <w:t>60 BULLETIN NO. 7 OF FEBRUARY 28, 2022</w:t>
      </w:r>
    </w:p>
    <w:p>
      <w:r>
        <w:t>therefore, the reasons for restricting the geographical scope of the relevant market diminish, and in any case, at the local level, there is always at least one significant competitor represented by the sales company belonging to the group holding the supply in greater protection.</w:t>
      </w:r>
    </w:p>
    <w:p>
      <w:r>
        <w:t>10. In any case, it is not necessary at this stage to define more accurately the geographical scope of the relevant market since the outcome of the assessment of this operation would not change regardless of the definition adopted. The operation indeed has negligible horizontal effects both for the market of electricity sales to residential customers and for that of sales to non-residential customers at low voltage. At the national level, the Parties do not jointly reach 5% of the market. At the regional level (Piedmont), the Parties would hold a cumulative share of approximately [10-15%] of the PODs and less than 10% in volume for non-residential customers, with a negligible contribution (and in particular less than 1%) from the acquired company; the joint share at the regional level in the market of residential customers would be approximately [15-20%] (both in terms of PODs and volumes), again with a contribution from the target company of less than 1%. Finally, with reference to the province of Alessandria, where the acquired Alegas operates, the cumulative share of the Parties in sales to non-residential customers connected at low voltage would be less than 10% in terms of served PODs and 5% in terms of volumes, while for the sale of electricity to residential customers at low voltage, the share jointly held by the Parties is only about [5-10%] of the market.</w:t>
      </w:r>
    </w:p>
    <w:p>
      <w:r>
        <w:t>11. Finally, with reference to the market for the retail sale of natural gas to small final customers, the Authority has traditionally considered this market to be of local dimension, although it has recently questioned the possibility of considering a broader market. In any case, in this specific case, it is noted that, again, the outcome of the assessment of the operation would not change regardless of the geographical dimension considered. In fact, the joint share held by the Parties in the Piedmont Region would be, both in terms of served PDRs and in terms of volumes supplied, less than 10%. At the level of the province of Alessandria, however, the Parties would hold post-merger a cumulative share of approximately [20-25%] in terms of PDRs and about [20-25%]. Even in this case, however, the share attributable to the acquired company - and therefore the increase attributable to the operation - would be very limited (even less than 1% in terms of PDR). Finally, the cumulative market share held by the Parties at the national level would in any case be less than 5%.</w:t>
      </w:r>
    </w:p>
    <w:p>
      <w:r>
        <w:t>12. In light of the above considerations, the concentration under examination does not appear to be capable of establishing a dominant position or significantly altering the conditions of competition in the relevant markets mentioned.</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CONSIDERING, also, that the agreements between the Parties accompanying the operation can be considered ancillary to the operation itself within the limits indicated and reported above and that the Authority reserves the right to evaluate, where the conditions exist, the aforementioned agreements should they be realized beyond those limits;</w:t>
      </w:r>
    </w:p>
    <w:p>
      <w:r>
        <w:t>BULLETIN NO. 7 OF FEBRUARY 28, 2022 61</w:t>
      </w:r>
    </w:p>
    <w:p>
      <w:r>
        <w:t>RESOLUTION</w:t>
      </w:r>
    </w:p>
    <w:p>
      <w:r>
        <w:t>not to initiate the investigation referred to in Article 16, paragraph 4, of Law No. 287/90. The above conclusions will be communicated, pursuant to Article 16, paragraph 4, of Law No. 287/90, to the interested companies and to the Minister of Economic Development. This measure will be published in the Bulletin of the Competition and Market Authority.</w:t>
      </w:r>
    </w:p>
    <w:p>
      <w:r>
        <w:t>THE DEPUTY SECRETARY GENERAL THE PRESIDENT pro tempore</w:t>
      </w:r>
    </w:p>
    <w:p>
      <w:r>
        <w:t>Serena Stella Michele Ainis</w:t>
      </w:r>
    </w:p>
    <w:p>
      <w:r>
        <w:t>62 BULLETIN NO. 7 OF FEBRUARY 28, 2022</w:t>
      </w:r>
    </w:p>
    <w:p>
      <w:r>
        <w:t>ACTIVITY OF REPORTING AND CONSULTATION</w:t>
      </w:r>
    </w:p>
    <w:p>
      <w:r>
        <w:t>AS1818 – LOMBARDY REGION - REGULATION OF TATTOOING AND PIERCING ACTIVITIES</w:t>
      </w:r>
    </w:p>
    <w:p>
      <w:r>
        <w:t>Rome, January 18, 2022</w:t>
      </w:r>
    </w:p>
    <w:p>
      <w:r>
        <w:t>Lombardy Region</w:t>
      </w:r>
    </w:p>
    <w:p>
      <w:r>
        <w:t>With reference to the request for an opinion made by this Administration pursuant to Article 3, paragraph 3, of Legislative Decree No. 142/2020, regarding the implementing provisions of the regional law of July 23, 2021, No. 13, concerning "Regulation of tattooing and piercing activities," the Competition and Market Authority, in its meeting of January 11, 2022, observed the following.</w:t>
      </w:r>
    </w:p>
    <w:p>
      <w:r>
        <w:t>In light of the reasons highlighted in the table attached to the request for an opinion, the regulation of the profession of tattoo artist and piercer that the Region intends to introduce appears proportionate to the objectives pursued and non-discriminatory. The cited provisions, as they are essentially aimed at uniformly regulating the activity and training of tattooing and/or piercing operators across the regional territory in order to protect the health of customers, do not appear to be capable of introducing unjustified restrictions on competition in the sector in question.</w:t>
      </w:r>
    </w:p>
    <w:p>
      <w:r>
        <w:t>This opinion will be published in the Bulletin of the Competition and Market Authority. Any confidentiality needs must be expressed within thirty days from the receipt of the opinion, specifying the reasons.</w:t>
      </w:r>
    </w:p>
    <w:p>
      <w:r>
        <w:t>THE PRESIDENT</w:t>
      </w:r>
    </w:p>
    <w:p>
      <w:r>
        <w:t>Roberto Rustichelli</w:t>
      </w:r>
    </w:p>
    <w:p>
      <w:r>
        <w:rPr>
          <w:b/>
        </w:rPr>
        <w:t>[Pages 61–63]</w:t>
      </w:r>
    </w:p>
    <w:p>
      <w:r>
        <w:t>BULLETIN NO. 7 OF FEBRUARY 28, 2022</w:t>
      </w:r>
    </w:p>
    <w:p>
      <w:r>
        <w:t>AS1819 - TAXI SERVICE MUNICIPALITY OF MONREALE</w:t>
      </w:r>
    </w:p>
    <w:p>
      <w:r>
        <w:t>Rome, February 17, 2022</w:t>
      </w:r>
    </w:p>
    <w:p>
      <w:r>
        <w:t>Metropolitan City of Palermo</w:t>
      </w:r>
    </w:p>
    <w:p>
      <w:r>
        <w:t>Municipality of Palermo</w:t>
      </w:r>
    </w:p>
    <w:p>
      <w:r>
        <w:t>Municipality of Monreale</w:t>
      </w:r>
    </w:p>
    <w:p>
      <w:r>
        <w:t>The Competition and Market Authority, in its meeting of February 8, 2021, deemed it appropriate to make some considerations, pursuant to Article 22 of Law No. 287 of October 10, 1990, regarding the competitive criticalities attributable to the absence of a unified regulation of the taxi service at the metropolitan or inter-municipal level (between the Municipalities of Palermo and Monreale) which prevents taxi drivers holding licenses issued by the Municipality of Monreale from providing service within the Metropolitan Area of Palermo, of which the Municipality of Monreale is a part, and therefore from operating at the airport, port, and railway infrastructures present in that Area, as well as serving the so-called "Arab-Norman route."</w:t>
      </w:r>
    </w:p>
    <w:p>
      <w:r>
        <w:t>In this regard, it is noted that there are a number of regulatory instruments in the national and regional legal systems aimed at establishing a unified management system for the taxi service within areas characterized by the presence of contiguous municipalities, as in the case of the Metropolitan Area of Palermo, capable of increasing supply by expanding the pool of active operators in the market, to the benefit of the end users. However, from the information gathered, it seems that the conduct of the involved Administrations is in contrast with the concrete realization of this objective.</w:t>
      </w:r>
    </w:p>
    <w:p>
      <w:r>
        <w:t>As is known, at the national level, the provision of taxi services is governed by Law No. 21 of January 15, 1992 "Framework Law for the Transport of Persons by Non-Scheduled Public Services" and subsequent amendments, to which Regions and Local Authorities must conform in their respective regulatory competences.</w:t>
      </w:r>
    </w:p>
    <w:p>
      <w:r>
        <w:t>Article 2 states that: "The taxi service aims to meet the needs of individual transport or small groups of people; it is aimed at an undifferentiated user base; the parking occurs in a public place; the fares are determined administratively by the competent authorities, which also establish the service modalities; the pickup of the user or the start of the service occurs within the municipal or district area" (paragraph 1). Furthermore: "Within the municipal or district areas referred to in paragraph 1, the provision of the service is mandatory (...)" (paragraph 2).</w:t>
      </w:r>
    </w:p>
    <w:p>
      <w:r>
        <w:t>Pursuant to Article 4 ("Regional Competences"), "Regions exercise their competences in the field of transport of persons by non-scheduled public services pursuant to the decree of the President of the Republic No. 616 of July 24, 1977 [1], and within the framework of the principles established by this law" (paragraph 1). "Regions, moreover, once the criteria to which municipalities must adhere in drafting regulations on the operation of taxi and chauffeur-driven rental services have been established, delegate to local authorities the exercise of the administrative functions implementing paragraph 1, also in order to realize an integrated vision of non-scheduled public transport with other modes of transport, within the framework of economic and territorial planning" (paragraph 2). "In compliance with regional regulations, local authorities delegated to exercise the administrative functions referred to in paragraph 1 regulate the operation of non-scheduled public services through specific regulations, also uniformly at the district level to achieve greater rationality and efficiency" (paragraph 3). Furthermore, based on paragraph 5 of Article 4: "For areas characterized by intense conurbation, regions may establish special rules aimed at ensuring a uniform and coordinated management of the service, in compliance with municipal competences."</w:t>
      </w:r>
    </w:p>
    <w:p>
      <w:r>
        <w:t>Article 5 ("Municipal Competences") assigns to Municipalities the task of establishing: "the number and type of vehicles and vessels to be used for each individual service" (letter a); "the modalities for the performance of the service" (letter b); "the criteria for determining the fares for the taxi service" (letter c); "the requirements and conditions for the issuance of the license for the operation of the service" (letter d).</w:t>
      </w:r>
    </w:p>
    <w:p>
      <w:r>
        <w:t>Finally, paragraph 1-bis (introduced in 2012)2 of Article 5-bis ("Access in the territory of other municipalities") provides that: "For the taxi service, the exercise of the activity is permitted even outside the territory of the municipalities that issued the license based on agreements signed by the mayors of the municipalities involved."</w:t>
      </w:r>
    </w:p>
    <w:p>
      <w:r>
        <w:t>In the Sicilian Region, the taxi service has a specific regulation established by Regional Law No. 29 of April 6, 1996, containing "Rules on non-scheduled public services in public service," which, in Article 1, establishes that: "Law No. 21 of January 15, 1992 applies in the territory of the Sicilian Region with the modifications and integrations provided for in this law."</w:t>
      </w:r>
    </w:p>
    <w:p>
      <w:r>
        <w:t>Article 2 (Exercise of implementing administrative functions) then provides that: "The exercise of implementing administrative functions, in the field of non-scheduled public services in public service, is delegated to the administrative bodies of metropolitan areas, where established pursuant to Law No. 9 of March 6, 1986" (paragraph 1). Furthermore: "Where such authorities are not established or for municipalities that are not part of metropolitan areas, the exercise of implementing administrative functions is delegated to the individual municipalities concerned" (paragraph 2). Again: "The bodies referred to in paragraph 1 adopt regulations on the operation of non-scheduled public services in public service in order to ensure that the public transport service of non-scheduled transport can fully satisfy the needs of users, according to criteria of continuity, cost-effectiveness, and safety" (paragraph 3).</w:t>
      </w:r>
    </w:p>
    <w:p>
      <w:r>
        <w:t>Based on the national and regional legislation described above, it is deemed appropriate that the addressed Administrations adopt all the tools that the legal system makes available to increase the level of competition in the market for non-scheduled public services in the Metropolitan City of Palermo. In this logic, it is desirable that Monreale taxi drivers be allowed to operate in a territorial area broader than that of the Municipality that issued the licenses, using specific pro-competitive tools such as, for example, an agreement between the municipalities involved (Palermo and Monreale), provided for by Article 5-bis, paragraph 1-bis, of Law No. 21/19923, or a metropolitan regulation containing rules aimed at ensuring a uniform and coordinated management of the taxi service in the territory of the municipalities included in the Metropolitan Area of Palermo, as occurs in other metropolitan realities. In particular, it is believed that the current stringent constraint preventing taxi drivers holding taxi licenses issued by the Municipality of Monreale from operating in the Metropolitan Area of Palermo is likely to limit the quantitative and qualitative differentiation of the taxi service offerings in the aforementioned territorial area. This constraint appears unjustified and disproportionate in light of the geographical location of the Municipality of Monreale within the Metropolitan City of Palermo. In fact, the Municipality of Monreale is located about 9 km from the city of Palermo, and Monreale is a stop on the most important tourist route in the area.</w:t>
      </w:r>
    </w:p>
    <w:p>
      <w:r>
        <w:t>The exclusion of Monreale taxi drivers from performing their activity in the Metropolitan Area of Palermo seems to present a discriminatory profile, as it creates a disparity of treatment between Monreale taxi drivers, who are not authorized to provide service within the Metropolitan Area, and those from the Municipality of Palermo, who do provide service to the tourist users following the so-called "Arab-Norman route" even in the territory of Monreale. Above all, the lack of regulation in the sector results in an undue reduction in the quantity and quality of the taxi service.</w:t>
      </w:r>
    </w:p>
    <w:p>
      <w:r>
        <w:t>The Authority hopes that the addressed Administrations will take appropriate initiatives to allow the correct conduct of competitive dynamics in the affected geographical areas.</w:t>
      </w:r>
    </w:p>
    <w:p>
      <w:r>
        <w:t>This opinion will be published in the Bulletin of the Competition and Market Authority.</w:t>
      </w:r>
    </w:p>
    <w:p>
      <w:r>
        <w:t>THE PRESIDENT f.f.</w:t>
      </w:r>
    </w:p>
    <w:p>
      <w:r>
        <w:t>Michele Ainis</w:t>
      </w:r>
    </w:p>
    <w:p>
      <w:r>
        <w:t>3 The aforementioned provision, according to which "For the taxi service, the exercise of the activity is permitted even outside the territory of the municipalities that issued the license based on agreements signed by the mayors of the municipalities involved," is directly applicable by local authorities, as it is a provision related to the matter concerning the protection of competition proportionate to the objective of liberalizing the affected sector (see, inter alia, Constitutional Court ruling No. 452 of December 12, 2007).</w:t>
      </w:r>
    </w:p>
    <w:p>
      <w:r>
        <w:rPr>
          <w:b/>
        </w:rPr>
        <w:t>[Pages 64–66]</w:t>
      </w:r>
    </w:p>
    <w:p>
      <w:r>
        <w:t>66 BULLETIN NO. 7 OF FEBRUARY 28, 2022</w:t>
      </w:r>
    </w:p>
    <w:p>
      <w:r>
        <w:t>UNFAIR COMMERCIAL PRACTICES</w:t>
      </w:r>
    </w:p>
    <w:p>
      <w:r>
        <w:t>PS11523 - TRAGHETTILINES.IT-VARIOUS ISSUES</w:t>
      </w:r>
    </w:p>
    <w:p>
      <w:r>
        <w:t>Measure No. 29977</w:t>
      </w:r>
    </w:p>
    <w:p>
      <w:r>
        <w:t>THE COMPETITION AND MARKET AUTHORITY</w:t>
      </w:r>
    </w:p>
    <w:p>
      <w:r>
        <w:t>IN ITS MEETING of January 18, 2022;</w:t>
      </w:r>
    </w:p>
    <w:p>
      <w:r>
        <w:t>HEARD the Rapporteur, President Roberto Rustichelli;</w:t>
      </w:r>
    </w:p>
    <w:p>
      <w:r>
        <w:t>HAVING REGARD TO Part II, Title III, and Part III, Title III, of Legislative Decree September 6, 2005, No. 206,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w:t>
      </w:r>
    </w:p>
    <w:p>
      <w:r>
        <w:t>HAVING REGARD TO its measure adopted on October 19, 2021, whereby, pursuant to Article 7, paragraph 3, of the Regulation, the deadline for concluding the procedure was extended due to specific investigative needs, following the proposal of commitments submitted by the Professional and considering the necessity to examine the findings in the records for the purpose of evaluating the case subject to the procedure in question;</w:t>
      </w:r>
    </w:p>
    <w:p>
      <w:r>
        <w:t>HAVING REGARD TO the acts of the procedure;</w:t>
      </w:r>
    </w:p>
    <w:p>
      <w:r>
        <w:t>I. THE PARTIES</w:t>
      </w:r>
    </w:p>
    <w:p>
      <w:r>
        <w:t>1. Prenotazioni24 S.r.l. - C.F./P.I. 01512130491 (hereinafter also "Prenotazioni24") is a web travel agency and tour operator, active in the promotion, comparison, and resale, on behalf of various shipping companies, of maritime transport tickets in the Mediterranean. This company operates through various websites – of which it is the owner – and in particular through the online platform www.traghettilines.it. The company reported a turnover, as of December 31, 2020, of nearly 14 million euros, an increase compared to the previous year's financial year1.</w:t>
      </w:r>
    </w:p>
    <w:p>
      <w:r>
        <w:t>2. Margherita Grassi Catapano, in her capacity as whistleblower.</w:t>
      </w:r>
    </w:p>
    <w:p>
      <w:r>
        <w:t>II. THE CONDUCTS</w:t>
      </w:r>
    </w:p>
    <w:p>
      <w:r>
        <w:t>3. The procedure concerns the behaviors carried out by the Professional through websites attributable to it - such as, in particular, www.tirrenia-prenotazioni.it, www.traghettilines.it, www.traghetti-grecia.it, and www.traghetti-sardegna.it – related to the promotion and online sale of passenger maritime transport services on multiple routes in the Mediterranean, on behalf of various shipping companies.</w:t>
      </w:r>
    </w:p>
    <w:p>
      <w:r>
        <w:t>4. Specifically, the conducts subject to this procedure are as follows.</w:t>
      </w:r>
    </w:p>
    <w:p>
      <w:r>
        <w:t>A) Online promotion and sale of travel tickets through websites characterized by substantial homonymy with the official websites of the shipping companies of which Prenotazioni24 is a reseller.</w:t>
      </w:r>
    </w:p>
    <w:p>
      <w:r>
        <w:t>5. The conduct concerns the creation of websites for the promotion and sale of travel tickets having names and graphic designs that are very similar to those of the shipping companies (such as, for example, Tirrenia) of which Prenotazioni24 is a reseller, in such a way as to generate in the consumer the erroneous belief of being on the official website of the same company.</w:t>
      </w:r>
    </w:p>
    <w:p>
      <w:r>
        <w:t>B) Incomplete representation of the total cost of travel tickets.</w:t>
      </w:r>
    </w:p>
    <w:p>
      <w:r>
        <w:t>6. This behavior pertains to the untimely provision of information regarding the actual expenditure resulting from the proposed transaction, as during the online booking on the websites www.traghettilines.it and www.tirrenia-prenotazioni.it, only at the purchase summary stage would the charge for additional "booking fees" of variable (and not negligible) amounts emerge for the first time. In fact, only at this last stage would the consumer become aware of the final price, increased compared to that previously considered at the time of selecting the route and the type of ticket (standard, seat, cabin).</w:t>
      </w:r>
    </w:p>
    <w:p>
      <w:r>
        <w:t>C) Pre-selected representation of the optional insurance service.</w:t>
      </w:r>
    </w:p>
    <w:p>
      <w:r>
        <w:t>7. On all four websites attributable to the Professional - www.traghettilines.it, www.tirrenia-prenotazioni.it, www.traghetti-sardegna.it, and www.traghetti-grecia.it - the cost item "Insurance," although being an optional element of the travel proposal, during the ticket booking procedure appears, in fact, pre-flagged and the related amount is presented as already included within the total price indicated to the customer.</w:t>
      </w:r>
    </w:p>
    <w:p>
      <w:r>
        <w:t>D) Charging commissions for the use of certain payment instruments.</w:t>
      </w:r>
    </w:p>
    <w:p>
      <w:r>
        <w:t>8. During the online booking on the websites www.traghettilines.it, www.tirrenia-prenotazioni.it, www.traghetti-sardegna.it, and www.traghetti-grecia.it – a commission – variable – is imposed on the customer on the total amount of the purchase made there, in case of opting for the PayPal payment instrument.</w:t>
      </w:r>
    </w:p>
    <w:p>
      <w:r>
        <w:t>E) Preparation of general sales conditions not immediately accessible to the consumer.</w:t>
      </w:r>
    </w:p>
    <w:p>
      <w:r>
        <w:t>9. On the websites www.traghettilines.it and www.tirrenia-prenotazioni.it, the General Conditions of Transport practiced by the Professional are accessible to the consumer only during the online booking2 and, moreover, the related link is placed in a phase of the booking process subsequent to that of payment. Furthermore, similar to what happens for the ancillary service of travel insurance, the box related to the acknowledgment of the general sales conditions appears pre-selected, so that the system would immediately allow payment regardless of whether the consumer exercises the right to know the characteristics of the contract. Also on the websites www.traghetti-sardegna.it and www.traghetti-grecia.it, the respective general conditions of transport are postponed in the online booking but are not pre-flagged in these cases.</w:t>
      </w:r>
    </w:p>
    <w:p>
      <w:r>
        <w:t>F) Indication of the Professional's legal headquarters as the competent court to resolve disputes with consumers.</w:t>
      </w:r>
    </w:p>
    <w:p>
      <w:r>
        <w:t>10. In paragraph 13.1 of the General Conditions of Sale of the website www.traghettilines.it3 it is provided that "Any disputes are governed by Italian law and are subject to the jurisdiction of the Court of Livorno." A completely analogous clause was also found in the general contract conditions accessible on the websites www.tirrenia-prenotazioni.it4, www.traghetti-sardegna.it5, and www.traghetti-grecia.it6, also referring to Prenotazioni24.</w:t>
      </w:r>
    </w:p>
    <w:p>
      <w:r>
        <w:t>III. THE FINDINGS OF THE PROCEDURE</w:t>
      </w:r>
    </w:p>
    <w:p>
      <w:r>
        <w:t>1) The course of the procedure.</w:t>
      </w:r>
    </w:p>
    <w:p>
      <w:r>
        <w:t>11. Based on various official surveys7, following some consumer complaints8 regarding the behaviors described above, on July 29, 2021, Prenotazioni24 S.r.l. was notified of the initiation of investigative procedure No. PS11523 for the alleged violation of certain provisions of the Consumer Code. In particular, in this context, the violation was hypothesized:</w:t>
        <w:br/>
        <w:t>- with reference to conduct A), of Articles 20, 21, paragraph 1, letters b), d) and f), paragraph 2, letter a), as well as Article 22 of the Consumer Code, as the reported online sale activity of travel tickets through so-called "bait" websites was deemed capable of generating false beliefs in the consumer regarding both the exact identification of the contracting Professional and the final and actual price of the transaction;</w:t>
        <w:br/>
        <w:t>- with reference to conduct B), of Articles 20, 21, paragraph 1, letter d), and 22 of the Consumer Code, as it eluded relevant information – such as the actual amount of service costs – that the average consumer needs to make an informed commercial decision;</w:t>
        <w:br/>
        <w:t>- with reference to conduct C), of Article 65 of the Consumer Code, due to the circumstance that the final price calculation also considered an additional payment, the item of which was pre-selected at the time of payment;</w:t>
        <w:br/>
        <w:t>- with reference to conduct D), of Article 62 of the Consumer Code, under which it is prohibited to impose additional charges on the consumer in relation to the choice and use of specific payment methods for the transaction with the Professional;</w:t>
        <w:br/>
        <w:t>3 Official survey on June 23, 2021.</w:t>
        <w:br/>
        <w:t>4 Official survey on July 6, 2021.</w:t>
        <w:br/>
        <w:t>5 Official survey on July 21, 2021.</w:t>
        <w:br/>
        <w:t>6 Official survey on July 6, 2021.</w:t>
        <w:br/>
        <w:t>7 The official surveys were conducted on the dates of June 23, 25, 28, and 29 as well as on July 6, 21, and 29, 2021 (Cf. No. 4 minutes of acquisition in the same date of July 28, 2021).</w:t>
        <w:br/>
        <w:t>8 Docs. of July 30, 2019, prot. No. 52466, of October 23, 2019, prot. No. 68743, of February 4, 2020, prot. No. 17046, of April 30, 2020, prot. No. 36140, of June 15, 2020, prot. No. 46536, of June 25, 2020, prot. No. 49804, of July 1, 2020, prot. No. 51815, of August 6, 2020, prot. No. 62140, of September 1, 2020, prot. No. 66112, of September 3, 2020, prot. No. 66699, of September 9, 2020, prot. No. 67993.</w:t>
      </w:r>
    </w:p>
    <w:p>
      <w:r>
        <w:rPr>
          <w:b/>
        </w:rPr>
        <w:t>[Pages 67–69]</w:t>
      </w:r>
    </w:p>
    <w:p>
      <w:r>
        <w:t>BULLETIN NO. 7 OF FEBRUARY 28, 2022</w:t>
      </w:r>
    </w:p>
    <w:p>
      <w:r>
        <w:t>- with reference to conduct E), of Articles 20 and 22 of the Consumer Code, as the presence of a pre-checked box regarding the acceptance of the general sales conditions completely undermines the very existence of the same, resulting in a drastic reduction of the consumer's contractual awareness regarding the purchase operation with the Professional;</w:t>
        <w:br/>
        <w:t>- with reference to conduct F), of Article 66 bis of the Consumer Code, according to which, for civil disputes between professionals and consumers, “the mandatory territorial jurisdiction (…) of the judge of the place of residence or domicile of the consumer, if located within the territory of the State” is provided.</w:t>
      </w:r>
    </w:p>
    <w:p>
      <w:r>
        <w:t>12. In the same communication of initiation dated July 29, 2021, documented clarifications and information were requested regarding the highlighted conduct.</w:t>
      </w:r>
    </w:p>
    <w:p>
      <w:r>
        <w:t>13. On August 6, 2021, the Company requested an extension of the deadline to respond to the information request contained in the initiation communication.</w:t>
      </w:r>
    </w:p>
    <w:p>
      <w:r>
        <w:t>14. The Professional, following a specific request, accessed the documents of the investigation file both on September 1, 2021, and on November 16, 2021.</w:t>
      </w:r>
    </w:p>
    <w:p>
      <w:r>
        <w:t>15. On August 31, 2021, a communication was received in which Prenotazioni24 illustrated the adoption or planning of certain measures for the benefit of consumers aimed at resolving the issues identified during the initiation.</w:t>
      </w:r>
    </w:p>
    <w:p>
      <w:r>
        <w:t>16. On September 13, 2021, the Professional transmitted documented responses to the information request made during the initiation of the procedure.</w:t>
      </w:r>
    </w:p>
    <w:p>
      <w:r>
        <w:t>9 In particular, Prenotazioni24 was asked to specify, with reference to the period from January 2019 to June 2021:</w:t>
        <w:br/>
        <w:t>1. “number and name of websites attributable to Prenotazioni24 and used as sales channels for passenger maritime transport tickets;</w:t>
        <w:br/>
        <w:t>2. number and name of the Maritime Carriers with whom agreements for the sale of passenger tickets through Prenotazioni24 have been and/or are currently maintained;</w:t>
        <w:br/>
        <w:t>3. copy of the commercial agreements currently in force with the maritime carriers Tirrenia, Superfast Ferries, Anek Lines, and Moby Lines for the sale of passenger maritime transport tickets through Prenotazioni24 S.r.l.;</w:t>
        <w:br/>
        <w:t>4. amount of the economic commission recognized to Prenotazioni24 by each affiliated shipping company for each ticket sold by the Professional through the websites managed by the same;</w:t>
        <w:br/>
        <w:t>5. total economic value of the aforementioned economic commissions as achieved in the indicated period;</w:t>
        <w:br/>
        <w:t>6. number of transactions carried out and their total value, broken down by each year and for each shipping company affiliated with the Professional, within the indicated period;</w:t>
        <w:br/>
        <w:t>7. indicate from when (month and year) the pre-checked box regarding the purchase of insurance is expected to be present within the various websites attributable to the professional;</w:t>
        <w:br/>
        <w:t>8. total number of tickets sold in conjunction with the insurance proposed to customers broken down by each year and for each shipping company affiliated with the Professional, within the indicated period;</w:t>
        <w:br/>
        <w:t>9. indication of the digital marketing companies with which commercial agreements have been and/or are currently maintained, particularly for the positioning of websites attributable to Prenotazioni24 on search engines, indicating the total cost incurred by the Professional in this regard during the indicated period;</w:t>
        <w:br/>
        <w:t>10. payment methods for purchases other than credit card or PayPal and any additional fees provided;</w:t>
        <w:br/>
        <w:t>11. channels and methods prepared for customer assistance;</w:t>
        <w:br/>
        <w:t>12. any other element deemed useful for the evaluation of the case in question.”</w:t>
      </w:r>
    </w:p>
    <w:p>
      <w:r>
        <w:t>10 Document of 06.08.2021, prot. n. 64967. Based on the reasons provided by the Professional, the request was accepted with communication of 09.08.2021, prot. n. 65151.</w:t>
      </w:r>
    </w:p>
    <w:p>
      <w:r>
        <w:t>11 Document of 30.08.2021, prot. n. 67702 and document of 01.09.2021, prot. n. 67990.</w:t>
      </w:r>
    </w:p>
    <w:p>
      <w:r>
        <w:t>12 Document of 15.11.2021, prot. n. 85707 and document of 16.11.2021, prot. n. 86201.</w:t>
      </w:r>
    </w:p>
    <w:p>
      <w:r>
        <w:t>13 Document of 31.08.2021, prot. n. 67728.</w:t>
      </w:r>
    </w:p>
    <w:p>
      <w:r>
        <w:t>14 Prot. n. 70842.</w:t>
      </w:r>
    </w:p>
    <w:p>
      <w:r>
        <w:t>17. With a separate communication received on the same date, the Professional transmitted, along with a defensive memorandum, also a proposal for commitments, pursuant to Article 27, paragraph 7, of the Consumer Code, aimed at removing the unfair aspects of the contested commercial practices. These commitments were rejected by the Authority in its meeting of October 19, 2021, given the interest in ascertaining the relevance of the highlighted cases, as well as due to their inadequacy to resolve the issues detrimental to customers already affected by the conduct under investigation. The rejection was communicated to the Professional on October 21, 2021.</w:t>
      </w:r>
    </w:p>
    <w:p>
      <w:r>
        <w:t>18. On September 29, 2021, a request for participation in the investigation procedure was received from a reporting consumer, the acceptance of which was communicated to the Parties on October 6, 2021. The same reporter also accessed the documents of the procedure on October 14, 2021.</w:t>
      </w:r>
    </w:p>
    <w:p>
      <w:r>
        <w:t>19. At their request, the Company was heard in a hearing on October 6, 2021.</w:t>
      </w:r>
    </w:p>
    <w:p>
      <w:r>
        <w:t>20. On November 11, 2021, the date of conclusion of the investigative phase was communicated to the Parties, pursuant to Article 16, paragraph 1, of the Regulation.</w:t>
      </w:r>
    </w:p>
    <w:p>
      <w:r>
        <w:t>21. On December 2, 2021, Prenotazioni24 S.r.l. filed a concluding memorandum.</w:t>
      </w:r>
    </w:p>
    <w:p>
      <w:r>
        <w:t>2) The evidence acquired</w:t>
      </w:r>
    </w:p>
    <w:p>
      <w:r>
        <w:t>22. From the various elements overall acquired in the context of the investigation in question, the following emerges.</w:t>
      </w:r>
    </w:p>
    <w:p>
      <w:r>
        <w:t>Nature, organization, and activities of the Professional</w:t>
      </w:r>
    </w:p>
    <w:p>
      <w:r>
        <w:t>23. Prenotazioni24, which has a tour operator license, operates as an authorized reseller – in the form of an online agency – for some of the most important Italian and European shipping companies, and is specialized in managing the booking processes for maritime transport services. Born as a ticket office for some Carriers, the company has progressively expanded its offering by creating a “network” of websites dedicated to organizing trips through the comparison of routes and prices and for the purchase of tickets. To this end, it has prepared and made available to customers a sophisticated IT system – technically connected with the systems of the intermediate companies – that allows users to express their options within a wide range of routes, prices, and payment methods.</w:t>
      </w:r>
    </w:p>
    <w:p>
      <w:r>
        <w:t>24. The Professional has created and manages both “single-dedicated” sites – related to the promotion and sale of transport services for a single shipping company, such as the one here highlighted at www.tirrenia-prenotazioni.it – and so-called “comparator” sites (such as those highlighted here at www.traghettilines.it, www.traghetti-grecia.it, and www.traghetti-sardegna.it) that allow users to organize a trip by checking and comparing different routes and commercial offers as proposed simultaneously by multiple maritime carriers.</w:t>
      </w:r>
    </w:p>
    <w:p>
      <w:r>
        <w:t>25. In the period from 2019 to June 2021, the Company entered into various intermediation agreements for the sale of passenger maritime transport tickets with [50-100] shipping companies: from some of these contracts, it emerges, among other things, that for the entirety of the commercial activities (primarily bookings and tickets) carried out on behalf of the shipping company, Prenotazioni24 is entitled to a variable commission [5-15%] of the total transactions concluded through the Agency and regularly executed by the customer. Annually, through an addendum to the original contract, the commissions due to the online agency are renegotiated and updated between the parties.</w:t>
      </w:r>
    </w:p>
    <w:p>
      <w:r>
        <w:t>26. The total economic value of the commissions paid to Prenotazioni24 by the various affiliated Carriers for the ticket sales intermediation activity, in the period from 2019 to June 2021, amounts to nearly [10-20] million euros, [1-5] of which were paid by the Tirrenia company alone.</w:t>
      </w:r>
    </w:p>
    <w:p>
      <w:r>
        <w:t>27. The number of tickets sold by Prenotazioni24, on behalf of the various intermediate companies, from 2019 to the first half of 2021 is [1-2 million], amounting, in total value, to over [100-200] million euros. On behalf of the Tirrenia company alone, during the same period, Prenotazioni24 sold [100,000-300,000] tickets amounting, in value, to over [25-45] million euros.</w:t>
      </w:r>
    </w:p>
    <w:p>
      <w:r>
        <w:t>Regarding the distinct conducts</w:t>
      </w:r>
    </w:p>
    <w:p>
      <w:r>
        <w:t>28. Conduct A) (promotion and online sale of travel titles through websites characterized by substantial homonymy with the official websites of the shipping companies of which Prenotazioni24 is a reseller) concerns the site www.tirrenia-prenotazioni.it through which the Company carries out promotional and sales activities for transport services on behalf of the shipping company Tirrenia. To this end, the Professional appears to have conformed the website in question using – from the domain and on the homepage – names, images, references, and graphic settings that are entirely similar to those of the affiliated Carrier – such as to generate in the consumer the impression that they are interacting with the official site of the shipping company.</w:t>
      </w:r>
    </w:p>
    <w:p>
      <w:r>
        <w:rPr>
          <w:b/>
        </w:rPr>
        <w:t>[Pages 70–72]</w:t>
      </w:r>
    </w:p>
    <w:p>
      <w:r>
        <w:t>72 BULLETIN NO. 7 OF FEBRUARY 28, 2022</w:t>
      </w:r>
    </w:p>
    <w:p>
      <w:r>
        <w:t>conviction of being on the official website of the same shipping company. In particular, on the homepage, the name of the intermediary company was prominently displayed, also evoked with images of the related fleet, while the fact that the site is, in reality, "managed by Prenotazioni24" is rendered in extremely small characters and without the use of any graphic emphasis (see image 1)32.</w:t>
      </w:r>
    </w:p>
    <w:p>
      <w:r>
        <w:t>Image No. 1</w:t>
      </w:r>
    </w:p>
    <w:p>
      <w:r>
        <w:t>29. Based on official checks (see image 2)33, and as admitted by the Professional himself34, conducting a search for Tirrenia bookings, the site www.tirrenia-prenotazioni.it appeared at the top of the Google ranking as a result of Prenotazioni24's choice to "&lt;&lt;invest&gt;&gt; in order to gain positions" in that ranking.</w:t>
      </w:r>
    </w:p>
    <w:p>
      <w:r>
        <w:t>32 Official detection on June 28, 2021.</w:t>
      </w:r>
    </w:p>
    <w:p>
      <w:r>
        <w:t>33 Official detection on June 25, 2021.</w:t>
      </w:r>
    </w:p>
    <w:p>
      <w:r>
        <w:t>34 Document of September 13, 2021, prot. no. 707842, p. 19.</w:t>
      </w:r>
    </w:p>
    <w:p>
      <w:r>
        <w:t>BULLETIN NO. 7 OF FEBRUARY 28, 2022 73</w:t>
      </w:r>
    </w:p>
    <w:p>
      <w:r>
        <w:t>Image No. 2</w:t>
      </w:r>
    </w:p>
    <w:p>
      <w:r>
        <w:t>30. Regarding the conduct under B) (incomplete representation of the total cost of travel tickets), Prenotazioni24 appears to have presented the consumer with information regarding the full and actual expenditure resulting from the proposed transaction, during the online booking on the sites www.traghettilines.it and www.tirrenia-prenotazioni.it only at the summary phase of the purchase, where, for the first time, the charge of additional "booking fees" - of non-negligible amount - emerges, resulting in an increase in the final price compared to that already considered at the time of selecting the route and the type of ticket (standard, seat, cabin). Specifically, after selecting the route of interest, the user is offered the possibility to choose among various types of tickets, each corresponding to a specified price. After selecting the fare, the user proceeds to the next phase where the "Total" cost of the ticket is first communicated, which is broken down into two distinct items ("seat" and "taxes and supplements") that were not previously highlighted, and only afterwards (within the "Price Summary") are the "booking fees" demanded by the Professional for the online transaction further - and anew - presented to the consumer (see images no. 3 and 4)35.</w:t>
      </w:r>
    </w:p>
    <w:p>
      <w:r>
        <w:t>35 Official detections on June 28, 2021 from the site www.tirrenia-prenotazioni.it.</w:t>
      </w:r>
    </w:p>
    <w:p>
      <w:r>
        <w:t>74 BULLETIN NO. 7 OF FEBRUARY 28, 2022</w:t>
      </w:r>
    </w:p>
    <w:p>
      <w:r>
        <w:t>Image No. 3</w:t>
      </w:r>
    </w:p>
    <w:p>
      <w:r>
        <w:t>Image No. 4</w:t>
      </w:r>
    </w:p>
    <w:p>
      <w:r>
        <w:rPr>
          <w:b/>
        </w:rPr>
        <w:t>[Pages 73–75]</w:t>
      </w:r>
    </w:p>
    <w:p>
      <w:r>
        <w:t>BULLETIN NO. 7 OF FEBRUARY 28, 2022</w:t>
      </w:r>
    </w:p>
    <w:p>
      <w:r>
        <w:t>31. According to the information provided by the Company, the total amount of booking fees collected by Prenotazioni24 from January 2019 to June 2021 was over [omitted] million euros, of which over [omitted] million were generated from transactions completed through the websites www.traghettilines.it, www.tirrenia-prenotazioni.it, www.traghetti-sardegna.it, and www.traghettigrecia.it36.</w:t>
      </w:r>
    </w:p>
    <w:p>
      <w:r>
        <w:t>32. Regarding the conduct under C), it was found that Prenotazioni24 presented the optional service related to "Insurance" in the event of voluntary cancellation of the trip by the passenger in a pre-flagged manner during the online booking on the websites www.traghettilines.it, www.tirrenia-prenotazioni.it, www.traghetti-sardegna.it, and www.traghetti-grecia.it (see image no. 5)37.</w:t>
      </w:r>
    </w:p>
    <w:p>
      <w:r>
        <w:t>33. According to the Company's statement, in the period from 2019 to 2021, the percentage of consumers who did not remove the pre-flag was [10-100%] compared to those who, in the same period, completed a transaction through the Professional's websites38; furthermore, the number of tickets sold in conjunction with insurance through the Prenotazioni24 websites amounted to a total of [500,000-1,000,000]39.</w:t>
      </w:r>
    </w:p>
    <w:p>
      <w:r>
        <w:t>34. Regarding the conduct under D), it appears that Prenotazioni24 charged a commission - of variable amount - on the total purchase made during the online booking on the websites www.traghettilines.it, www.tirrenia-prenotazioni.it, www.traghetti-sardegna.it, and www.traghetti-grecia.it, in the case of opting for the PayPal payment method (see image no. 6)40:</w:t>
      </w:r>
    </w:p>
    <w:p>
      <w:r>
        <w:t>36 See hearing minutes dated October 6, 2021, p. 3, and document of October 13, 2021, prot. no. 77993.</w:t>
        <w:br/>
        <w:t>37 Official survey dated June 28, 2021 from the website www.traghettilines.it.</w:t>
        <w:br/>
        <w:t>38 Document of September 13, 2021, prot. no. 70584 (p. 13).</w:t>
        <w:br/>
        <w:t>39 See Annex R8 to the document of September 13, 2021, prot. no. 70842.</w:t>
        <w:br/>
        <w:t>40 Official survey dated June 28, 2021 from the website www.traghettilines.it.</w:t>
      </w:r>
    </w:p>
    <w:p>
      <w:r>
        <w:t>35. According to the Professional's statement, the agreement in force with PayPal until August 2021 provided for a particularly high commission fully refunded by Prenotazioni24 to the multinational payment company.</w:t>
      </w:r>
    </w:p>
    <w:p>
      <w:r>
        <w:t>36. Furthermore, the number of transactions completed on the aforementioned four websites using the PayPal payment method, in the period from June 2019 to the first half of 2021, was [50,000-100,000]41.</w:t>
      </w:r>
    </w:p>
    <w:p>
      <w:r>
        <w:t>37. Regarding the conduct under E), it emerges that Prenotazioni24 ensured the accessibility of its General Terms and Conditions of Sale - on the websites www.traghettilines.it, www.tirrenia-prenotazioni.it, www.traghetti-sardegna.it, and www.traghetti-grecia.it - only during the online purchase procedure, at the bottom of the payment webpage; moreover, during the booking on the websites www.traghettilines.it and www.tirrenia-prenotazioni.it, the box related to the acknowledgment of such General Terms and Conditions of Sale was pre-selected, allowing immediate payment, regardless of the circumstance - and already beforehand - that the consumer exercises the right to know the characteristics of the contract to which they are adhering (see previous image no. 6).</w:t>
      </w:r>
    </w:p>
    <w:p>
      <w:r>
        <w:t>41 See Annex R10 to the document of September 13, 2021, prot. no. 70842 and the annex to the document of October 8, 2021, prot. no. 77179.</w:t>
      </w:r>
    </w:p>
    <w:p>
      <w:r>
        <w:t>38. Regarding the conduct under F), it was found that on all four websites related to the Professional (www.traghettilines.it, www.tirrenia-prenotazioni.it, www.traghetti-sardegna.it, and www.traghetti-grecia.it), Prenotazioni24 provided, within the dedicated paragraph of its General Terms and Conditions of Sale, that "Any disputes are governed by Italian law and are subject to the jurisdiction of the Court of Livorno."</w:t>
      </w:r>
    </w:p>
    <w:p>
      <w:r>
        <w:t>3) The Professional's defensive arguments</w:t>
      </w:r>
    </w:p>
    <w:p>
      <w:r>
        <w:t>39. The professional made various observations and defensive arguments during the investigation - relating both to procedural issues and the merits of the contested practices - which are summarized below42:</w:t>
      </w:r>
    </w:p>
    <w:p>
      <w:r>
        <w:t>40. As a preliminary matter, the Professional raises the "lateness" of the initiation of this proceeding, stating that, based on the presence of two reports dating back to 2019, the Authority would have already had "all the essential elements to outline the basic elements of the alleged offense" at that time. Such "delay" would be "incompatible with the principles of promptness of administrative proceedings and legal certainty" and also detrimental to "the position of the professional subject to the proceeding" since the Company, even then, "could have promptly removed the profiles of hypothetical unfairness of the contested conduct in the event of timely communication of the concerns raised by the Offices."</w:t>
      </w:r>
    </w:p>
    <w:p>
      <w:r>
        <w:t>41. The initiation of the proceeding only against Prenotazioni24 would have discriminatory effects for the Company - regarding the inability to compete effectively and the reputational damage resulting from any sanction - in a market sector (that of web agencies) populated by multiple operators who, according to the Professional, would engage in the same conduct contested here, in accordance with "consolidated and widely spread practices"43. The Company would report the impression that the "set of complaints from which the current proceeding has arisen is attributable not to individual consumers (as is usually the case in similar situations), but to much more experienced and legally competent hands" and, therefore, insists on the suspension of this proceeding and, conversely, on the extension of the investigation to other similar Professionals, starting from those specifically identified in the same submissions.</w:t>
      </w:r>
    </w:p>
    <w:p>
      <w:r>
        <w:t>42. On the merits of the individual conducts, the Professional notes the following.</w:t>
      </w:r>
    </w:p>
    <w:p>
      <w:r>
        <w:t>43. With reference to the conduct under A), the "decoy" nature of the website www.tirrenia-prenotazioni.it is contested, particularly excluding that the graphic characteristics in question were such as to confuse consumers regarding the identity of the contracting Professional: aside from the presence - albeit in very small characters - of the wording "Authorized Agency Tirrenia" next to the agency's name, the consumer could easily identify the Professional simply by clicking on the web section titled "who we are."</w:t>
      </w:r>
    </w:p>
    <w:p>
      <w:r>
        <w:t>44. The establishment of the website www.tirrenia-prenotazioni.it would have occurred "in function of the commercial relationship in place with the shipping company," based on which the use of the name "Tirrenia" would represent "an essential element for the success of the project," for the</w:t>
      </w:r>
    </w:p>
    <w:p>
      <w:r>
        <w:rPr>
          <w:b/>
        </w:rPr>
        <w:t>[Pages 76–78]</w:t>
      </w:r>
    </w:p>
    <w:p>
      <w:r>
        <w:t>78 BULLETIN NO. 7 OF FEBRUARY 28, 2022</w:t>
      </w:r>
    </w:p>
    <w:p>
      <w:r>
        <w:t>the achievement of their respective economic interests44. According to the professional, some rulings from the merits jurisprudence have deemed the use of transport company trademarks by comparison sites to be legitimate, even in the absence of a commercial agreement between the two companies45.</w:t>
      </w:r>
    </w:p>
    <w:p>
      <w:r>
        <w:t>45. The fact that a significant portion of the revenues of Prenotazioni24 is attributable to the intermediation in the sale of tickets for Tirrenia would have no connection nor would it be relevant to support the nature of “clickbait” of www.tirrenia-prenotazioni.it since Tirrenia would be “the main and most important partner company of Prenotazioni24, considering the number of routes operated in the Mediterranean and the offer it is able to provide to consumers”46.</w:t>
      </w:r>
    </w:p>
    <w:p>
      <w:r>
        <w:t>46. Finally, the fact that the site www.tirrenia-prenotazioni.it appears at the top of the Google ranking (when a query is made on “Tirrenia” on the well-known search engine) would be a “perfectly legitimate commercial choice” and also “pro-competitive”.</w:t>
      </w:r>
    </w:p>
    <w:p>
      <w:r>
        <w:t>47. Regarding the conduct under B), according to the Professional, the representation of booking rights at an advanced stage of the purchasing process would be an “inescapable” practice during booking (as the amount of such cost items depends on the choices made by the customer), and is widely spread among operators in the sector.</w:t>
      </w:r>
    </w:p>
    <w:p>
      <w:r>
        <w:t>48. Furthermore, since “over 95% of users” accessing the sites in question would use them for mere information and “would not even reach the conclusion of the booking process,” in practice this practice would cause no harm except to those who voluntarily reach the end of the purchasing process47.</w:t>
      </w:r>
    </w:p>
    <w:p>
      <w:r>
        <w:t>49. The conduct under C) would be “distant” and less serious compared to similar interventions by the Authority48, mainly due to the easy possibility of “deselecting” the additional service offered on the Prenotazioni24 websites49.</w:t>
      </w:r>
    </w:p>
    <w:p>
      <w:r>
        <w:t>50. The fact that, during the period under investigation, [10-100%] of customers did not deselect the box for insurance against voluntary trip cancellation during booking would indicate a “completely conscious” commercial choice by consumers, primarily conditioned by external factors (such as, for example, the “seasonal” trend of bookings or the distance between the ticket purchase date and travel date)50 and not, instead, by the specific configuration of the Professional's search and purchase sites. The Professional adds that the average consumer who accesses and completes commercial transactions on comparison sites “is by definition particularly experienced and advanced,” “sophisticated and attentive” and, therefore, substantially immune from conditioning as well as able to exploit to their exclusive advantage, and not only for purchasing, the information available there51.</w:t>
      </w:r>
    </w:p>
    <w:p>
      <w:r>
        <w:t>51. As for the conduct under D), the application of a fee to the customer in case of using the aforementioned payment method is the result of a business choice by Prenotazioni24 aimed at offering the public a service “rich in alternative options” in order to ensure greater competitiveness for the company in the sector52; this choice would have a cost character for the Company, only partially compensated by the “contribution” requested from the passenger53 and, in any case, would not be a source of specific revenues.</w:t>
      </w:r>
    </w:p>
    <w:p>
      <w:r>
        <w:t>52. Prenotazioni24 emphasizes that this conduct would also be adopted by other competing operators for payments to public administrations.</w:t>
      </w:r>
    </w:p>
    <w:p>
      <w:r>
        <w:t>53. From a legal standpoint, the Professional – although aware of the different and reiterated interpretative orientation of the Authority regarding the application of Article 62 of the Consumer Code54 – argues that the provision in the second sentence of the first paragraph (“Pursuant to Article 3, paragraph 4, of Legislative Decree 27.01.2010, No. 11, professionals may not impose on consumers, in relation to the use of certain payment instruments, charges for the use of such instruments or, in the cases expressly established, fees that exceed those incurred by the professional”) finds anchorage in Recital 54 of Directive 2011/83/EU55 and, therefore, believes that with the aforementioned clause the Italian legislator intended to refer to cases “where it is the professional who bears the commission requested by the payment company.” This provision, in fact, would allow the company “to charge a commission to customers who use a certain payment instrument, on the (sole) condition that the amount of such contribution remains below the costs incurred by the professional; that is, exactly what happens in the case at hand.”</w:t>
      </w:r>
    </w:p>
    <w:p>
      <w:r>
        <w:t>54. The conduct under E), according to Prenotazioni24 – limited to the sites www.traghettilines.it and www.tirrenia-prenotazioni.it – would constitute a “completely harmless practice as well as widely spread in the sector”56 that would not have “produced any concrete effect to the detriment of customers”57.</w:t>
      </w:r>
    </w:p>
    <w:p>
      <w:r>
        <w:t>55. Finally, the conduct under F) would have practically “had no effect, as it has never been applied” against any customer58.</w:t>
      </w:r>
    </w:p>
    <w:p>
      <w:r>
        <w:t>56. Prenotazioni24 concludes by asserting the impossibility of imposing a sanction at the closure of the procedure under examination unless it were “purely symbolic”: this is due, in particular, to the “unjustified duration of the pre-investigation phase,” the behavior observed from the company during the investigation (of broad cooperation and aimed at promptly removing the contested issues), as well as the fact that the conducts under examination “represent, in more than one case, true and proper practices of the sector, considered legitimate by all those who operate in it”59.</w:t>
      </w:r>
    </w:p>
    <w:p>
      <w:r>
        <w:t>4) The modifications to the conducts adopted by the Professional during the investigation</w:t>
      </w:r>
    </w:p>
    <w:p>
      <w:r>
        <w:t>57. During the investigation60, Prenotazioni24 has implemented progressive interventions on the four websites in question (on the respective homepage, in specific informational sections, in the General Terms and Conditions practiced, in the online booking procedure accessible there) directly affecting the various conducts contested in the initiation communication, as summarized below.</w:t>
      </w:r>
    </w:p>
    <w:p>
      <w:r>
        <w:t>On the site www.tirrenia-prenotazioni.it</w:t>
      </w:r>
    </w:p>
    <w:p>
      <w:r>
        <w:t>58. Since August 16, 2021, the size of the wording “by Prenotazioni24” already present on the homepage of the same site has been increased, while at the same time, the size of the name of the “intermediated” company Tirrenia has been reduced. Since September 17, 2021, new graphic modifications have also been introduced, such as: a) color and size emphasis on the professional's brand and the attached wording “Authorized Reseller Agency Tirrenia,” b) accentuation of the differences with the official logo of “Tirrenia”; c) revision of all graphic and photographic material as well as the texts already present there (in particular, eliminating photos of the Tirrenia fleet and specifying that it is a site managed by the Agency).</w:t>
      </w:r>
    </w:p>
    <w:p>
      <w:r>
        <w:t>On the websites www.traghettilines.it and www.tirrenia-prenotazioni.it</w:t>
      </w:r>
    </w:p>
    <w:p>
      <w:r>
        <w:t>59. Since August 13, 2021, the Professional has eliminated the automatic pre-selection of the General Terms and Conditions of Sale and the related box has been repositioned within the web page so as to appear before the section dedicated to the choice of payment method, so that</w:t>
      </w:r>
    </w:p>
    <w:p>
      <w:r>
        <w:t>56 Cf. doc. of December 2, 2021, prot. n. 90117, p. 10.</w:t>
        <w:br/>
        <w:t>57 Cf. doc. of September 13, 2021, prot. n. 70584 (p. 28).</w:t>
        <w:br/>
        <w:t>58 The Professional also states that “in one of the only 3 cases in which it was agreed by a consumer, the company appeared in the lawsuit brought before a German court and in the other two cases it appeared at the customer's domicile” (Cf., e.g., doc. of December 2, 2021, prot. n. 90117, p. 10).</w:t>
        <w:br/>
        <w:t>59 The Professional adds that “In this sense, the case at hand represents a ‘pilot case,’ which justifies at most a simple warning that, in the denied hypothesis of confirmation of the contested infringement, could only result in the application of a purely symbolic sanction devoid of any punitive significance.” (Cf. doc. of December 2, 2021, prot. n. 90117, p. 11).</w:t>
        <w:br/>
        <w:t>60 Cf. doc. of August 31, 2021, prot. n. 67728; doc of September 13, 2021, prot. n. 70584; doc of September 13, 2021, prot. n. 70744; minutes of the hearing on October 6, 2021; doc. of October 13, 2021, prot. n. 77993.</w:t>
      </w:r>
    </w:p>
    <w:p>
      <w:r>
        <w:rPr>
          <w:b/>
        </w:rPr>
        <w:t>[Pages 79–81]</w:t>
      </w:r>
    </w:p>
    <w:p>
      <w:r>
        <w:t>BULLETIN NO. 7 OF FEBRUARY 28, 2022</w:t>
      </w:r>
    </w:p>
    <w:p>
      <w:r>
        <w:t>the user cannot proceed with the purchase of the ticket without first checking the box next to the General Conditions of Sale;</w:t>
      </w:r>
    </w:p>
    <w:p>
      <w:r>
        <w:t>On all four websites subject to the proceedings (www.traghettilines.it, www.tirrenia-prenotazioni.it, www.traghetti-grecia.it and www.traghetti-sardegna.it)</w:t>
      </w:r>
    </w:p>
    <w:p>
      <w:r>
        <w:t>60. Since August 13, 2021, the box containing the General Conditions of Sale, within the online booking process, has been repositioned within the web page, so as to appear before the box dedicated to the choice of payment method, thus requiring the customer intending to proceed with the reservation to confirm by checking the box that they have read the same conditions before proceeding with the purchase of the ticket.</w:t>
      </w:r>
    </w:p>
    <w:p>
      <w:r>
        <w:t>61. Since August 13, 2021, the commission previously provided for in the case of the customer's option for online payment via Paypal has been eliminated.</w:t>
      </w:r>
    </w:p>
    <w:p>
      <w:r>
        <w:t>62. Since August 20, 2021, the Professional has replaced the previous clause of its General Conditions of Sale with the following: “Any disputes are governed by Italian law and are subject to the jurisdiction of the court of the place of residence or domicile of the consumer, if located within the territory of the Italian state. In the case of disputes with VAT subjects benefiting from the service, the court of Livorno shall have jurisdiction.” Since October 13, 2021, the same clause has been further modified to the following text: “For any dispute arising from the interpretation and/or execution of this contract, the competent court is that of Livorno. In the case of a passenger who qualifies as a consumer under current Italian law, the competent court shall be exclusively that of their residence or domicile, if domiciled or residing in Italy.”</w:t>
      </w:r>
    </w:p>
    <w:p>
      <w:r>
        <w:t>63. Since September 17, 2021, the Professional has eliminated the pre-selection of the box related to the purchase of insurance coverage during the online booking.</w:t>
      </w:r>
    </w:p>
    <w:p>
      <w:r>
        <w:t>64. Since September 30, 2021, booking rights are mentioned in advance and included on the price comparison web page during the online booking.</w:t>
      </w:r>
    </w:p>
    <w:p>
      <w:r>
        <w:t>IV. OPINION OF THE AUTHORITY FOR COMMUNICATIONS GUARANTEES</w:t>
      </w:r>
    </w:p>
    <w:p>
      <w:r>
        <w:t>65. Since the conduct subject to this measure has also been disseminated through telecommunications tools, on December 3, 2021, an opinion was requested from the Authority for Communications Guarantees (hereinafter also AgCom), pursuant to Article 27, paragraph 6, of the Consumer Code.</w:t>
      </w:r>
    </w:p>
    <w:p>
      <w:r>
        <w:t>66. In a communication received on December 30, 2021, the aforementioned Authority expressed the requested opinion, limiting its assessments to the suitability of the specific means of communication used to disseminate the described conduct to affect and amplify any misleading and/or unfairness of the contested practices. After noting, in general, the progressive increase in daily Internet usage among the Italian population also for the purchase of goods and services, AgCom deemed that this means of communication, used in this case, is “suitable to have a significant impact on consumers who, based on the information contained on the Professional's website, could be induced to make a commercial decision that they otherwise would not have made, thus concretely developing the full promotional potential of online communication.” Therefore, this Authority concluded that, “based on the documentation in the records, in this case, the Internet is a suitable tool to significantly influence the realization” of the conduct subject to the opinion.</w:t>
      </w:r>
    </w:p>
    <w:p>
      <w:r>
        <w:t>V. OPINION OF THE TRANSPORT REGULATORY AUTHORITY</w:t>
      </w:r>
    </w:p>
    <w:p>
      <w:r>
        <w:t>67. Since the conduct subject to this measure concerns the passenger maritime transport sector, on December 3, 2021, an opinion was requested from the Transport Regulatory Authority (hereinafter also “ART”), pursuant to and for the effects of Article 27, paragraph 1-bis, of the Consumer Code, introduced by Article 1, paragraph 6, letter a), of Legislative Decree No. 21/2014.</w:t>
      </w:r>
    </w:p>
    <w:p>
      <w:r>
        <w:t>68. In an opinion received on December 23, 2021, ART specifies that the practices under examination do not pertain to cases covered by the regulatory acts adopted in this area by the same Authority and, therefore, with the issuance of the same opinion, it “intends to provide contextual elements aimed at identifying the provisions related to its area of competence that may serve as normative reference parameters for the evaluation of the contested conduct, as well as the standards of diligence required of a professional in the sector.”</w:t>
      </w:r>
    </w:p>
    <w:p>
      <w:r>
        <w:t>69. The supervisory Authority in the sector then addresses the merits of the contested commercial practices, after recalling some relevant provisions of Regulation (EU) No. 1177/2010, concerning the rights of passengers traveling by sea and on inland waterways - with respect to which ART has specific supervisory functions.</w:t>
      </w:r>
    </w:p>
    <w:p>
      <w:r>
        <w:t>70. Regarding conduct A), the necessity of transparently informing customers about the correct identification of the contractual counterparty is emphasized, particularly concerning the intermediary in the ticket sales activity, as well as providing adequate contact channels to allow timely and easy exercise of passenger rights, especially in the event of transport delays/cancellations. Conduct A), therefore, “could contribute to making it more difficult for passengers to exercise the rights enshrined by the community Regulation.”</w:t>
      </w:r>
    </w:p>
    <w:p>
      <w:r>
        <w:t>71. In relation to conduct B), according to ART, it would be “desirable, in fact, that the passenger is fully aware of the presence of cost items charged for the mere intermediation service by parties other than the carrier, which do not form part of the amounts that the carrier is obliged to refund or to include in the calculation base for economic compensation.” This is also due to the right to alternative forms of compensation provided by the community Regulation for consumers potentially affected by delays/cancellations of the service.</w:t>
      </w:r>
    </w:p>
    <w:p>
      <w:r>
        <w:t>72. Regarding conduct E), since the passenger is the weaker party in the transport contract, ART believes that at least a minimum level of protection must be guaranteed: in this respect, “the non-immediate accessibility of the general conditions of sale could indeed contribute to increasing the information asymmetry in which the weaker party of the contract typically finds itself” and also “further compress the possibility for the passenger to fully understand the role of the intermediary (in this case, Prenotazioni24) concerning the contractual counterparty that will provide the service.”</w:t>
      </w:r>
    </w:p>
    <w:p>
      <w:r>
        <w:t>73. Finally, regarding conduct F), ART emphasizes the importance of correctly indicating the competent court for disputes in view of the concrete possibility of exercising the compensation actions due to the passenger, based on national legislation, especially in cases of the intermediary's liability in disseminating timely and adequate information regarding delays/cancellations in the provision of transport.</w:t>
      </w:r>
    </w:p>
    <w:p>
      <w:r>
        <w:t>VI. CONCLUDING EVALUATIONS</w:t>
      </w:r>
    </w:p>
    <w:p>
      <w:r>
        <w:t>74. The proceedings in question concern the evaluation of various behaviors carried out by Prenotazioni24, since 2019, regarding the presentation of the characteristics of the Company and the services offered on four websites attributable to it (www.tirrenia-prenotazioni.it, www.traghettilines.it, www.traghetti-grecia.it and www.traghetti-sardegna.it), particularly during the search and purchase procedure accessible to consumers. This, in particular, with regard to: A) the ambiguous identification of the contracting Professional; B) the untimely and incomplete presentation of the cost items chargeable in the transaction; C) the “pre-checked” presentation of services - which are actually optional - that can be purchased simultaneously; D) the onerous nature of the option to use certain payment instruments; E) the non-immediate accessibility of the general conditions of sale practiced - resulting as “pre-checked” on the websites www.traghettilines.it and www.tirrenia-prenotazioni.it - during the booking; F) the incorrect indication of the “forum” competent to handle disputes with customer-consumers in the place where the Professional has its legal headquarters.</w:t>
      </w:r>
    </w:p>
    <w:p>
      <w:r>
        <w:rPr>
          <w:b/>
        </w:rPr>
        <w:t>[Pages 82–84]</w:t>
      </w:r>
    </w:p>
    <w:p>
      <w:r>
        <w:t>84 BULLETIN NO. 7 OF FEBRUARY 28, 2022</w:t>
      </w:r>
    </w:p>
    <w:p>
      <w:r>
        <w:t>VI.1 On preliminary issues</w:t>
      </w:r>
    </w:p>
    <w:p>
      <w:r>
        <w:t>75. Firstly, the argument of Prenotazioni24 that the Authority initiated the procedure late must be rejected.</w:t>
      </w:r>
    </w:p>
    <w:p>
      <w:r>
        <w:t>76. In this regard, it should first be noted that the assessment subject to this measure, concerning a plurality of conducts and offenses, is based not only on the reports in the records but also on the official investigations carried out on the company websites prior to the initiation of the procedure and on further acquisitions collected during the procedural investigation.</w:t>
      </w:r>
    </w:p>
    <w:p>
      <w:r>
        <w:t>77. In fact, only the elements that emerged after the initial reports allowed for a sufficient "focusing" of the cases to enable the initiation of a procedure following an adequate evaluation of the previous acquisitions.</w:t>
      </w:r>
    </w:p>
    <w:p>
      <w:r>
        <w:t>78. Moreover, as recently established by administrative jurisprudence, the fact that the Authority initiates a procedure "some time after the report of the possible infringement cannot be considered in itself as a violation of the rights of the involved companies, nor as a breach of procedural deadlines, since the very assessment of the need to initiate or not the investigation can be complex," as occurred in this specific case.</w:t>
      </w:r>
    </w:p>
    <w:p>
      <w:r>
        <w:t>79. On this point, it is worth recalling the principles expressed by the Court of Justice, according to which, in relation to the application of competition rules, the failure to respect the reasonable time limit for the duration of the procedure – including the phase prior to the communication of charges – may lead to the annulment of decisions establishing an infringement if it is determined that such a violation has prejudiced the exercise of the defense rights of the affected companies, which must demonstrate with sufficient precision the harm suffered. Outside of this specific hypothesis, the failure to comply with the obligation to decide within a reasonable time does not affect the validity of the administrative procedure.</w:t>
      </w:r>
    </w:p>
    <w:p>
      <w:r>
        <w:t>80. In this case, the temporally deferred initiation of the investigation compared to the received complaints does not appear to have in any way harmed the principle of fair procedure since the Professional – as reported – was able to fully exercise their rights of defense and procedural rights.</w:t>
      </w:r>
    </w:p>
    <w:p>
      <w:r>
        <w:t>81. In any case, the other defensive assumption of Prenotazioni24 cannot be shared, according to which, in this case, a more "timely" initiation of the investigation would have allowed the Professional to intervene earlier to eliminate the contested criticalities, as this would unreasonably imply that the obligations of diligence and correctness of commercial operators in consumer relationships arise only as a result of the enforcement of the AGCM, whereas they are evidently pre-existing and imposed by the Consumer Code.</w:t>
      </w:r>
    </w:p>
    <w:p>
      <w:r>
        <w:t>82. Furthermore, the existence – and direct binding nature – of the articulated regulatory framework for the protection of consumers excludes that the circumstance that the Professional, in the cases examined, limited themselves to conforming to "widespread industry practices" can be considered as a justification: even if it were, the "practices" adopted by Prenotazioni24, far from being "harmless," have proven to be in blatant contrast with specific provisions of the aforementioned regulation.</w:t>
      </w:r>
    </w:p>
    <w:p>
      <w:r>
        <w:t>VI.2 On the merits of the conducts</w:t>
      </w:r>
    </w:p>
    <w:p>
      <w:r>
        <w:t>83. Based on the elements that emerged during the investigation, the conducts subject to this measure can be attributed to distinct violations of the Consumer Code, as they have peculiar structural characteristics that justify their independent evaluation.</w:t>
      </w:r>
    </w:p>
    <w:p>
      <w:r>
        <w:t>84. Regarding conduct A), the investigative findings clearly show that the website www.tirrenia-prenotazioni.it, during the period from 2019 until August 13, 2021, had a graphic and content setup that did not make it immediately perceivable to consumers that it was referable to and managed exclusively by Prenotazioni24 and not by the eponymous shipping company. The wording "Tirrenia" prominently displayed on the homepage and reiterated on every web page accessible to the consumer, with a color and graphic style very similar to that present on the shipping company's website, along with images of the fleet and descriptions dedicated to the Carrier, were likely to mislead users into erroneously believing they were on the website of the Carrier rather than that of an intermediary.</w:t>
      </w:r>
    </w:p>
    <w:p>
      <w:r>
        <w:t>85. According to the now consolidated orientation of this Authority, confirmed by administrative judges, in online purchases it is evidently necessary that, from the initial contact, customers are duly informed about the essential characteristics of the services offered, including, of course, the identification of the contractual counterparty: this is also emphasized in the ART's opinion – in order to correctly and promptly exercise rights and prerogatives within the consumer relationship.</w:t>
      </w:r>
    </w:p>
    <w:p>
      <w:r>
        <w:t>86. To this necessity corresponds a specific obligation of the Professional for informational transparency in their business communication, providing consumers with the essential elements for an immediate and comprehensive understanding of the advertised economic offer.</w:t>
      </w:r>
    </w:p>
    <w:p>
      <w:r>
        <w:t>87. Therefore, the defensive arguments of the professional supporting the alleged correctness of the presentation methods of their websites cannot be shared, as, due to the predominant necessity of free and immediate self-determination of the consumer, it is entirely irrelevant that more detailed information may be found later in other sections of the site (as, in this case, in the separate "about us" section).</w:t>
      </w:r>
    </w:p>
    <w:p>
      <w:r>
        <w:t>88. Furthermore, the fact that the intermediary's website appears at the top of the Google search ranking seems to reinforce the user's belief that they are accessing the website of the same shipping company even as a result of a query limited to the name of the company.</w:t>
      </w:r>
    </w:p>
    <w:p>
      <w:r>
        <w:t>89. It should be specified that, far from denying the possibility of Prenotazioni24 to enter into commercial agreements with transport companies for the placement of related travel tickets, as well as to promote/improve the visibility of their site on major search engines through search engine optimization, the objective methods – opaque, omissive, and/or confusing – with which the overall intermediation service of the web agency on behalf of the Carrier was proposed to consumers are solely in dispute here.</w:t>
      </w:r>
    </w:p>
    <w:p>
      <w:r>
        <w:t>90. That said, the conduct carried out by the professional does not conform to the level of professional diligence reasonably expected from an operator in the specific sector of online travel agencies in order for users to understand the "intermediated" nature of the commercial proposals as well as the specific characteristics of the service offered, including the actual price of the transaction and the nature of the Professional.</w:t>
      </w:r>
    </w:p>
    <w:p>
      <w:r>
        <w:t>91. Therefore, the conduct in question constitutes an unfair commercial practice in violation of Articles 20, 21, paragraph 1, letters b) and f), of the Consumer Code.</w:t>
      </w:r>
    </w:p>
    <w:p>
      <w:r>
        <w:t>92. Regarding conduct B), the investigative acquisitions attest that Prenotazioni24, during the period from 2019 to September 30, 2021, presented to the consumer – only at the summary stage of the transaction, during the search and purchase procedure for maritime transport tickets on the websites www.traghettilines.it and www.tirrenia-prenotazioni.it – the existence and amount of booking fees required for the conclusion of the transaction.</w:t>
      </w:r>
    </w:p>
    <w:p>
      <w:r>
        <w:t>93. This commercial practice is in violation of Articles 20 and 21, paragraph 1, letter d), of the Consumer Code as it evades relevant information – such as the actual amount of service costs, including any surcharges of variable amounts – that the average consumer needs to make a timely informed commercial decision.</w:t>
      </w:r>
    </w:p>
    <w:p>
      <w:r>
        <w:t>94. It is clear that Prenotazioni24 has deviated from the established orientation – also in judicial proceedings – according to which, in the consumer relationship, the Professional has the obligation of clarity and completeness from the first contact with the consumer, who must be placed in a position to evaluate the economic offer in its essential elements – including the calculation methods and various components of the price – in order to perceive its scope, without omissions or ambiguities, and consequently make an informed commercial choice.</w:t>
      </w:r>
    </w:p>
    <w:p>
      <w:r>
        <w:t>95. Furthermore, non-deceptive methods of presenting the price imply that it must include, from the outset, any economic burden on the consumer, the amount of which can be determined ex ante, so as to make the final expenditure immediately and clearly perceivable to them.</w:t>
      </w:r>
    </w:p>
    <w:p>
      <w:r>
        <w:t>96. In this specific case – as noted in the ART's opinion – the timely highlighting of booking fees – as specific remuneration for the intermediation activity of ticket sales – also constitutes one of the elements that, within the so-called "mono-brand" sites managed by Prenotazioni24 (such as www.tirrenia-prenotazioni.it), would have allowed the consumer to be informed of the true identity of the contracting Professional also in view of the correct addressing of requests for the possible subsequent exercise of rights/prerogatives arising from the contract.</w:t>
      </w:r>
    </w:p>
    <w:p>
      <w:r>
        <w:rPr>
          <w:b/>
        </w:rPr>
        <w:t>[Pages 85–87]</w:t>
      </w:r>
    </w:p>
    <w:p>
      <w:r>
        <w:t>BULLETIN NO. 7 OF FEBRUARY 28, 2022</w:t>
      </w:r>
    </w:p>
    <w:p>
      <w:r>
        <w:t>87</w:t>
        <w:br/>
        <w:t>for example, the various refunds provided in the event of voluntary cancellation of the trip by the passenger or for cancellation of the journey by the Carrier).</w:t>
      </w:r>
    </w:p>
    <w:p>
      <w:r>
        <w:t>97. Regarding the same practice, the defensive assumption of the Company cannot be shared, according to which the representation of booking rights at an advanced stage of the purchasing process would be an "inevitable" practice during booking (since the amount of such cost items depends on the choices made by the customer): in this regard, the aforementioned "inevitable" nature appears substantially contradicted by the changes voluntarily made by Prenotazioni24 following the initiation of the investigation (as a result of which the booking rights are now mentioned in advance and included on the price comparison webpage, during the ticket search and purchase procedure); furthermore, the allegedly "widespread" nature among operators in the sector of unfair commercial practices cannot constitute an objective justification for the Professional who voluntarily implements and maintains it.</w:t>
      </w:r>
    </w:p>
    <w:p>
      <w:r>
        <w:t>98. Regarding the conduct under C), from the evidence in the records – in particular from official findings, admissions by the Professional, as well as subsequent changes made by the same – it emerged that on the company websites attributable to Prenotazioni24 under examination, during the purchasing process, the option related to "insurance" involving an additional cost for the buyer was pre-selected. This cost – amounting to €15.30 and evidently pertaining to a distinct and accessory service compared to the main transport service – was automatically added to the price of the service offered by the Company in the absence of an action of de-selection by the consumer.</w:t>
      </w:r>
    </w:p>
    <w:p>
      <w:r>
        <w:t>99. For the assessment of such conduct, reference must be made to Article 65 of the Consumer Code, the rationale of which consists in protecting the actual freedom of choice of the consumer, which is compromised when an active consent to a proposal from the professional involving any additional payment is not required – prior to and for the purpose of the contractual obligation arising.</w:t>
      </w:r>
    </w:p>
    <w:p>
      <w:r>
        <w:t>100. As reiterated in multiple precedents of the Authority (not only in the telecommunications sector but also in transportation)76, with this provision, the legislator has expressly established the prohibition "of any opt-out system" in favor of the opposite opt-in system, deemed, for obvious reasons, more respectful of the consumer's autonomy of choice and not detrimental to full awareness of the purchase77.</w:t>
      </w:r>
    </w:p>
    <w:p>
      <w:r>
        <w:t>101. The absolute and generalized nature of the aforementioned legislative prohibition also prevents the acceptance of Prenotazioni24's defensive arguments regarding the alleged "ease" – in the specific case under consideration – of the de-selection that can be made by the consumer as well as regarding the asserted "high profile" of the consumer accessing comparison and purchase service websites78.</w:t>
      </w:r>
    </w:p>
    <w:p>
      <w:r>
        <w:t>76 See, for example, PS10803 - BUDGETAIR SWEEP 2016 (Measure No. 27167 of May 9, 2018).</w:t>
        <w:br/>
        <w:t>77 The rationale of the provision is clearly expressed in the explanatory report accompanying the government act for the transposition of Directive 2011/83/EU, which regarding this article, indeed stated: "This is an innovative provision compared to the previous system that expands consumer protection, as it subordinates any additional payments to the express consent of the consumer. It closely follows the content of Article 22 of the directive. It prohibits any opt-out system for acquiring consumer consent, preventing the use of pre-established options that the consumer must refuse to avoid the additional payment."</w:t>
        <w:br/>
        <w:t>78 It is noted that the Professional, in its defensive memoranda, argued that the average consumer accessing and completing commercial transactions on comparison sites "is by definition particularly expert and evolved," "sophisticated and attentive," and therefore would be substantially immune from conditioning.</w:t>
      </w:r>
    </w:p>
    <w:p>
      <w:r>
        <w:t>88 BULLETIN NO. 7 OF FEBRUARY 28, 2022</w:t>
      </w:r>
    </w:p>
    <w:p>
      <w:r>
        <w:t>102. It should be noted, moreover, that the same percentage indicated by the Company ([10-100%]) relating to customers who, during the period under investigation, did not de-select the box for the accessory insurance service appears, contrary to what was claimed in the defenses, to be an extremely significant indicator regarding the possibility of purchases not fully aware by the buyers concerning the pre-selected accessory service.</w:t>
      </w:r>
    </w:p>
    <w:p>
      <w:r>
        <w:t>103. Therefore, the provision by Prenotazioni24 of a so-called opt-out clause – during online booking on the company websites www.tirrenia-prenotazioni.it, www.traghettilines.it, www.traghetti-grecia.it, and www.traghetti-sardegna.it – in exchange for an additional payment for the enjoyment of an accessory service to the main one, is suitable to mislead consumers from a fully aware commercial decision and constitutes, for the reasons stated above, a violation of Article 65 of the Consumer Code.</w:t>
      </w:r>
    </w:p>
    <w:p>
      <w:r>
        <w:t>104. Regarding the conduct under D), the investigation revealed that the Professional, during the period from 2019 to August 3, 2021, offered customers, during online booking on all four company websites under investigation, the possibility of using a payment method (PayPal) applying an additional fee of variable amount. This practice is in evident contrast with Article 62 of the Consumer Code, which expressly prohibits the application of additional charges to the consumer in relation to the choice and use of specific payment methods for the transaction with the Professional. As also recalled by the Professional, the orientation repeatedly expressed on this point by the Authority79 is that, currently, in the absence of a specification by the legislator of the cases in which it is permitted to derogate from the prohibition of Article 62 – to apply to consumers a supplement directly linked or attributable to the use of a specific payment instrument – it must be considered that this prohibition applies, indiscriminately, to all professionals and for all payment instruments.</w:t>
      </w:r>
    </w:p>
    <w:p>
      <w:r>
        <w:t>105. Such an interpretation of Article 62 has also been recently confirmed by administrative judges, according to whom it would be "the only possible interpretation in the face of a very clear precept regarding which there is no room for interpretation"; this is because "the provision in question does not allow professionals to impose additional costs on customers in relation to the use of a specific payment instrument and, even implicitly, to the manner of use of the same payment instrument, nor does the peculiarity of the case or the circumstance that the case presents original or unprecedented aspects exclude the applicability of the provision in question to the case at hand"80.</w:t>
      </w:r>
    </w:p>
    <w:p>
      <w:r>
        <w:t>106. Regarding the conduct under E), it should be noted, based on the investigative findings, that the limited accessibility of the general sales conditions practiced by the Professional on the four company websites here examined – exclusively during booking with the related link placed only at the bottom of the payment page – and the presence of a pre-checked box regarding acceptance of the same conditions on two of the aforementioned company websites81, objectively configure a system intended to push towards the direct payment of the service regardless – and already beforehand – of the consumer being able to know all the characteristics of the contract.</w:t>
      </w:r>
    </w:p>
    <w:p>
      <w:r>
        <w:t>107. Furthermore, as also noted in the opinion rendered by ART on this case, the non-immediate accessibility of the general sales conditions can contribute to increasing the condition of informational asymmetry in which, typically, the consumer finds himself, as the weaker party in the consumption relationship.</w:t>
      </w:r>
    </w:p>
    <w:p>
      <w:r>
        <w:t>108. Therefore, the practice is in contrast with Articles 20 and 22 of the Consumer Code as it is not only evidently omissive regarding all the necessary information to be transferred to the consumer in advance of the conclusion of the purchase, but also evasive of the professional diligence expected from professionals in the sector.</w:t>
      </w:r>
    </w:p>
    <w:p>
      <w:r>
        <w:t>109. On this point, Prenotazioni24's defensive assumptions aimed at justifying this illegitimate practice on the grounds that it would be "widespread" among competitors in the reference market cannot be shared.</w:t>
      </w:r>
    </w:p>
    <w:p>
      <w:r>
        <w:t>110. And, again, regarding the alleged "formal" nature of this violation contested by the Authority – as it pertains to presentation methods that would not have "produced any concrete effect to the detriment of customers"82, the principle – consistently reiterated by administrative judges – is recalled, according to which the nature of the consumeristic offense is one of mere danger and its configurability, in the specific case, is independent of the actual occurrence of harm to consumers83.</w:t>
      </w:r>
    </w:p>
    <w:p>
      <w:r>
        <w:t>111. Regarding the conduct under F), the identification, within the general sales conditions practiced by Prenotazioni24, of the forum designated for resolving disputes with consumers in the location where the Company has its legal headquarters constitutes a clear violation of Article 66-bis of the Consumer Code since, for the same disputes, this norm expressly establishes the non-derogable territorial jurisdiction of the "judge of the place of residence or domicile of the consumer, if located within the territory of the State."</w:t>
      </w:r>
    </w:p>
    <w:p>
      <w:r>
        <w:t>112. On this point, Prenotazioni24's defensive assumptions regarding the substantial lack of harmful effects of the contested clause "having never been applied" to any customer84 cannot be shared; this is because the erroneous indication of the competent forum for resolving disputes with consumers is in clear contrast with the relevant legislation and is capable of affecting the exercise of the consumer's defense rights.</w:t>
      </w:r>
    </w:p>
    <w:p>
      <w:r>
        <w:t>81 www.traghettilines.it and www.tirrenia-prenotazioni.it.</w:t>
        <w:br/>
        <w:t>82 Reference is made to the defensive counterarguments of the Professional regarding this practice: see document of September 13, 2021, prot. n 70584, p. 28.</w:t>
        <w:br/>
        <w:t>83 "It is not necessary to identify a concrete prejudice to the reasons of consumers, as it is the very potential for harm, in order to avoid even abstract conditioning and/or deceptive orientations, that allows the conduct to be classified within the framework of the offense of 'mere danger' as it is intrinsically capable of configuring the consequences that the Consumer Code has instead intended to avert" (See TAR Lazio: No. 6446 of July 3, 2009, No. 218 of January 10, 2017, and No. 2245 of February 20, 2020; Council of State: No. 1425 of February 27, 2020).</w:t>
        <w:br/>
        <w:t>84 See document of December 2, 2021, prot. n. 90117, p. 10.</w:t>
      </w:r>
    </w:p>
    <w:p>
      <w:r>
        <w:rPr>
          <w:b/>
        </w:rPr>
        <w:t>[Pages 88–90]</w:t>
      </w:r>
    </w:p>
    <w:p>
      <w:r>
        <w:t>90 BULLETIN NO. 7 OF FEBRUARY 28, 2022</w:t>
      </w:r>
    </w:p>
    <w:p>
      <w:r>
        <w:t>VII. QUANTIFICATION OF THE SANCTION</w:t>
      </w:r>
    </w:p>
    <w:p>
      <w:r>
        <w:t>113. Pursuant to Article 27, paragraph 9, of the Consumer Code, with the measure that prohibits the unfair commercial practice, the Authority imposes an administrative pecuniary sanction ranging from €5,000 to €5,000,000, taking into account the severity and duration of the violation.</w:t>
      </w:r>
    </w:p>
    <w:p>
      <w:r>
        <w:t>114. In the case of proceedings concerning a plurality of established administrative offenses, the jurisprudence has clarified that in the presence of multiple behaviors with structural and functional autonomy, attributed to the responsibility of the professionals, the criterion of material accumulation of sanctions applies, instead of legal accumulation (see, among others, Council of State, Section VI, judgment of January 19, 2012, No. 209).</w:t>
      </w:r>
    </w:p>
    <w:p>
      <w:r>
        <w:t>115.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116. With regard to the severity of the violations, account is taken, in all the cases examined: i) of the economic size of the Professional85; ii) of the widespread nature of the commercial practices that in this case are likely to harm the rights of the Professional's user-customers; iii) of the specificity of the sector, in which the purchasing consumer finds themselves in a position of inevitable informational asymmetry compared to the Professional; iv) of the manner of dissemination of the offer made through the website which, as noted by AgCom, is a means of communication capable of reaching a multitude of consumers.</w:t>
      </w:r>
    </w:p>
    <w:p>
      <w:r>
        <w:t>117. As for the duration of the violation, the elements acquired in the records indicate that, after the initiation of the proceedings, the professional intervened to cease all contested behaviors which effectively ceased before the conclusion of the proceedings. In particular:</w:t>
        <w:br/>
        <w:t>- the commercial practice under A) was carried out from 201986 until September 30, 202187, and ceased following various graphic modifications made to the website www.tirrenia-prenotazioni.it, aimed at definitively clarifying for internet users the direct reference of the site to Prenotazioni24Srl, as an intermediary in the sale of transport tickets on behalf of the eponymous shipping company;</w:t>
        <w:br/>
        <w:t>- the commercial practice under B) was carried out from 201988 until September 30, 202189, at which point the Professional mentioned the booking fees charged in advance, including them on the price comparison webpage, during the online booking on the four websites subject to investigation;</w:t>
        <w:br/>
        <w:t>85 Prenotazioni24 has progressively acquired a consolidated position in the specific market sector and, as indicated at the beginning, the revenue for the year 2020 was nearly €14 million, an increase compared to the previous year.</w:t>
        <w:br/>
        <w:t>86 Document of October 23, 2019, prot. No. 68743.</w:t>
        <w:br/>
        <w:t>87 Hearing minutes dated October 6, 2021.</w:t>
        <w:br/>
        <w:t>88 Documents of July 30, 2019, prot. No. 52446, and October 13, 2021, prot. No. 77993.</w:t>
        <w:br/>
        <w:t>89 Hearing minutes dated October 6, 2021.</w:t>
      </w:r>
    </w:p>
    <w:p>
      <w:r>
        <w:t>BULLETIN NO. 7 OF FEBRUARY 28, 2022 91</w:t>
        <w:br/>
        <w:t>- the conduct under C) was carried out from 201990 until September 17, 202191, when Prenotazioni24 eliminated the pre-selection of the box related to the purchase of insurance coverage, during the online booking, on the four websites subject to investigation.</w:t>
        <w:br/>
        <w:t>- the conduct under D) was carried out from 201992 until August 13, 202193, at which point the Professional eliminated the fee previously charged in case the consumer opted for the PayPal payment method, during online purchases on all four websites subject to investigation;</w:t>
        <w:br/>
        <w:t>- the commercial practice under E) was carried out on the websites www.traghettilines.it and www.tirrenia-prenotazioni.it from 201994 until August 13, 202195, when Prenotazioni24 eliminated the automatic pre-selection of the general sales conditions by relocating the relevant box within the reference webpage, so that it appeared before the section dedicated to the choice of payment method.</w:t>
        <w:br/>
        <w:t>- the conduct under F) was carried out from 201996 until October 13, 202197, when, on all four websites subject to investigation, the Professional replaced the previous clause regarding the identification of the forum for disputes with consumers with another that adheres to the provisions of Article 66 bis of the Consumer Code98.</w:t>
      </w:r>
    </w:p>
    <w:p>
      <w:r>
        <w:t>118. With regard to the unfair commercial practice under A), in assessing the severity of the violation, account is taken - in addition to the criteria mentioned in points i) to iv) above - also of the harm caused to consumers regarding the ambiguous representation of the Professional as the contracting counterparty for the exercise of prerogatives and rights arising from the contract.</w:t>
      </w:r>
    </w:p>
    <w:p>
      <w:r>
        <w:t>119. In light of the above, it is deemed appropriate to determine the amount of the administrative pecuniary sanction applicable to Prenotazioni24 S.r.l. in the amount of €100,000 (one hundred thousand euros).</w:t>
      </w:r>
    </w:p>
    <w:p>
      <w:r>
        <w:t>120. With regard to the unfair commercial practice under B), in assessing the severity of the violation, account is taken - in addition to the criteria mentioned in points i) to iv) above - also of the harm caused to consumers by the untimely and incomplete representation of all cost items chargeable in the transaction with the Professional, particularly regarding the booking fees.</w:t>
      </w:r>
    </w:p>
    <w:p>
      <w:r>
        <w:t>121. In light of the above, it is deemed appropriate to determine the amount of the administrative pecuniary sanction applicable to Prenotazioni24 S.r.l. in the amount of €200,000 (two hundred thousand euros).</w:t>
        <w:br/>
        <w:t>90 Document of September 13, 2021, prot. No. 70584 (p. 22).</w:t>
        <w:br/>
        <w:t>91 Hearing minutes dated October 6, 2021.</w:t>
        <w:br/>
        <w:t>92 Document of October 8, 2021, prot. No. 77179.</w:t>
        <w:br/>
        <w:t>93 Document of August 31, 2021, prot. No. 67728.</w:t>
        <w:br/>
        <w:t>94 Document of July 30, 2019, prot. No. 52446.</w:t>
        <w:br/>
        <w:t>95 Document of August 31, 2021, prot. No. 67728.</w:t>
        <w:br/>
        <w:t>96 Document of July 30, 2019, prot. No. 52446.</w:t>
        <w:br/>
        <w:t>97 Document of October 13, 2021, prot. No. 77993.</w:t>
        <w:br/>
        <w:t>98 It is noted that, from August 20, 2021, the clause in question accessible on the aforementioned sites reads: “Any disputes are governed by Italian Law and are subject to the jurisdiction of the court of the consumer's residence or domicile, if located within the territory of the Italian state. In the case of disputes with VAT subjects benefiting from the service, the court of Livorno will have jurisdiction.”</w:t>
      </w:r>
    </w:p>
    <w:p>
      <w:r>
        <w:t>92 BULLETIN NO. 7 OF FEBRUARY 28, 2022</w:t>
      </w:r>
    </w:p>
    <w:p>
      <w:r>
        <w:t>122. With regard to the conduct under C), in assessing the severity of the violation, account is taken, in addition to the criteria mentioned in points i) to iv) above, also of the harm caused to consumers by the pre-flagged representation of a service that is actually of an ancillary nature and distinct from the main service.</w:t>
      </w:r>
    </w:p>
    <w:p>
      <w:r>
        <w:t>123. In light of the above, it is deemed appropriate to determine the amount of the administrative pecuniary sanction applicable to Prenotazioni24 S.r.l. in the amount of €250,000 (two hundred fifty thousand euros).</w:t>
      </w:r>
    </w:p>
    <w:p>
      <w:r>
        <w:t>124. With regard to the conduct under D), in assessing the severity of the violation, account is taken - in addition to the criteria mentioned in points i) to iv) above - also of the harm caused to consumers by the unlawful charge of a fee related to the choice of a specific payment method.</w:t>
      </w:r>
    </w:p>
    <w:p>
      <w:r>
        <w:t>125. In light of the above, it is deemed appropriate to determine the amount of the administrative pecuniary sanction applicable to Prenotazioni24 S.r.l. in the amount of €200,000 (two hundred thousand euros).</w:t>
      </w:r>
    </w:p>
    <w:p>
      <w:r>
        <w:t>126. With regard to the unfair commercial practice under E), in assessing the severity of the violation, account is taken - in addition to the criteria mentioned in points i) to iv) above - also of the harm caused to consumers by the accentuation of the position of informational asymmetry typical of the market, resulting from the pre-flagged representation of the general sales conditions practiced by the Professional.</w:t>
      </w:r>
    </w:p>
    <w:p>
      <w:r>
        <w:t>127. In light of the above, it is deemed appropriate to determine the amount of the administrative pecuniary sanction applicable to Prenotazioni24 S.r.l. in the amount of €75,000 (seventy-five thousand euros).</w:t>
      </w:r>
    </w:p>
    <w:p>
      <w:r>
        <w:t>128. With regard to the conduct under F), in assessing the severity of the violation, account is also taken - in addition to the criteria mentioned in points i) to iv) above - also of the harm caused to consumers by the erroneous information provided regarding the correct initiation of the procedure in case of disputes with the Company.</w:t>
      </w:r>
    </w:p>
    <w:p>
      <w:r>
        <w:t>129. In light of the above, it is deemed appropriate to determine the amount of the administrative pecuniary sanction applicable to Prenotazioni24 S.r.l. in the amount of €75,000 (seventy-five thousand euros).</w:t>
      </w:r>
    </w:p>
    <w:p>
      <w:r>
        <w:t>THEREFORE, taking into account the opinion of the Authority for Communications Guarantees and in accordance with the opinion of the Transport Regulatory Authority, based on the considerations outlined above, it is determined that the commercial practice under A) is unfair pursuant to Articles 20, 21, paragraph 1, letters b) and f), of the Consumer Code, as it is likely, through misleading representation or omission of relevant and timely information regarding the identification of the contracting Professional, to appreciably distort the economic behavior of the average consumer;</w:t>
      </w:r>
    </w:p>
    <w:p>
      <w:r>
        <w:t>THEREFORE, taking into account the opinion of the Authority for Communications Guarantees and in accordance with the opinion of the Transport Regulatory Authority, based on the considerations outlined above, it is determined that the commercial practice under B) is unfair pursuant to Articles 20, 21, paragraph 1, letter d), of the Consumer Code, as it is likely, through misleading representation or omission of relevant and timely information regarding the total cost of travel tickets, to appreciably distort the economic behavior of the average consumer in relation to a relevant element for a conscious commercial decision;</w:t>
      </w:r>
    </w:p>
    <w:p>
      <w:r>
        <w:rPr>
          <w:b/>
        </w:rPr>
        <w:t>[Pages 91–93]</w:t>
      </w:r>
    </w:p>
    <w:p>
      <w:r>
        <w:t>BULLETIN NO. 7 OF FEBRUARY 28, 2022</w:t>
      </w:r>
    </w:p>
    <w:p>
      <w:r>
        <w:t>93</w:t>
      </w:r>
    </w:p>
    <w:p>
      <w:r>
        <w:t>CONSIDERED, therefore, taking into account the opinion of the Authority for Communications Guarantees, based on the above considerations, that the conduct under C) constitutes a violation of Article 65 of the Consumer Code;</w:t>
      </w:r>
    </w:p>
    <w:p>
      <w:r>
        <w:t>CONSIDERED, therefore, taking into account the opinion of the Authority for Communications Guarantees, based on the above considerations, that the conduct under D) constitutes a violation of Article 62 of the Consumer Code;</w:t>
      </w:r>
    </w:p>
    <w:p>
      <w:r>
        <w:t>CONSIDERED, therefore, taking into account the opinion of the Authority for Communications Guarantees and in accordance with the opinion of the Transport Regulatory Authority, based on the above considerations, that the commercial practice under E) is unfair pursuant to Articles 20 and 22 of the Consumer Code, as it is capable, based on the presence, during the online transaction, of a pre-checked box regarding the acceptance of the general sales conditions, of appreciably distorting the economic behavior of the average consumer, compromising their full awareness, with reference to the complete and prior knowledge of the characteristics of the services offered as well as the rights and obligations arising from the contract;</w:t>
      </w:r>
    </w:p>
    <w:p>
      <w:r>
        <w:t>CONSIDERED, therefore, taking into account the opinion of the Authority for Communications Guarantees and in accordance with the opinion of the Transport Regulatory Authority, based on the above considerations, that the conduct under F) violates Article 66-bis of the Consumer Code;</w:t>
      </w:r>
    </w:p>
    <w:p>
      <w:r>
        <w:t>RESOLVES</w:t>
      </w:r>
    </w:p>
    <w:p>
      <w:r>
        <w:t>a) that the conduct described in point II, letter A), of this measure, carried out by the company Prenotazioni24 S.r.l., constitutes, for the reasons and within the limits stated in the motivation, an unfair commercial practice in violation of Articles 20, 21, paragraph 1, letters b) and f), of the Consumer Code, and prohibits its dissemination;</w:t>
      </w:r>
    </w:p>
    <w:p>
      <w:r>
        <w:t>b) that the conduct described in point II, letter B), of this measure, carried out by the company Prenotazioni24 S.r.l., constitutes, for the reasons and within the limits stated in the motivation, an unfair commercial practice pursuant to Articles 20, 21, paragraph 1, letter d), of the Consumer Code, and prohibits its dissemination;</w:t>
      </w:r>
    </w:p>
    <w:p>
      <w:r>
        <w:t>c) that the conduct described in point II, letter C), of this measure, carried out by the company Prenotazioni24 S.r.l., constitutes, for the reasons and within the limits stated in the motivation, a violation of Article 65 of the Consumer Code, and prohibits its dissemination;</w:t>
      </w:r>
    </w:p>
    <w:p>
      <w:r>
        <w:t>d) that the conduct described in point II, letter D), of this measure, carried out by the company Prenotazioni24 S.r.l., constitutes, for the reasons and within the limits stated in the motivation, a violation of Article 62 of the Consumer Code, and prohibits its dissemination;</w:t>
      </w:r>
    </w:p>
    <w:p>
      <w:r>
        <w:t>e) that the conduct described in point II, letter E), of this measure, carried out by the company Prenotazioni24 S.r.l., constitutes, for the reasons and within the limits stated in the motivation, an unfair commercial practice in violation of Articles 20 and 22 of the Consumer Code, and prohibits its dissemination;</w:t>
      </w:r>
    </w:p>
    <w:p>
      <w:r>
        <w:t>94</w:t>
      </w:r>
    </w:p>
    <w:p>
      <w:r>
        <w:t>BULLETIN NO. 7 OF FEBRUARY 28, 2022</w:t>
      </w:r>
    </w:p>
    <w:p>
      <w:r>
        <w:t>f) that the conduct described in point II, letter F), of this measure, carried out by the company Prenotazioni24 S.r.l., constitutes, for the reasons and within the limits stated in the motivation, a violation of Article 66-bis of the Consumer Code, and prohibits its dissemination;</w:t>
      </w:r>
    </w:p>
    <w:p>
      <w:r>
        <w:t>g) to impose on the company Prenotazioni24 S.r.l., for the violation established under letter a), an administrative pecuniary sanction of €100,000 (one hundred thousand euros);</w:t>
      </w:r>
    </w:p>
    <w:p>
      <w:r>
        <w:t>h) to impose on the company Prenotazioni24 S.r.l., for the violation established under letter b), an administrative pecuniary sanction of €200,000 (two hundred thousand euros);</w:t>
      </w:r>
    </w:p>
    <w:p>
      <w:r>
        <w:t>i) to impose on the company Prenotazioni24 S.r.l., for the violation established under letter c), an administrative pecuniary sanction of €250,000 (two hundred fifty thousand euros);</w:t>
      </w:r>
    </w:p>
    <w:p>
      <w:r>
        <w:t>l) to impose on the company Prenotazioni24 S.r.l., for the violation established under letter d), an administrative pecuniary sanction of €200,000 (two hundred thousand euros);</w:t>
      </w:r>
    </w:p>
    <w:p>
      <w:r>
        <w:t>m) to impose on the company Prenotazioni24 S.r.l., for the violation established under letter e), an administrative pecuniary sanction of €75,000 (seventy-five thousand euros);</w:t>
      </w:r>
    </w:p>
    <w:p>
      <w:r>
        <w:t>n) to impose on Prenotazioni24 S.r.l., for the violation established under letter f), an administrative pecuniary sanction of €75,000 (seventy-five thousand euros).</w:t>
      </w:r>
    </w:p>
    <w:p>
      <w:r>
        <w:t>The administrative sanctions imposed must be paid within thirty days from the notification of this measure,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95</w:t>
      </w:r>
    </w:p>
    <w:p>
      <w:r>
        <w:t>BULLETIN NO. 7 OF FEBRUARY 28, 2022</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submitted to the TAR of Lazio, pursuant to Article 135, paragraph 1, letter b), of the Administrative Procedure Code (Legislative Decree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twenty days from the date of notification of the measure itself.</w:t>
      </w:r>
    </w:p>
    <w:p>
      <w:r>
        <w:t>THE DEPUTY SECRETARY GENERAL THE PRESIDENT</w:t>
      </w:r>
    </w:p>
    <w:p>
      <w:r>
        <w:t>Serena Stella Roberto Rustichelli</w:t>
      </w:r>
    </w:p>
    <w:p>
      <w:r>
        <w:rPr>
          <w:b/>
        </w:rPr>
        <w:t>[Pages 94–96]</w:t>
      </w:r>
    </w:p>
    <w:p>
      <w:r>
        <w:t>96 BULLETIN NO. 7 OF FEBRUARY 28, 2022</w:t>
      </w:r>
    </w:p>
    <w:p>
      <w:r>
        <w:t>PS12146 - CRÉDIT AGRICOLE-INSTANT TRANSFER</w:t>
      </w:r>
    </w:p>
    <w:p>
      <w:r>
        <w:t>Measure No. 30001</w:t>
      </w:r>
    </w:p>
    <w:p>
      <w:r>
        <w:t>THE COMPETITION AND MARKET AUTHORITY</w:t>
      </w:r>
    </w:p>
    <w:p>
      <w:r>
        <w:t>IN ITS MEETING of February 15, 2022;</w:t>
      </w:r>
    </w:p>
    <w:p>
      <w:r>
        <w:t>HEARD the Rapporteur, President Roberto Rustichelli;</w:t>
      </w:r>
    </w:p>
    <w:p>
      <w:r>
        <w:t>HAVING REGARD TO Part II, Title III of Legislative Decree September 6, 2005, No. 206, containing the "Consumer Code"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r>
    </w:p>
    <w:p>
      <w:r>
        <w:t>HAVING REGARD TO the acts of the proceeding;</w:t>
      </w:r>
    </w:p>
    <w:p>
      <w:r>
        <w:t>I. THE PARTY</w:t>
      </w:r>
    </w:p>
    <w:p>
      <w:r>
        <w:t>1. Crèdit Agricole Italia S.p.A. (hereinafter Crédit Agricole or Bank), in its capacity as a professional pursuant to Article 18, paragraph 1, letter b), of the Consumer Code. The Bank's financial statements as of December 31, 2020, recorded a turnover, calculated in accordance with the provisions for determining the turnover of credit institutions and other financial entities under Article 5, paragraph 3, of Regulation No. 139/2004/EC on concentrations, of approximately 7.5 billion euros.</w:t>
      </w:r>
    </w:p>
    <w:p>
      <w:r>
        <w:t>II. THE CONDUCT SUBJECT TO THE PROCEEDING</w:t>
      </w:r>
    </w:p>
    <w:p>
      <w:r>
        <w:t>2. The proceeding concerns the conduct consisting of persistently proposing the "instant transfer" to customers who proceed with payment via online transfer, resulting in a higher fee if they proceed with the instant mode.</w:t>
      </w:r>
    </w:p>
    <w:p>
      <w:r>
        <w:t>III. THE OUTCOMES OF THE PROCEEDING</w:t>
      </w:r>
    </w:p>
    <w:p>
      <w:r>
        <w:t>1) The procedure process</w:t>
      </w:r>
    </w:p>
    <w:p>
      <w:r>
        <w:t>3. On September 22, 2021, the investigative proceeding PS12146 concerning the conduct described above was initiated against Crédit Agricole.</w:t>
      </w:r>
    </w:p>
    <w:p>
      <w:r>
        <w:t>4. On October 12, 2021, Crédit Agricole responded to the request for information made at the start of the proceeding and presented its defense arguments.</w:t>
      </w:r>
    </w:p>
    <w:p>
      <w:r>
        <w:t>5. On October 27, 2021, Crédit Agricole was heard in a hearing, during which further information was requested.</w:t>
      </w:r>
    </w:p>
    <w:p>
      <w:r>
        <w:t>6. On November 5, 2021, the company provided a response to the request for information made during the hearing.</w:t>
      </w:r>
    </w:p>
    <w:p>
      <w:r>
        <w:t>7. Subsequently, by note dated November 8, 2021, further information was requested from the company, which responded on November 11, 2021.</w:t>
      </w:r>
    </w:p>
    <w:p>
      <w:r>
        <w:t>8. On December 2, 2021, the Party was notified of the conclusion date of the investigative phase pursuant to Article 16, paragraph 1, of the Regulation.</w:t>
      </w:r>
    </w:p>
    <w:p>
      <w:r>
        <w:t>9. On December 22, 2021, Crédit Agricole submitted its final submissions.</w:t>
      </w:r>
    </w:p>
    <w:p>
      <w:r>
        <w:t>10. On January 10, 2022, requests for opinions were sent to the Bank of Italy pursuant to Article 27, paragraph 1-bis, of the Consumer Code and to the Authority for Communications Guarantees, pursuant to Article 27, paragraph 6, of the Consumer Code. The opinions were received on January 26 and February 1, 2022, respectively.</w:t>
      </w:r>
    </w:p>
    <w:p>
      <w:r>
        <w:t>2) The evidence acquired</w:t>
      </w:r>
    </w:p>
    <w:p>
      <w:r>
        <w:t>11. The methods by which the Bank informed and urged customers to use the "instant transfer" system on its website and in the specific "home banking" area of the individual customer are as follows.</w:t>
      </w:r>
    </w:p>
    <w:p>
      <w:r>
        <w:t>With reference to the information provided on the Bank's website, prior to the initiation of the investigative proceeding, in the transfers section, the following phrase was read: "Do you need to transfer an amount of money in real time? Thanks to the Instant Payment service, you can transfer up to €15,000 in 10 seconds. SIMPLE AND SAFE The Instant Transfer works simply and guarantees security and traceability of the payment, accessible from Internet Banking and the app (Nowbanking Private and Nowbanking Small Businesses). 24/7 You can send instant transfers 24 hours a day, 7 days a week, to banks that have joined the service; once the payment is made, it is no longer revocable. The new service will be automatically proposed to you by your platform at the end of filling out a standard transfer" [emphasis added].</w:t>
      </w:r>
    </w:p>
    <w:p>
      <w:r>
        <w:t>12. This information was modified, in fact, after the initiation of the proceeding, where the Bank removed from its website, in the transfers section, the phrase "The new service will be automatically proposed to you by your platform at the end of filling out a standard transfer."</w:t>
      </w:r>
    </w:p>
    <w:p>
      <w:r>
        <w:t>13. Regarding the use of the "instant transfer" service, the investigation found that the customer can access the home banking service via web or App. In the case of the web, the following steps must be taken to execute a payment via transfer: 1) click on the "Payments" section and select the "Transfers" option; 2) enter the payment details and then click "Continue"; 3) execute the transfer by clicking on the button of one of the two proposed alternatives: "standard transfer" or "instant transfer," along with the costs of each; 4) complete the payment by confirming the details as summarized on the appropriate screen by clicking "Authorize now."</w:t>
      </w:r>
    </w:p>
    <w:p>
      <w:r>
        <w:t>14. The customer can also use the App provided by the Bank to make a transfer. From July 2018 to September 2020, the version of the App used was called "Nowbanking," while from September 2020 to July 2021, two versions of the App coexisted, one called "Nowbanking" and a new one called "Crèdit Agricole Italia," both downloadable and accessible by the Bank's customers. Since July 2021, only the "Crèdit Agricole Italia" App has been available. With the "Nowbanking" App, the customer could open a menu from the App's home page and select the "Payments" option from which they could select the "Transfers" option. Once all mandatory fields were filled with payment details, clicking "Execute" would automatically trigger the Bank to verify whether the customer could choose to make the transfer only in standard mode or also in instant mode. If access to the latter alternative (transfer not exceeding €15,000) was possible, a pop-up would appear proposing the two modes through which the customer could execute the transfer. The pop-up contained information regarding the instant transfer: immediacy, non-revocability, additional costs compared to the standard transfer. Based on the choice made, the customer would complete the operation by confirming the payment order entered.</w:t>
      </w:r>
    </w:p>
    <w:p>
      <w:r>
        <w:t>15. The customer who accesses the home banking service through the "Crèdit Agricole Italia" App, available in stores such as the App Store and Play Store since September 2020, must take the following steps to execute a transfer: 1) select the "Payments" section choosing the "Transfer" mode proposed on the next screen; 2) enter the payment details; 3) choose the execution mode of the transfer opting for one of the two alternatives provided "instant transfer" or "standard transfer"; in this case, the Bank automatically preselects the standard transfer mode; 4) confirm or modify the choice made regarding the execution mode of the transfer, with the instant transfer being proposed again, even if the standard mode was chosen in the previous phase; 5) complete the payment by confirming the summary data including the execution mode, clicking on "Authorize."</w:t>
      </w:r>
    </w:p>
    <w:p>
      <w:r>
        <w:t>16. Until October 11, 2021, on the page designated for choosing the type of transfer (phase 3 above), next to the "Arrives immediately" (instant transfer) option, the word "Suggested" appeared. Furthermore, even when, not following the suggestion, the customer opted for the standard transfer, on the page designated for confirming the chosen transfer mode (i.e., during phase 4 above), the option for the instant transfer was proposed once again in a pre-set form through a green-colored box in which the text "Proceed with instant" appeared, while the box "Proceed with standard" appeared white and required a new choice by the customer, through a specific (and second) click without which it was not possible to access the transfer in standard mode. In the version of the App released on October 11, 2021, the Bank made graphical changes on the page for choosing the transfer mode (phase 3 above), where, next to "Arrives immediately," the term "SUGGESTED" was replaced with "Real Time." Furthermore, on the subsequent page (phase 4 above) where the boxes "Proceed with Instant" and "Proceed with Standard" appear, the box for the instant transfer is no longer pre-set with the green color, but is white.</w:t>
      </w:r>
    </w:p>
    <w:p>
      <w:r>
        <w:rPr>
          <w:b/>
        </w:rPr>
        <w:t>[Pages 97–99]</w:t>
      </w:r>
    </w:p>
    <w:p>
      <w:r>
        <w:t>BULLETIN NO. 7 OF FEBRUARY 28, 2022</w:t>
      </w:r>
    </w:p>
    <w:p>
      <w:r>
        <w:t>3) The defensive arguments of the professional</w:t>
      </w:r>
    </w:p>
    <w:p>
      <w:r>
        <w:t>17. The Bank, with notes received on October 12, November 5, and December 22, 2021, specified that with the "Crèdit Agricole Italia" App published in September 2020, the Bank intended to diversify the path that the customer must follow to make a remote transfer depending on whether they use the home banking service in its web version or App. In particular, the App is aimed at those customers who need to have their banking operations executed and completed immediately. However, the Bank decided not to automatically preselect the instant mode, for which the term "Suggested" is simply used, considering the instant transfer to be more in line with the customer's needs, and for the same reason, the instant transfer was reintroduced in the further phase of the confirmation process. In fact, on the confirmation screen of the execution mode of the transfer, the instant transfer is proposed again considering that a customer using a device that prioritizes execution speed must benefit from an additional control step that draws their attention to the choice they are making.</w:t>
      </w:r>
    </w:p>
    <w:p>
      <w:r>
        <w:t>18. According to the Bank, there can be no hypothesis of undue conditioning of the consumer in relation to the use of the Crédit Agricole Italia App, as the consumer is informed, in all necessary phases to complete the banking operation, of the two available options and for which they receive the necessary information. The term "Suggested" has a value of advice, recommendation, and not conditioning, and in any case, at the stage of choosing the transfer mode, the consumer has before them the two buttons for the ordinary and instant transfer and can therefore choose which option they prefer. The fact that there is an additional confirmation step for the transfer mode is irrelevant since both the instant and ordinary transfers are proposed again.</w:t>
      </w:r>
    </w:p>
    <w:p>
      <w:r>
        <w:t>19. Nor can it be said that the mere suggestion can coerce the freedom of choice as "the practice to be aggressive requires a quid pluris that causes a sort of concrete manipulation or skillfully anesthetizes the will of the user, not merely and simply affecting their right to know the necessary information to make a free and informed choice, but that materializes in conduct that is even capable of coercing the behavior (and thus the freedom of choice) of the user" (Council of State, ruling no. 2631/2021). Furthermore, the conduct had no practical effect of conditioning on consumer choices considering that it ceased on October 11, 2021.</w:t>
      </w:r>
    </w:p>
    <w:p>
      <w:r>
        <w:t>20. With reference to the duration of the conduct, the Bank specified that the App was released in the stores in September 2020 and was not the only app in use as it was accompanied by the Nowbanking App, which was not contested, from September 2020 until July 2021. Therefore, any profile of illegality can only be traced back to the moment when the Crédit Agricole Italia App was the only one downloadable by the consumer (July 2021) or at least to the moment when it was released in the stores (September 2020). Moreover, during the period when the two Apps coexisted in the stores, until July 2021, almost all customers who made payments via transfer on the mobile channel used the Nowbanking App.</w:t>
      </w:r>
    </w:p>
    <w:p>
      <w:r>
        <w:t>IV. OPINION OF THE BANK OF ITALY</w:t>
      </w:r>
    </w:p>
    <w:p>
      <w:r>
        <w:t>21. Since the conduct subject to this proceeding concerns the credit sector, on January 10, 2022, an opinion was requested from the Bank of Italy pursuant to Article 27, paragraph 1-bis of the Consumer Code.</w:t>
      </w:r>
    </w:p>
    <w:p>
      <w:r>
        <w:t>22. In an opinion received on January 26, 2022, the Bank of Italy noted that "there are no reasons preventing the assessments reserved for the Authority, considering that the contested conducts do not assume relevance for the purposes of the regulatory framework for consumer protection under the competence of the Bank of Italy regarding the transparency of banking and financial operations and services and the correctness of relations between intermediaries and clients as well as the rights and obligations of the parties in the provision of payment services."</w:t>
      </w:r>
    </w:p>
    <w:p>
      <w:r>
        <w:t>V. OPINION OF THE AUTHORITY FOR COMMUNICATIONS GUARANTEES</w:t>
      </w:r>
    </w:p>
    <w:p>
      <w:r>
        <w:t>23. Since the commercial practice subject to this measure was disseminated via the web and App, on January 10, 2022, an opinion was requested from the Authority for Communications Guarantees, pursuant to Article 27, paragraph 6, of the Consumer Code.</w:t>
      </w:r>
    </w:p>
    <w:p>
      <w:r>
        <w:t>24. In an opinion received on February 1, 2022, the Authority for Communications Guarantees, after stating that it would limit its assessments to communications made by the professional via the internet, specified that "the means of communication used is suitable for developing a significant impact on consumers who, based on the information contained on the Professional's website, could be induced to make a commercial decision that they would not otherwise have made, thus concretely developing the full promotional potential of online communication."</w:t>
      </w:r>
    </w:p>
    <w:p>
      <w:r>
        <w:t>VI. CONCLUDING EVALUATIONS</w:t>
      </w:r>
    </w:p>
    <w:p>
      <w:r>
        <w:t>25. The subject of the proceeding is the manner in which the Bank informed and urged customers to use the "instant transfer" system in the Crédit Agricole Italia App, in the version prior to that released on October 11, 2021. The evidence presented shows that, until October 11, 2021, on the page where the type of transfer was chosen, next to the option "Arrives immediately" (instant transfer), the word "Suggested" appeared. Furthermore, on the subsequent page where the chosen transfer mode was confirmed, the choice of the instant transfer was proposed again, even to those who had already opted for the ordinary mode, in a box pre-set with the color green where the text "Proceed with instant" appeared, while the box "Proceed with ordinary" appeared white and required a new choice by the customer through a specific click without which it was not possible to access the ordinary transfer mode.</w:t>
      </w:r>
    </w:p>
    <w:p>
      <w:r>
        <w:t>26. It is noted that the use of the term "Suggested" referring to the instant transfer on the initial service selection page, as well as the re-proposal with the box pre-set in green for the instant transfer on the confirmation page of the service mode, in opposition to the possible choice of the ordinary transfer already made by the customer, are methods that insistently urge the consumer to choose the instant transfer option, leading them to favor that option and thus unduly conditioning them in the choice of the type of transfer to be made. Moreover, contrary to the arguments of the Company, the term "Suggested" cannot be interpreted in the sense of mere advice, but constitutes a precise indication to maintain a certain behavior, also considering the fact that in the subsequent screen the use of the green color for the instant transfer choice box constitutes, in fact, a pre-selection and a way to condition the consumer to choose the instant transfer, so that only by making a different choice for the "ordinary" system would the customer have changed the color and thus the setting regarding the instant transfer payment mode (making the related box white).</w:t>
      </w:r>
    </w:p>
    <w:p>
      <w:r>
        <w:t>27. Therefore, this conduct constitutes a violation of Articles 24 and 25 of the Consumer Code as it is capable of exercising undue conditioning and significantly limiting the freedom of behavior of the average consumer in relation to the choice of the type of transfer to be used, thus inducing them to make a commercial decision that they would not otherwise have made.</w:t>
      </w:r>
    </w:p>
    <w:p>
      <w:r>
        <w:t>VII. QUANTIFICATION OF THE SANCTION</w:t>
      </w:r>
    </w:p>
    <w:p>
      <w:r>
        <w:t>28.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29.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30. With regard to the severity of the practice, account is taken, in the case at hand, of the profile of aggressiveness that characterized the conduct of the Party. Furthermore, account is taken of the economic size of the professional (as of December 31, 2020, the revenue, calculated in line with what is provided for the determination of the revenue of credit institutions and other financial institutions by Article 5, paragraph 3, of Regulation No. 139/2004/EC on concentrations, was approximately €7.5 billion) and the widespread nature of the conduct, carried out through the Bank's App, which allowed reaching a large audience of consumers consisting of the totality of account holders who use mobile devices for home banking activities.</w:t>
      </w:r>
    </w:p>
    <w:p>
      <w:r>
        <w:t>31. As for the duration of the violation, from the available evidence, it appears that the conduct was carried out by Crédit Agricole Italia S.p.A. from September 2020 until October 11, 2021.</w:t>
      </w:r>
    </w:p>
    <w:p>
      <w:r>
        <w:t>32. Based on these elements, it is deemed appropriate to determine the amount of the applicable administrative pecuniary sanction for Crédit Agricole Italia S.p.A. at €1,000,000 (one million euros).</w:t>
      </w:r>
    </w:p>
    <w:p>
      <w:r>
        <w:t>THEREFORE, in accordance with the opinions of the Bank of Italy and the Authority for Communications Guarantees, based on and within the limits of the considerations set forth above, the commercial practice described in paragraph II is deemed unfair, pursuant to Articles 24 and 25 of the Consumer Code, as it is capable of exercising undue conditioning and significantly limiting the freedom.</w:t>
      </w:r>
    </w:p>
    <w:p>
      <w:r>
        <w:rPr>
          <w:b/>
        </w:rPr>
        <w:t>[Pages 100–102]</w:t>
      </w:r>
    </w:p>
    <w:p>
      <w:r>
        <w:t>102 BULLETIN NO. 7 OF FEBRUARY 28, 2022</w:t>
      </w:r>
    </w:p>
    <w:p>
      <w:r>
        <w:t>of choice of the average consumer regarding the choice of the type of bank transfer, inducing him to make a commercial decision that he would not have otherwise made;</w:t>
      </w:r>
    </w:p>
    <w:p>
      <w:r>
        <w:t>RESOLVES</w:t>
      </w:r>
    </w:p>
    <w:p>
      <w:r>
        <w:t>a) that the conduct described in paragraph II of this measure, carried out by the company Crèdit Agricole Italia S.p.A., constitutes, for the reasons and within the limits set forth in the motivation, a violation of Articles 24 and 25 of the Consumer Code, and prohibits its dissemination or repetition;</w:t>
      </w:r>
    </w:p>
    <w:p>
      <w:r>
        <w:t>b) to impose an administrative pecuniary sanction of €1,000,000 (one million euros) on the company Crèdit Agricole Italia S.p.A.</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by debiting the bank or postal current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w:t>
      </w:r>
    </w:p>
    <w:p>
      <w:r>
        <w:t>Immediate communication of the payment must be given to the Authority by sending a copy of the model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measure itself.</w:t>
      </w:r>
    </w:p>
    <w:p>
      <w:r>
        <w:t>THE DEPUTY SECRETARY GENERAL THE PRESIDENT</w:t>
      </w:r>
    </w:p>
    <w:p>
      <w:r>
        <w:t>Serena Stella Roberto Rustichelli</w:t>
      </w:r>
    </w:p>
    <w:p>
      <w:r>
        <w:t>104 BULLETIN NO. 7 OF FEBRUARY 28, 2022</w:t>
      </w:r>
    </w:p>
    <w:p>
      <w:r>
        <w:t>PS11990 - TIKTOK-CRYSTAL DROPS</w:t>
      </w:r>
    </w:p>
    <w:p>
      <w:r>
        <w:t>Notice of extension of the conclusion of the procedure</w:t>
      </w:r>
    </w:p>
    <w:p>
      <w:r>
        <w:t>COMPETITION AND MARKET AUTHORITY</w:t>
      </w:r>
    </w:p>
    <w:p>
      <w:r>
        <w:t>Notice of extension of the investigation,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procedure PS11990.</w:t>
      </w:r>
    </w:p>
    <w:p>
      <w:r>
        <w:t>The publication of this notice, followed by the communication of the extension of the procedure, in the weekly Bulletin of the Competition and Market Authority, is carried out pursuant to and for the effects of Article 19, paragraph 2, of the Regulation, given the unsuccessful outcome of the attempt to transmit the communication of the initiation of the same investigative procedure, carried out on May 12, 2021, through the Consulate General of Italy in New York. The communication sent by registered mail has indeed been returned to the sending Consulate due to non-delivery.</w:t>
      </w:r>
    </w:p>
    <w:p>
      <w:r>
        <w:t>For any communication addressed to the Authority regarding the case in question, please refer to Direction C of the General Directorate for Consumer Protection and the reference PS11990.</w:t>
      </w:r>
    </w:p>
    <w:p>
      <w:r>
        <w:t>________________________________________________________________</w:t>
      </w:r>
    </w:p>
    <w:p>
      <w:r>
        <w:t>PS11990 - TIKTOK-CRYSTAL DROPS</w:t>
      </w:r>
    </w:p>
    <w:p>
      <w:r>
        <w:t>Communication of extension of the conclusion of the procedure</w:t>
      </w:r>
    </w:p>
    <w:p>
      <w:r>
        <w:t>Subject: extension of the conclusion of procedure PS11990, pursuant to Article 7, paragraph 3, of the “Regulation on investigative procedures concerning misleading and comparative advertising, unfair commercial practices, violation of consumer rights in contracts, violation of the prohibition of discrimination and unfair terms,” adopted by the Authority with resolution of April 1, 2015.</w:t>
      </w:r>
    </w:p>
    <w:p>
      <w:r>
        <w:t>With reference to the procedure in question, initiated on April 29, 2021, against the addressed Company, it is communicated that the Authority, in its meeting of February 22, 2022, has resolved to extend the conclusion of the procedure by sixty days, as there are particular investigative needs related to the procedural requirements necessary for the conclusion of the procedure, also in light of the current stage of the coordinated community action led by the European Commission against TikTok Technology Limited.</w:t>
      </w:r>
    </w:p>
    <w:p>
      <w:r>
        <w:rPr>
          <w:b/>
        </w:rPr>
        <w:t>[Pages 103–104]</w:t>
      </w:r>
    </w:p>
    <w:p>
      <w:r>
        <w:t>BULLETIN NO. 7 OF FEBRUARY 28, 2022 105</w:t>
      </w:r>
    </w:p>
    <w:p>
      <w:r>
        <w:t>Therefore, the deadline for concluding the procedure is extended to May 24, 2022.</w:t>
      </w:r>
    </w:p>
    <w:p>
      <w:r>
        <w:t xml:space="preserve">THE GENERAL DIRECTOR  </w:t>
        <w:br/>
        <w:t>Giovanni Calabrò</w:t>
      </w:r>
    </w:p>
    <w:p>
      <w:r>
        <w:t xml:space="preserve">Competition and Market Authority Weekly Bulletin  </w:t>
        <w:br/>
        <w:t xml:space="preserve">Year XXXII - No. 7 - 2022  </w:t>
        <w:br/>
        <w:t xml:space="preserve">Editorial Coordination Giulia Antenucci  </w:t>
        <w:br/>
        <w:t xml:space="preserve">Editorial Staff Valerio Ruocco, Simonetta Schettini, Manuela Villani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