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https://www.agcm.it/dotcmsdoc/bollettini/2023/8-23.pdf</w:t>
      </w:r>
    </w:p>
    <w:p>
      <w:r>
        <w:t>Pages translated : 77</w:t>
      </w:r>
    </w:p>
    <w:p/>
    <w:p>
      <w:r>
        <w:rPr>
          <w:b/>
        </w:rPr>
        <w:t>[Pages 1–3]</w:t>
      </w:r>
    </w:p>
    <w:p>
      <w:r>
        <w:t xml:space="preserve">Bulletin  </w:t>
        <w:br/>
        <w:t xml:space="preserve">Weekly  </w:t>
        <w:br/>
        <w:t xml:space="preserve">Year XXXIII - No. 8  </w:t>
        <w:br/>
        <w:t xml:space="preserve">Published on the website www.agcm.it  </w:t>
        <w:br/>
        <w:t>February 20, 2023</w:t>
      </w:r>
    </w:p>
    <w:p>
      <w:r>
        <w:t xml:space="preserve">SUMMARY  </w:t>
        <w:br/>
        <w:t xml:space="preserve">AGREEMENTS AND ABUSE OF DOMINANT POSITION 5  </w:t>
        <w:br/>
        <w:t xml:space="preserve">A543 - CONTRACTUAL RELATIONS BETWEEN BENETTON AND ITS RETAILERS  </w:t>
        <w:br/>
        <w:t xml:space="preserve">Provision No. 30472 5  </w:t>
        <w:br/>
        <w:t xml:space="preserve">I857 - TIM-DAZN SERIE A AGREEMENT 2021/2024  </w:t>
        <w:br/>
        <w:t xml:space="preserve">Provision No. 30476 15  </w:t>
        <w:br/>
        <w:t xml:space="preserve">CONCENTRATION OPERATIONS 17  </w:t>
        <w:br/>
        <w:t xml:space="preserve">C12514 - CSM ITALIA-GATE/TRIESTE MARINE TERMINAL  </w:t>
        <w:br/>
        <w:t xml:space="preserve">Provision No. 30473 17  </w:t>
        <w:br/>
        <w:t xml:space="preserve">C12515 - DEA CAPITAL ALTERNATIVE FUNDS-ALCEDO/PERSEFONE  </w:t>
        <w:br/>
        <w:t xml:space="preserve">Provision No. 30474 25  </w:t>
        <w:br/>
        <w:t xml:space="preserve">C12518 - SAS SHIPPING AGENCIES SERVICES/MEDITERRANEAN TUGS  </w:t>
        <w:br/>
        <w:t xml:space="preserve">Provision No. 30475 29  </w:t>
        <w:br/>
        <w:t xml:space="preserve">REPORTING AND CONSULTATIVE ACTIVITIES 36  </w:t>
        <w:br/>
        <w:t xml:space="preserve">AS1881 - REGULATION ON THE ISSUANCE OF LICENSES FOR NOTIFICATION SERVICES BY POST OF JUDICIAL ACTS AND VIOLATIONS OF THE HIGHWAY CODE 36  </w:t>
        <w:br/>
        <w:t xml:space="preserve">UNFAIR TRADE PRACTICES 43  </w:t>
        <w:br/>
        <w:t xml:space="preserve">PS12181 - MUNICIPALITY OF VENAFRO - BIENNIAL PRESCRIPTION WATER SECTOR  </w:t>
        <w:br/>
        <w:t xml:space="preserve">Provision No. 30477 43  </w:t>
        <w:br/>
        <w:t xml:space="preserve">PS12343 - ARVAL/DELAY IN LONG-TERM RENTAL DELIVERY  </w:t>
        <w:br/>
        <w:t xml:space="preserve">Provision No. 30478 55  </w:t>
        <w:br/>
        <w:t xml:space="preserve">PS12351 - ESTENERGY - ECONOMIC CONDITIONS OF COMMERCIAL OFFER  </w:t>
        <w:br/>
        <w:t>Provision No. 30479 66</w:t>
      </w:r>
    </w:p>
    <w:p>
      <w:r>
        <w:t xml:space="preserve">BULLETIN NO. 8 OF FEBRUARY 20, 2023 5  </w:t>
        <w:br/>
        <w:t xml:space="preserve">AGREEMENTS AND ABUSE OF DOMINANT POSITION  </w:t>
        <w:br/>
        <w:t xml:space="preserve">A543 - CONTRACTUAL RELATIONS BETWEEN BENETTON AND ITS RETAILERS  </w:t>
        <w:br/>
        <w:t xml:space="preserve">Provision No. 30472  </w:t>
        <w:br/>
        <w:t xml:space="preserve">THE ANTITRUST AUTHORITY  </w:t>
        <w:br/>
        <w:t xml:space="preserve">IN ITS MEETING of January 31, 2023;  </w:t>
        <w:br/>
        <w:t xml:space="preserve">HEARD the Rapporteur, Professor Michele Ainis;  </w:t>
        <w:br/>
        <w:t xml:space="preserve">HAVING REGARD to Law No. 287 of October 10, 1990, and in particular, Article 14-ter;  </w:t>
        <w:br/>
        <w:t xml:space="preserve">HAVING REGARD to Law No. 192 of June 18, 1998, and in particular, Article 9, paragraph 3 bis;  </w:t>
        <w:br/>
        <w:t xml:space="preserve">HAVING REGARD to the Presidential Decree No. 217 of April 30, 1998;  </w:t>
        <w:br/>
        <w:t xml:space="preserve">HAVING REGARD to the “Communication on the procedures for the application of Article 14-ter of Law No. 287 of October 10, 1990,” adopted in the meeting of September 6, 2012, and published in the Bulletin of September 17, 2012, No. 35;  </w:t>
        <w:br/>
        <w:t xml:space="preserve">HAVING REGARD to its resolution of November 17, 2020, with which an investigation was initiated, pursuant to Article 9, paragraph 3-bis, of Law No. 192 of June 18, 1998, and Article 14 of Law No. 287 of October 10, 1990, against the companies Benetton S.r.l. and Benetton Group S.r.l., in relation to conduct carried out towards its network of affiliates;  </w:t>
        <w:br/>
        <w:t xml:space="preserve">HAVING REGARD to its resolution of December 3, 2021, with which the deadline for closing the proceeding was extended to April 29, 2022;  </w:t>
        <w:br/>
        <w:t xml:space="preserve">HAVING REGARD to its resolution of April 12, 2022, with which the deadline for closing the proceeding was extended to July 15, 2022;  </w:t>
        <w:br/>
        <w:t xml:space="preserve">HAVING REGARD to the Communication of the investigative findings, sent to the Parties on April 14, 2022;  </w:t>
        <w:br/>
        <w:t xml:space="preserve">HAVING REGARD to its resolution of June 21, 2022, with which a supplementary investigation was ordered to acquire further informational elements regarding the impact of the contested conduct and their relevance for the protection of competition and the market, taking into account the economic specificities underlying franchising relationships, and it was resolved to further extend the deadline for closing the proceeding to March 31, 2023;  </w:t>
        <w:br/>
        <w:t xml:space="preserve">HAVING REGARD to the communication of September 23, 2022, with which the companies Benetton S.r.l. and Benetton Group S.r.l. submitted commitments, pursuant to Article 14-ter of Law No. 287/90, according to the methods indicated in the specific “Form for the submission of commitments pursuant to Article 14-ter of Law No. 287/90”;  </w:t>
        <w:br/>
        <w:t>HAVING REGARD to its resolution of November 2, 2022, with which, in consideration of the exceptional circumstances represented at that time, it was ordered to publish, on November 4, 2022, on the Authority's website the commitments proposed by the companies Benetton S.r.l. and Benetton Group S.r.l., in order to allow interested third parties to express their observations;</w:t>
      </w:r>
    </w:p>
    <w:p>
      <w:r>
        <w:rPr>
          <w:b/>
        </w:rPr>
        <w:t>[Pages 4–6]</w:t>
      </w:r>
    </w:p>
    <w:p>
      <w:r>
        <w:t>6 BULLETIN NO. 8 OF FEBRUARY 20, 2023</w:t>
      </w:r>
    </w:p>
    <w:p>
      <w:r>
        <w:t>HAVING REGARD to the observations on the commitments presented by the notifier on December 1, 2022, and by the Committee of Union of Maltreated Traders on December 6, 2022;</w:t>
      </w:r>
    </w:p>
    <w:p>
      <w:r>
        <w:t>HAVING REGARD to the replies to the observations on the commitments and the accessory modifications to the commitments presented by Benetton S.r.l. and Benetton Group S.r.l. on January 3, 2023;</w:t>
      </w:r>
    </w:p>
    <w:p>
      <w:r>
        <w:t>HAVING REGARD to the acts of the proceeding and the documentation acquired during the investigation;</w:t>
      </w:r>
    </w:p>
    <w:p>
      <w:r>
        <w:t>CONSIDERING the following:</w:t>
      </w:r>
    </w:p>
    <w:p>
      <w:r>
        <w:t>I. THE PARTIES</w:t>
      </w:r>
    </w:p>
    <w:p>
      <w:r>
        <w:t>1. The Benetton group (“Benetton”) is a major fashion company, having a commercial network of approximately 5000 stores. The group consists of several companies, whose object and corporate name have been modified several times in recent years. At the head of the group is currently the holding company Benetton S.r.l. (formerly Schematrentasette S.r.l.), which directly controls Benetton Group S.r.l. (formerly Bencom S.r.l., “Bencom”). The latter, in turn, holds 100% of the shares of several operating companies, including Benetton Retail Network S.r.l.</w:t>
      </w:r>
    </w:p>
    <w:p>
      <w:r>
        <w:t>2. The notifier, [omissis]* (“M.B.”), sole director of the bankrupt Miragreen S.r.l. (“Miragreen” or “Company”), was a retailer of the Benetton brand who operated in Treviglio (BG) and who terminated his franchising business relationship in December 2015 during the A/W 2015 commercial season, ceasing his activities carried out through the company Miragreen following its bankruptcy, which occurred in November 2017.</w:t>
      </w:r>
    </w:p>
    <w:p>
      <w:r>
        <w:t>II. THE NOTIFICATION</w:t>
      </w:r>
    </w:p>
    <w:p>
      <w:r>
        <w:t>3. As part of a complex notification received on November 19, 2019, and supplemented on January 24, 2020, and July 15, 20201, Mr. M.B., in his capacity as legal representative of the company Miragreen S.r.l. (Miragreen), brought to the attention of the Authority certain behaviors carried out by Benetton that could be configured as a case of abuse of economic dependence, pursuant to art. 9 of Law No. 192/1998.</w:t>
      </w:r>
    </w:p>
    <w:p>
      <w:r>
        <w:t>4. The notification describes a complex scenario in which several former operators in the retail sale of clothing under the Benetton brand complain of a set of allegedly abusive behaviors carried out by the aforementioned company against them. In particular, Miragreen appears to have entered into two identical franchising contracts with Benetton (the contract), relating to two United Colors of Benetton (UCB) sales points, located in Treviglio (BG) Via Roma 1 and Via Roma 1/A (“the Contract” or “the franchising”), entered into on May 14, 20142 (with a duration from the autumn/winter 2014 - spring/summer 2017 seasons and automatic renewal until 2022). However, these contracts do not appear to have been renewed as the company ceased its activities before the established expiration.</w:t>
      </w:r>
    </w:p>
    <w:p>
      <w:r>
        <w:t>* In this version, some data are omitted, as elements of confidentiality or secrecy of the information were deemed to exist.</w:t>
      </w:r>
    </w:p>
    <w:p>
      <w:r>
        <w:t>1 See docs. 1, 3, and 29.</w:t>
      </w:r>
    </w:p>
    <w:p>
      <w:r>
        <w:t>2 See annexes 9.1 and 9.2 of doc. 1.</w:t>
      </w:r>
    </w:p>
    <w:p>
      <w:r>
        <w:t>BULLETIN NO. 8 OF FEBRUARY 20, 2023 7</w:t>
      </w:r>
    </w:p>
    <w:p>
      <w:r>
        <w:t>5. Regarding the economic dependence of the company Miragreen on Benetton, the notifier highlighted how the relationships with Benetton lasted many years and involved significant investments to adapt over time its sales structure to the indications of Benetton itself and the accumulation of a substantial debt that effectively left M.B. with no choice regarding the stipulation of the franchising contracts3. In particular, the franchising contracts expressly provided for the acknowledgment of a pre-existing debt arising from a previous and terminated contractual relationship between Benetton and the notifier himself and the assumption of the same debt.</w:t>
      </w:r>
    </w:p>
    <w:p>
      <w:r>
        <w:t>6. According to what was presented, Benetton would then have abused this dependence by imposing burdensome contractual clauses aimed at binding the commercial autonomy of the franchisee, delegating to Benetton important strategic choices regarding the management of the sales points.</w:t>
      </w:r>
    </w:p>
    <w:p>
      <w:r>
        <w:t>III. THE CONDUCTS CHALLENGED IN THE INITIATION PROVISION</w:t>
      </w:r>
    </w:p>
    <w:p>
      <w:r>
        <w:t>7. In the initiation provision, it was highlighted how the economic activity of the retailer M.B. was already conditioned at the time of the stipulation of the franchising contracts by the previous debt exposure towards Benetton, as also emerged from a specific contractual clause that provided for the acknowledgment and assumption of a significant pre-existing debt arising from a previous contractual relationship. In this context, the economic dependence was further aggravated by contractual clauses aimed at imposing significant investments for the adaptation of the franchisee's sales structure to the indications of Benetton.</w:t>
      </w:r>
    </w:p>
    <w:p>
      <w:r>
        <w:t>8. The abuse was identified in a series of conducts and contractual clauses suitable to facilitate discretionary management by Benetton of the quantities of goods to be allocated to the sales point, also through the definition of a cumbersome order management mechanism (art. 7.2 of the franchising contract and arts. 3 and 4 of the General Sales Conditions) and through a system of automations in the assortment of goods (arts. 7.4.2 and 7.6 of the franchisee contract), overall suitable to compromise the entrepreneurial autonomy of the franchisee, also recognized in art. 3.2, lett. c of the same franchising contract.</w:t>
      </w:r>
    </w:p>
    <w:p>
      <w:r>
        <w:t>IV. THE INSTRUCTIONAL PROCEDURE</w:t>
      </w:r>
    </w:p>
    <w:p>
      <w:r>
        <w:t>9. The Authority, with resolution of November 17, 20204, initiated the investigation in question, pursuant to art. 14 of Law No. 287/1990 and art. 9, paragraph 3-bis, of Law No. 192/1998, to ascertain whether the contractual and commercial conducts of Benetton could configure an abuse of economic dependence relevant for the protection of competition and the market.</w:t>
      </w:r>
    </w:p>
    <w:p>
      <w:r>
        <w:t>10. The inspection checks took place in two phases: the first at the companies' headquarters on November 24, 20205; the second phase took place at the Authority's headquarters6 on December 21, 2020, and concerned the examination of an email database acquired on November 24, 2020, through a sealed package7. Finally, Benetton submitted its response to a request for information filed during the inspection on January 18, 2021.</w:t>
      </w:r>
    </w:p>
    <w:p>
      <w:r>
        <w:t>3 See the aforementioned notifications, docs. 1, 3, and 29, and the hearing report of September 16, 2021, doc. 442.</w:t>
      </w:r>
    </w:p>
    <w:p>
      <w:r>
        <w:t>4 See Provv. No. 28447 of November 17, 2020, in Boll. No. 47 of November 30, 2020.</w:t>
      </w:r>
    </w:p>
    <w:p>
      <w:r>
        <w:t>5 See docs. 31 bis, 31 ter, 32, 33.</w:t>
      </w:r>
    </w:p>
    <w:p>
      <w:r>
        <w:t>6 See doc. 136.</w:t>
      </w:r>
    </w:p>
    <w:p>
      <w:r>
        <w:t>7 This is the email database of a commercial manager of Benetton who had at the time managed the relationships with M.B., but who had recently retired.</w:t>
      </w:r>
    </w:p>
    <w:p>
      <w:r>
        <w:t>8 BULLETIN NO. 8 OF FEBRUARY 20, 2023</w:t>
      </w:r>
    </w:p>
    <w:p>
      <w:r>
        <w:t>11. Both Parties were heard in hearings multiple times: M.B. on September 16, 20219, and Benetton on November 4, 202110, and March 4, 202211. During the aforementioned hearings, a specific request for information was made: M.B. responded on October 12, 2021, and December 3, 202112, Benetton on December 7, 202113, January 4, 202214, January 21, 202215, and March 23, 202216. On May 24, 2022, both Parties were heard by the College17 following the sending of the Communication of the investigative findings. On September 8, 2022, the companies Benetton S.r.l. and Benetton Group S.r.l. were heard in a hearing following the presentation, on September 23, 2022, of the commitments pursuant to art. 14-ter of Law No. 287/9018.</w:t>
      </w:r>
    </w:p>
    <w:p>
      <w:r>
        <w:t>12. On May 26, 2021, other Benetton retailers who had spontaneously requested to report to the Authority behaviors related to commercial relationships held with Benetton other than the franchising contract19 were also heard.</w:t>
      </w:r>
    </w:p>
    <w:p>
      <w:r>
        <w:t>13. Finally, on November 23, 2021, a retailer holding a franchising contract that ended in 2021 and a former commercial manager of Benetton were heard in a hearing, who spontaneously20 made statements regarding the case at hand21.</w:t>
      </w:r>
    </w:p>
    <w:p>
      <w:r>
        <w:t>14. On October 27, 2021, the association Assofranchising submitted a contribution regarding the economic relevance of the franchising contract and the typicality of certain clauses22.</w:t>
      </w:r>
    </w:p>
    <w:p>
      <w:r>
        <w:t>15. On April 14, 2022, the Communication of the investigative findings was notified to the Parties, which largely confirmed the allegations made at the initiation stage, emphasizing the discretionary conduct of Benetton with specific regard to the blocking and unblocking of goods based not only on the debts arising from the franchising contract but also on the pre-existing debt assumed through the contract.</w:t>
      </w:r>
    </w:p>
    <w:p>
      <w:r>
        <w:t>16. On July 4, 2022, following the provision of June 21, 2022, with which the Authority ordered a supplement to the investigative assessment, a detailed request for</w:t>
      </w:r>
    </w:p>
    <w:p>
      <w:r>
        <w:t>8 See docs. 420 and 421.</w:t>
      </w:r>
    </w:p>
    <w:p>
      <w:r>
        <w:t>9 See doc. 442.</w:t>
      </w:r>
    </w:p>
    <w:p>
      <w:r>
        <w:t>10 See doc. 458.</w:t>
      </w:r>
    </w:p>
    <w:p>
      <w:r>
        <w:t>11 See doc. 495.</w:t>
      </w:r>
    </w:p>
    <w:p>
      <w:r>
        <w:t>12 See docs. 447, 468, 469.</w:t>
      </w:r>
    </w:p>
    <w:p>
      <w:r>
        <w:t>13 See docs. 470 and 471.</w:t>
      </w:r>
    </w:p>
    <w:p>
      <w:r>
        <w:t>14 See doc. 480.</w:t>
      </w:r>
    </w:p>
    <w:p>
      <w:r>
        <w:t>15 See doc. 482.</w:t>
      </w:r>
    </w:p>
    <w:p>
      <w:r>
        <w:t>16 See doc. 496.</w:t>
      </w:r>
    </w:p>
    <w:p>
      <w:r>
        <w:t>17 See doc. 530.</w:t>
      </w:r>
    </w:p>
    <w:p>
      <w:r>
        <w:t>18 See doc. 567.</w:t>
      </w:r>
    </w:p>
    <w:p>
      <w:r>
        <w:t>19 See docs. 416, 425, 437.</w:t>
      </w:r>
    </w:p>
    <w:p>
      <w:r>
        <w:t>20 See docs. 119 and 433.</w:t>
      </w:r>
    </w:p>
    <w:p>
      <w:r>
        <w:t>21 See docs. 464, 465, 466.</w:t>
      </w:r>
    </w:p>
    <w:p>
      <w:r>
        <w:t>22 See doc. 453.</w:t>
      </w:r>
    </w:p>
    <w:p>
      <w:r>
        <w:rPr>
          <w:b/>
        </w:rPr>
        <w:t>[Pages 7–9]</w:t>
      </w:r>
    </w:p>
    <w:p>
      <w:r>
        <w:t>BULLETIN NO. 8 OF FEBRUARY 20, 2023</w:t>
      </w:r>
    </w:p>
    <w:p>
      <w:r>
        <w:t>information to operators active in the clothing sector through franchise contracts23. Responses were received at different times between July 18, 2022, and September 27, 202224.</w:t>
      </w:r>
    </w:p>
    <w:p>
      <w:r>
        <w:t>17. On September 23, 2022, the companies Benetton S.r.l. and Benetton Group S.r.l. submitted a set of commitments, pursuant to Article 14-ter of Law No. 287/1990, aimed at resolving the critical issues highlighted by the Authority in the initiation of the proceeding. These commitments were then resubmitted, in an integrated and modified version, on January 3, 2023.</w:t>
      </w:r>
    </w:p>
    <w:p>
      <w:r>
        <w:t>18. The parties have repeatedly exercised their right of access to the documents of the proceeding25.</w:t>
      </w:r>
    </w:p>
    <w:p>
      <w:r>
        <w:t>V. THE COMMITMENTS</w:t>
      </w:r>
    </w:p>
    <w:p>
      <w:r>
        <w:t>i) The sub-procedure for evaluating the commitments</w:t>
      </w:r>
    </w:p>
    <w:p>
      <w:r>
        <w:t>19. By resolution of November 2, 2022, the Authority deemed the commitments presented on September 23, 2022, not manifestly unfounded, ordering their publication on its website on November 4, 2022, in order to allow interested third parties to express their observations.</w:t>
      </w:r>
    </w:p>
    <w:p>
      <w:r>
        <w:t>20. Within the deadline set for the conclusion of the market test, observations were received from the notifier26 and the Committee of Union of Maltreated Traders27.</w:t>
      </w:r>
    </w:p>
    <w:p>
      <w:r>
        <w:t>21. In response to the outcome of the public consultation, on January 3, 2023, the companies Benetton S.r.l. and Benetton Group S.r.l. submitted the final version of their commitments, attached to this provision and of which they form an integral part. In this version, the original commitments were supplemented with ancillary modifications.</w:t>
      </w:r>
    </w:p>
    <w:p>
      <w:r>
        <w:t>22. The companies Benetton S.r.l. and Benetton Group S.r.l. also filed a memorandum accompanying the ancillary modifications, in which they illustrated the additional measures presented following the public consultation, as well as accounted for the reasons why they deemed it appropriate not to follow up on certain observations made by participants in the market test.</w:t>
      </w:r>
    </w:p>
    <w:p>
      <w:r>
        <w:t>ii) The content of the commitments submitted to the market test</w:t>
      </w:r>
    </w:p>
    <w:p>
      <w:r>
        <w:t>23. The commitments originally proposed by the companies Benetton S.r.l. and Benetton Group S.r.l. and submitted to the market test consisted, in summary, of the measures described below.</w:t>
        <w:br/>
        <w:t>- Commitment No. 1: elimination from the standard contractual model of the annex relating to the recognition of pre-existing debt and definition of a procedure for the suspension of supplies in case of non-compliance by the franchisee with the specific obligations arising from the franchise contract, by virtue of the independence of the various contractual relationships between Benetton and the franchisee as stated in Article 15 of the new contractual model;</w:t>
        <w:br/>
        <w:t>- Commitment No. 2: elimination of the contractual reference to the purchase budget in franchise contractual relationships;</w:t>
        <w:br/>
        <w:t>- Commitment No. 3: introduction of a policy, attached to the contract, aimed at clarifying the process of sending and accepting purchase orders entirely and unilaterally defined by the franchisee;</w:t>
        <w:br/>
        <w:t>23 Cfr. docc. from 533 to 540.</w:t>
        <w:br/>
        <w:t>24 Cfr. docc. 544, 546, 547, 548, 552, 565, 566, 568, 574, 577.</w:t>
        <w:br/>
        <w:t>25 Cfr. doc. 130, 431, 446, 449, 489, 491, 515, 521, 528, 576, 595, 604.</w:t>
        <w:br/>
        <w:t>26 Cfr. doc. 593.</w:t>
        <w:br/>
        <w:t>27 Cfr. doc. 596.</w:t>
      </w:r>
    </w:p>
    <w:p>
      <w:r>
        <w:t>10 BULLETIN NO. 8 OF FEBRUARY 20, 2023</w:t>
        <w:br/>
        <w:t>- Commitment No. 4: elimination of the automatic replenishment system and establishment of a stock of products at Benetton to allow for replenishment by the franchisee;</w:t>
        <w:br/>
        <w:t>- Commitment No. 5: inclusion of the general terms of sale in the franchise contract and modification of the same regarding delivery terms and reference to the principles of the civil code concerning the refusal to receive goods;</w:t>
        <w:br/>
        <w:t>- Commitment No. 6: introduction of a new contractual provision aimed at providing, in case of termination of the franchise relationship, the repurchase at market value by Benetton of the furnishings identified by the Parties at the time of signing the contract;</w:t>
        <w:br/>
        <w:t>- Commitment No. 7: right for the franchisee to withdraw from the franchise contract after the first year of the relationship with six months' notice.</w:t>
      </w:r>
    </w:p>
    <w:p>
      <w:r>
        <w:t>iii) Timing and methods of implementation of the proposed commitments</w:t>
      </w:r>
    </w:p>
    <w:p>
      <w:r>
        <w:t>24. Regarding the timing of implementation, the companies of the Benetton Group committed to apply the measures presented to both future contracts and those in existence. Specifically regarding new contracts, the measures will be implemented within 60 days from the notification of the acceptance of the commitments by the Authority, while concerning existing contracts, the extension of the modifications will take place within 9 months from the aforementioned notification date. Benetton also states that the measures aimed at maintaining the status quo will be immediately effective, namely: i) the non-reintroduction of provisions regarding budgets, ii) the non-introduction of minimum purchase obligations; iii) the maintenance of a favorable regime for reporting defects in goods at 15 days, instead of 8 days, as provided by the Civil Code, already provided for in the contract subject to verification.</w:t>
      </w:r>
    </w:p>
    <w:p>
      <w:r>
        <w:t>iv) The main observations on the commitments of the notifier</w:t>
      </w:r>
    </w:p>
    <w:p>
      <w:r>
        <w:t>25. The notifier, in general terms, emphasized the inadequacy of the proposed commitments to remedy the serious distortions of free competition caused by the practices and policies adopted by the franchisor during the contractual relationship with its franchisees and to adequately compensate the franchisees (current or already exited from the system) for the abuses suffered. Furthermore, the contract would still be "lacking all those typical clauses of franchising, a contractual model that has always been used to facilitate the start of new activities (...)".</w:t>
      </w:r>
    </w:p>
    <w:p>
      <w:r>
        <w:t>26. Regarding Commitment 1, the notifier represented how the failures of many operators in the Benetton network were due precisely to the persistence of pre-existing debts due to which a policy of blocking goods for non-compliance was implemented, making it impossible to continue the business profitably. This means that the elimination from the contracts of the reference to pre-existing debt appears necessary, but not resolutive of the competitive issues already determined by Benetton's conduct.</w:t>
      </w:r>
    </w:p>
    <w:p>
      <w:r>
        <w:t>27. Regarding Commitments 2 and 3, the notifier makes similar considerations to those made regarding Commitment 1, namely, while recognizing the validity of the measures introduced, it highlights their lateness compared to the effects already produced.</w:t>
      </w:r>
    </w:p>
    <w:p>
      <w:r>
        <w:t>28. Commitment 4 is considered partial because it relates only to the replenishment mechanism and not to the so-called fashion products and promotional sales in season regarding which Benetton unilaterally defines which lines to market and the related discounts.</w:t>
      </w:r>
    </w:p>
    <w:p>
      <w:r>
        <w:t>29. Commitment 5 is considered necessary but insufficient, given the failure to introduce typical clauses of the franchise contract suitable to support the economic activity of franchisees, such as the contribution to the setup of the point of sale and the delivery of goods on consignment and/or the return of unsold goods.</w:t>
      </w:r>
    </w:p>
    <w:p>
      <w:r>
        <w:t>30. The reference to market value contained in Commitment No. 6 regarding the repurchase price of furnishings in case of termination of the franchise relationship is considered inadequate to compensate the franchisee. In particular, it is represented that "Benetton should therefore commit to repurchase not at the actual market value of the furnishings, but at a value, relative to the purchase price, that is positioned, year by year, at predetermined percentages of reduction." This is because after only one year, according to what was represented by the notifier, the market value of the purchased furnishings has significantly decreased and therefore selling it would already be uneconomical.</w:t>
      </w:r>
    </w:p>
    <w:p>
      <w:r>
        <w:t>31. Lastly, regarding Commitment No. 7, the notifier specifies that the right of withdrawal should correspond not only to the repurchase of furnishings under the fair conditions highlighted above but also to the possibility of "not taking back the goods already ordered for the following season after the withdrawal."</w:t>
      </w:r>
    </w:p>
    <w:p>
      <w:r>
        <w:t>v) The main observations of the Committee of Union of Maltreated Traders</w:t>
      </w:r>
    </w:p>
    <w:p>
      <w:r>
        <w:t>32. On December 6, 2022, the observations of the Committee of Union of Maltreated Traders (UCB) regarding the commitments presented by the companies Benetton S.r.l. and Benetton Group S.r.l. were received.</w:t>
      </w:r>
    </w:p>
    <w:p>
      <w:r>
        <w:t>33. The observations made by UCB essentially concern the fact that the Authority's proceeding does not also involve wholesale traders, that is, those retailers who, although not having signed a franchise contract, would have suffered similar conduct to that suffered by Miragreen. In this perspective, UCB believes that the same commitments that the companies of the Benetton Group are adopting regarding franchise contracts should also be deemed applicable to wholesalers and asks the Authority to "invite the companies Benetton S.r.l. and Benetton Group S.r.l. to formulate specific commitments also in favor of the wholesale traders adhering to the UCB Committee."</w:t>
      </w:r>
    </w:p>
    <w:p>
      <w:r>
        <w:t>vi) The ancillary modifications made by Benetton S.r.l. and Benetton Group S.r.l. following the market test</w:t>
      </w:r>
    </w:p>
    <w:p>
      <w:r>
        <w:t>34. The companies Benetton S.r.l. and Benetton Group S.r.l. - following the observations reported above - have modified the measures already presented, integrating, in particular, measures 6 and 7 already proposed, as briefly described below.</w:t>
      </w:r>
    </w:p>
    <w:p>
      <w:r>
        <w:t>35. Regarding measure No. 6 concerning the repurchase price of furnishings, Benetton has supplemented the already proposed measure by establishing, at the contractual level, that, at the request of the franchisee, made within 30 days from the termination of the relationship, Benetton commits to repurchase the furnishings at the current market value or, if greater, at the purchase price net of VAT of the aforementioned furnishings (resulting from the purchase invoices) reduced by a percentage equal to 20% for each year or fraction of a year elapsed since the purchase, for a maximum period of 4 years. To ensure a balanced application of the second criterion of this measure, based on a mere mathematical calculation, Benetton provides that it can only be applied if the furnishings have been used diligently and for a maximum of 4 years.</w:t>
      </w:r>
    </w:p>
    <w:p>
      <w:r>
        <w:t>36. As for Commitment No. 7, concerning the right of withdrawal, Benetton, in order to resolve the doubts expressed by the notifier, deemed it appropriate to integrate the relevant contractual article by providing that "it is understood between the Parties that Benetton will not make any delivery of Products ordered scheduled beyond the expiration of the six (6) month notice period and that no payment obligation will remain with the Franchisee in relation to such undelivered Products."</w:t>
      </w:r>
    </w:p>
    <w:p>
      <w:r>
        <w:rPr>
          <w:b/>
        </w:rPr>
        <w:t>[Pages 10–12]</w:t>
      </w:r>
    </w:p>
    <w:p>
      <w:r>
        <w:t>12 BULLETIN NO. 8 OF FEBRUARY 20, 2023</w:t>
      </w:r>
    </w:p>
    <w:p>
      <w:r>
        <w:t>VI. THE EVALUATION OF THE COMMITMENTS</w:t>
      </w:r>
    </w:p>
    <w:p>
      <w:r>
        <w:t>37. Firstly, it is highlighted that both the notifier and UCB have acknowledged that the measures proposed by Benetton nonetheless result in an improvement in terms of contractual balance between the parties.</w:t>
      </w:r>
    </w:p>
    <w:p>
      <w:r>
        <w:t>38. Regarding the considerations expressed by UCB concerning the commitments, it is deemed necessary to recall that the proceeding exclusively concerns the conduct related to the franchising relationships between Benetton and its retailers, due to the specific characteristics of this business model. In the absence of any specific challenge regarding relationships of another contractual type (wholesale model) in the initiation provision, an intervention by the Authority in this regard would fall outside the scope of the proceeding and would also be disproportionate in relation to the objectives that this provision intends to achieve28.</w:t>
      </w:r>
    </w:p>
    <w:p>
      <w:r>
        <w:t>39. The notifier believes that the measures that Benetton commits to adopt are late, as the conduct subject to ascertainment would have caused irreversible effects not compensated by the commitments, such as the numerous bankruptcies that occurred within the network of retailers. The measures would also be insufficient, as they would lack more significant interventions in terms of reducing the business risk for the franchisee.</w:t>
      </w:r>
    </w:p>
    <w:p>
      <w:r>
        <w:t>40. That said, it is believed that the contractual modifications proposed by Benetton, concerning both existing contracts and those to be entered into in the future, appear to be aimed at restoring a commercial dynamic informed by the principles of fair collaboration between businesses that the Authority believes should characterize franchising relationships in compliance with Law No. 129/2004. Regarding the compensatory aspects also invoked by the notifier, it is noted that, according to established jurisprudence, the commitments must be able to fully resolve the competitive concerns raised at the initiation stage, although it is not necessary for them to simultaneously aim to repair the conduct carried out with retroactive effect29.</w:t>
      </w:r>
    </w:p>
    <w:p>
      <w:r>
        <w:t>41. In this perspective, the modifications proposed by the Benetton group companies are suitable to ensure a margin of autonomy in the entrepreneurial choices of the franchisees, compatible with the need to maintain adequate quality standards and uniformity of image for the proper functioning of the system.</w:t>
      </w:r>
    </w:p>
    <w:p>
      <w:r>
        <w:t>42. The removal of the recognition of the pre-existing debt at the time of the contract signing, in particular, helps to limit the possibility of undue conditioning imposed on the franchisee for the signing of the contract, which could limit the recourse to any market alternatives, while the correct relevance for the purposes of non-fulfillment of the only debt arising from the specific franchising contract is also significant concerning the conduct valued during the proceeding related to the blocking and unblocking of goods, whose competitive criticality appears completely diminished if the goods are stopped only as a reaction to non-payment thereof and by virtue of an agreed commercial calendar.</w:t>
      </w:r>
    </w:p>
    <w:p>
      <w:r>
        <w:t>28 See Authority Communication on the application procedures of Article 14-ter of Law October 10, 1990, No. 287, approved by resolution October 12, 2006, No. 16015, in Bulletin No. 39/2006, last modified by resolution September 6, 2012, No. 23863, in Bulletin No. 35/2012, par. 7; see also TAR Lazio, section I, ruling April 7, 2008, No. 2902, Eutelia, par. 2.</w:t>
      </w:r>
    </w:p>
    <w:p>
      <w:r>
        <w:t>29 Council of State, section VI, ruling September 22, 2014, No. 4773, Agcm v. Conto TV, paras. 18-19.</w:t>
      </w:r>
    </w:p>
    <w:p>
      <w:r>
        <w:t>BULLETIN NO. 8 OF FEBRUARY 20, 2023</w:t>
      </w:r>
    </w:p>
    <w:p>
      <w:r>
        <w:t>43. The elimination of any form of automatism regarding the replenishment neutralizes the highlighted criticalities related to the excessive discretion granted to Benetton in the allocation of goods. At the same time, the establishment of a specific warehouse determined based on Benetton's know-how still allows the franchisee to procure goods according to their needs within a flexible system aimed at meeting the retailer's requirements. Regarding the notifier's observation concerning the partiality of measure No. 4, it is noted that the investigation has highlighted how the so-called fashion products have already been eliminated from the franchising contracts30, while the obligations to adhere to intra-seasonal commercial promotions have not been specifically contested during the investigation.</w:t>
      </w:r>
    </w:p>
    <w:p>
      <w:r>
        <w:t>44. The measures concerning: i) the elimination of a pre-assigned and fixed budget, which allows the franchisee to self-determine while respecting their entrepreneurial autonomy, ii) the elimination of the absolute discretion assigned to Benetton regarding the management of deliveries that must instead respect an agreed commercial calendar, iii) the purchase of furnishings that allows the franchisee to recover part of their investment in case of early termination, also appear suitable to remedy the competitive criticalities highlighted during the investigation. The measures aimed at regulating the suspension of supplies in case of non-fulfillment and the management of orders contribute to providing transparency to the contractual provisions and, therefore, further defining its negotiating balance.</w:t>
      </w:r>
    </w:p>
    <w:p>
      <w:r>
        <w:t>45. Lastly, as highlighted, Benetton has supplemented the original commitments by providing corrective measures that address the main observations made by the notifier, particularly regarding the repurchase price of furnishings and the interruption of scheduled deliveries beyond the expiration of the notice period for withdrawal. With specific reference to the measure concerning the purchase price of furnishings, it is believed that defining it based on a criterion that makes it as close as possible to their real value is certainly suitable to take into account the needs related to the actual amortization of the investments made and the possibility for the franchisee to reposition themselves in the market easily.</w:t>
      </w:r>
    </w:p>
    <w:p>
      <w:r>
        <w:t>46. Regarding the measures invoked by the notifier to mitigate the business risk of the franchisee also through the return of unsold goods or the application of the consignment contract, it is noted that such measures find reasonable application only when one of the main competitive variables, such as the quantity of goods to be sold, is defined autonomously by the franchisor. Conversely, the business model that Benetton commits to introduce provides that such a variable is managed freely by the franchisee.</w:t>
      </w:r>
    </w:p>
    <w:p>
      <w:r>
        <w:t>VII. CONCLUSIONS</w:t>
      </w:r>
    </w:p>
    <w:p>
      <w:r>
        <w:t>47. Based on the above, it is believed that the commitments proposed by Benetton S.r.l. and Benetton Group S.r.l. are overall suitable to remove the competitive concerns related to the profiles of abuse of economic dependence hypothesized in the initiation provision, pursuant to Article 9 of Law No. 198/1992.</w:t>
      </w:r>
    </w:p>
    <w:p>
      <w:r>
        <w:t>30 See doc. 458 pt. 15.</w:t>
      </w:r>
    </w:p>
    <w:p>
      <w:r>
        <w:t>BULLETIN NO. 8 OF FEBRUARY 20, 2023</w:t>
      </w:r>
    </w:p>
    <w:p>
      <w:r>
        <w:t>CONSIDERING, therefore, that the commitments presented by Benetton S.r.l. and Benetton Group S.r.l. are suitable to eliminate the critical issues subject to the investigation;</w:t>
      </w:r>
    </w:p>
    <w:p>
      <w:r>
        <w:t>CONSIDERING to make the commitments presented by Benetton S.r.l. and Benetton Group S.r.l. mandatory, pursuant to Article 14-ter, paragraph 1, of Law No. 287/90;</w:t>
      </w:r>
    </w:p>
    <w:p>
      <w:r>
        <w:t>All of the above being stated and considered:</w:t>
      </w:r>
    </w:p>
    <w:p>
      <w:r>
        <w:t>RESOLVES</w:t>
      </w:r>
    </w:p>
    <w:p>
      <w:r>
        <w:t>a) to make the commitments presented by Benetton S.r.l. and Benetton Group S.r.l. mandatory, pursuant to Article 14-ter, paragraph 1, of Law No. 287/90, under the terms described above and in the version attached to this provision of which they form an integral part;</w:t>
      </w:r>
    </w:p>
    <w:p>
      <w:r>
        <w:t>b) to close the proceeding without ascertaining the infringement of Article 9 of Law No. 198/1992, pursuant to Article 14-ter, paragraph 1, of Law No. 287/90;</w:t>
      </w:r>
    </w:p>
    <w:p>
      <w:r>
        <w:t>c) that Benetton S.r.l. and Benetton Group S.r.l. submit to the Authority, within sixty days from the notification of this provision, a report on the status of implementation of the commitments undertaken.</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SECRETARY GENERAL THE PRESIDENT</w:t>
      </w:r>
    </w:p>
    <w:p>
      <w:r>
        <w:t>Guido Stazi Roberto Rustichelli</w:t>
      </w:r>
    </w:p>
    <w:p>
      <w:r>
        <w:rPr>
          <w:b/>
        </w:rPr>
        <w:t>[Pages 13–15]</w:t>
      </w:r>
    </w:p>
    <w:p>
      <w:r>
        <w:t>BULLETIN NO. 8 OF FEBRUARY 20, 2023</w:t>
      </w:r>
    </w:p>
    <w:p>
      <w:r>
        <w:t>I857 - TIM-DAZN SERIES A AGREEMENT 2021/2024</w:t>
      </w:r>
    </w:p>
    <w:p>
      <w:r>
        <w:t>Provision No. 30476</w:t>
      </w:r>
    </w:p>
    <w:p>
      <w:r>
        <w:t>THE ANTITRUST AUTHORITY</w:t>
      </w:r>
    </w:p>
    <w:p>
      <w:r>
        <w:t>IN ITS MEETING of January 31, 2023;</w:t>
      </w:r>
    </w:p>
    <w:p>
      <w:r>
        <w:t>HEARD the Rapporteur, President Roberto Rustichelli;</w:t>
      </w:r>
    </w:p>
    <w:p>
      <w:r>
        <w:t>HAVING REGARD to Article 101 of the Treaty on the Functioning of the European Union (TFEU);</w:t>
      </w:r>
    </w:p>
    <w:p>
      <w:r>
        <w:t>HAVING REGARD to D.P.R. April 30, 1998, No. 217;</w:t>
      </w:r>
    </w:p>
    <w:p>
      <w:r>
        <w:t>HAVING REGARD to its resolution of July 6, 2021, by which an investigation was initiated pursuant to Article 14 of Law No. 287/90, against the companies Telecom Italia S.p.A., DAZN Limited, and DAZN Media Services S.r.l. to ascertain the existence of any violations of Article 101 of the TFEU;</w:t>
      </w:r>
    </w:p>
    <w:p>
      <w:r>
        <w:t>HAVING REGARD to its resolution of July 27, 2021, by which the sub-proceeding initiated concurrently with the resolution to open the proceeding was concluded, considering that at the current state of the documents there were no grounds for the adoption of precautionary measures pursuant to Article 14-bis of Law No. 287/90;</w:t>
      </w:r>
    </w:p>
    <w:p>
      <w:r>
        <w:t>HAVING REGARD to its resolution of June 7, 2022, by which the Authority decided to reject the commitments presented by Telecom Italia S.p.A., DAZN Limited, and DAZN Media Services S.r.l.;</w:t>
      </w:r>
    </w:p>
    <w:p>
      <w:r>
        <w:t>HAVING REGARD to its resolution of June 7, 2022, by which the Authority decided to extend the deadline for closing the proceeding to March 31, 2023;</w:t>
      </w:r>
    </w:p>
    <w:p>
      <w:r>
        <w:t>HAVING REGARD to the Communication of Investigative Results, sent to the Parties on January 20, 2023, pursuant to Article 14 of D.P.R. April 30, 1998, No. 217;</w:t>
      </w:r>
    </w:p>
    <w:p>
      <w:r>
        <w:t>HAVING REGARD to the request from DAZN Limited and DAZN Media Services S.r.l., received on January 25, 2023, and the subsequent request from Telecom Italia S.p.A., received on January 26, 2023, to extend the deadline referred to in Article 14, paragraph 4, of D.P.R. April 30, 1998, No. 217, until March 21, 2023, motivated by the need to more appropriately exercise their rights of defense;</w:t>
      </w:r>
    </w:p>
    <w:p>
      <w:r>
        <w:t>CONSIDERING the necessity to ensure the parties the broadest exercise of the right of defense in order to fully guarantee the right to adversarial proceedings;</w:t>
      </w:r>
    </w:p>
    <w:p>
      <w:r>
        <w:t>CONSIDERING, therefore, that it is necessary to extend the intra-procedural deadline for concluding the investigation phase;</w:t>
      </w:r>
    </w:p>
    <w:p>
      <w:r>
        <w:t>CONSIDERING that the extension of the intra-procedural deadline for closing the investigation phase also necessitates an extension of the deadline for concluding the proceeding;</w:t>
      </w:r>
    </w:p>
    <w:p>
      <w:r>
        <w:t>CONSIDERING also that it is necessary to request the opinion of the Authority for Communications Guarantees (AGCOM) pursuant to Article 1, paragraph 6, letter c), No. 11, of Law July 31, 1997, No. 249, establishing "The Authority for Communications Guarantees and regulations on telecommunications and broadcasting systems";</w:t>
      </w:r>
    </w:p>
    <w:p>
      <w:r>
        <w:t>CONSIDERING, therefore, the necessity to extend the deadline for closing the proceeding, currently set for March 31, 2023;</w:t>
      </w:r>
    </w:p>
    <w:p>
      <w:r>
        <w:t>RESOLVES</w:t>
      </w:r>
    </w:p>
    <w:p>
      <w:r>
        <w:t>to extend the deadline for concluding the proceeding to May 31, 2023.</w:t>
      </w:r>
    </w:p>
    <w:p>
      <w:r>
        <w:t>This provision will be notified to the interested parties and published in the Bulletin of the Antitrust Authority.</w:t>
      </w:r>
    </w:p>
    <w:p>
      <w:r>
        <w:t>THE SECRETARY GENERAL THE PRESIDENT</w:t>
      </w:r>
    </w:p>
    <w:p>
      <w:r>
        <w:t>Guido Stazi Roberto Rustichelli</w:t>
      </w:r>
    </w:p>
    <w:p>
      <w:r>
        <w:t>BULLETIN NO. 8 OF FEBRUARY 20, 2023</w:t>
      </w:r>
    </w:p>
    <w:p>
      <w:r>
        <w:t>CONCENTRATION OPERATIONS</w:t>
      </w:r>
    </w:p>
    <w:p>
      <w:r>
        <w:t>C12514 - CSM ITALIA-GATE/TRIESTE MARINE TERMINAL</w:t>
      </w:r>
    </w:p>
    <w:p>
      <w:r>
        <w:t>Provision No. 30473</w:t>
      </w:r>
    </w:p>
    <w:p>
      <w:r>
        <w:t>THE ANTITRUST AUTHORITY</w:t>
      </w:r>
    </w:p>
    <w:p>
      <w:r>
        <w:t>IN ITS MEETING of January 31, 2023;</w:t>
      </w:r>
    </w:p>
    <w:p>
      <w:r>
        <w:t>HEARD the Rapporteur, Professor Elisabetta Iossa;</w:t>
      </w:r>
    </w:p>
    <w:p>
      <w:r>
        <w:t>HAVING REGARD to Regulation (EC) No. 139/2004;</w:t>
      </w:r>
    </w:p>
    <w:p>
      <w:r>
        <w:t>HAVING REGARD to Law October 10, 1990, No. 287;</w:t>
      </w:r>
    </w:p>
    <w:p>
      <w:r>
        <w:t>HAVING REGARD to D.P.R. April 30, 1998, No. 217;</w:t>
      </w:r>
    </w:p>
    <w:p>
      <w:r>
        <w:t>HAVING REGARD to the communication from CSM Italia-Gate S.p.A., received on January 9, 2023;</w:t>
      </w:r>
    </w:p>
    <w:p>
      <w:r>
        <w:t>CONSIDERING as follows:</w:t>
      </w:r>
    </w:p>
    <w:p>
      <w:r>
        <w:t>I. THE PARTIES</w:t>
      </w:r>
    </w:p>
    <w:p>
      <w:r>
        <w:t>1. CSM Italia-Gate S.p.A. (hereinafter "CSMI") is a holding company that holds equity interests in companies that manage port terminals in Genoa, Gioia Tauro, and Trieste. CSMI is part of the group of companies controlled by Terminal Investment Limited Holding SA ("TIL Group"), active in the management and development of container terminals worldwide. Terminal Investment Limited Holding S.A. is jointly controlled by MSC Mediterranean Shipping Company Holding S.A. (the holding company of the MSC group, active in container transport, intermodal transport services, port terminal management, and in the cruise and passenger transport sectors) and the Global Infrastructure Partners fund. The MSC group generated approximately [2-3]* billion euros in revenue in Italy in 2021.</w:t>
      </w:r>
    </w:p>
    <w:p>
      <w:r>
        <w:t>2. Trieste Marine Terminal S.p.A. (hereinafter "TMT") is an Italian law company that manages, based on a concession lasting 60 years granted by the Port Authority of Trieste in 2015, the container terminal at Pier VII of the Port of Trieste. The share capital of TMT is held, in equal shares of 50%, by CSMI and T.O. Delta S.p.A. ("TOD"), a company indirectly controlled by a group of Italian individuals. Article 1 of the aforementioned concession provided that in the event of another company entering the capital of TMT, TOD must still maintain a dominant influence over the concessionaire TMT, expressing the majority of the members of the Board of Directors and the Managing Director and/or the General Manager. Based on this provision, the shareholders' agreements have been entered into that confer control of TMT to TOD.</w:t>
      </w:r>
    </w:p>
    <w:p>
      <w:r>
        <w:t>* In this version, some data is omitted, as elements of confidentiality or secrecy of the information were deemed to exist.</w:t>
      </w:r>
    </w:p>
    <w:p>
      <w:r>
        <w:rPr>
          <w:b/>
        </w:rPr>
        <w:t>[Pages 16–18]</w:t>
      </w:r>
    </w:p>
    <w:p>
      <w:r>
        <w:t>18 BULLETIN NO. 8 OF FEBRUARY 20, 2023</w:t>
      </w:r>
    </w:p>
    <w:p>
      <w:r>
        <w:t>TMT holds a 50% stake in the capital of Adria Distripark S.r.l., which provides warehousing services for goods and containers and logistics ancillary to the container terminal services offered at the container terminal of Molo VII of the Port of Trieste. TMT generated revenue of over 79 million euros in 2021, almost entirely in Italy.</w:t>
      </w:r>
    </w:p>
    <w:p>
      <w:r>
        <w:t>II. DESCRIPTION OF THE OPERATION</w:t>
      </w:r>
    </w:p>
    <w:p>
      <w:r>
        <w:t>3. As part of the new development plan for the Port of Trieste, the Port System Authority of the Eastern Adriatic Sea and TMT signed a procedural framework agreement in July 2022, approved by the aforementioned Authority with resolution No. 21/2022. This agreement, while providing for a supplementary plan of restructuring and modernization interventions for the container terminal granted to TMT, repealed the provision contained in Article 1 of the concession that established that TOD should maintain a decisive influence over the concessionaire TMT. The new Article 1 stipulates that any acquisition of control over TMT must be communicated in advance to the Port System Authority of the Eastern Adriatic Sea, which may formulate observations within a predetermined timeframe.</w:t>
      </w:r>
    </w:p>
    <w:p>
      <w:r>
        <w:t>4. The communicated operation consists of the acquisition, by CSMI, of exclusive control over TMT. The operation will be carried out through the transfer to CSMI (or to another company of the TIL group that will be designated) of a share equal to 30% of the capital of TMT, currently held by TOD. In this way, CSMI will hold 80% of the share capital of TMT, and the remaining 20% will remain in the hands of TOD. The new shareholders' agreements provide that [omitted].</w:t>
      </w:r>
    </w:p>
    <w:p>
      <w:r>
        <w:t>5. The operation also includes the simultaneous signing of a service contract, under which TOD will provide TMT with managerial and commercial support services.</w:t>
      </w:r>
    </w:p>
    <w:p>
      <w:r>
        <w:t>III. QUALIFICATION OF THE OPERATION</w:t>
      </w:r>
    </w:p>
    <w:p>
      <w:r>
        <w:t>6. The communicated operation, as it involves the acquisition of control over a company, constitutes a concentration pursuant to Article 5, paragraph 1, letter b), of Law No. 287/1990. It falls within the scope of application of Law No. 287/1990, as the conditions set out in Article 1 of EC Regulation No. 139/2004 do not apply, and it is subject to the obligation of prior notification provided for by Article 16, paragraph 1, of the aforementioned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IV. EVALUATION OF THE OPERATION</w:t>
      </w:r>
    </w:p>
    <w:p>
      <w:r>
        <w:t>The relevant markets</w:t>
      </w:r>
    </w:p>
    <w:p>
      <w:r>
        <w:t>7. This operation concerns, from a horizontal perspective, the sector of port cargo handling and, in particular, container terminal services. In fact, both the acquired company TMT and the acquiring group (CSMI and the TIL group) operate in the management of port cargo terminals, primarily dedicated to container traffic.</w:t>
      </w:r>
    </w:p>
    <w:p>
      <w:r>
        <w:t>BULLETIN NO. 8 OF FEBRUARY 20, 2023</w:t>
      </w:r>
    </w:p>
    <w:p>
      <w:r>
        <w:t>Considering that the acquiring group is part of the MSC group, one of the main global operators in maritime container transport, also operating in the transport of containers to and from ports and present in the provision of port services at the port of Trieste, from a vertical perspective, the maritime transport of containerized goods, the related port services, and the transport of containers to and from ports are also affected by the operation.</w:t>
      </w:r>
    </w:p>
    <w:p>
      <w:r>
        <w:t>8. According to established national and community practice, within port cargo handling, different markets are distinguished based on the type of cargo (containerized goods, bulk materials and liquids, Ro-Ro, various goods), the characteristics of the ships, the equipment necessary for cargo handling, and the services required. In particular, a separate market is distinguished for the services provided by container terminals and, within this, due to the different characteristics of the necessary equipment (for example, deeper basins that allow the docking of larger draft ships), distinct markets are identified for container terminal services aimed at deep-sea container vessels and for those aimed at short-sea container vessels.</w:t>
      </w:r>
    </w:p>
    <w:p>
      <w:r>
        <w:t>9. In the provision of container terminal services to deep-sea container vessels, two different types of services have also been distinguished:</w:t>
        <w:br/>
        <w:t>(i) services for hinterland traffic (or to/from the inland), which involve the transfer of containers from the container ship to other means (train, truck, etc.) that carry out transport inland (and vice versa);</w:t>
        <w:br/>
        <w:t>(ii) services for transshipment traffic, which involve the transfer of containers between different deep-sea ships (relay) or between deep-sea and short-sea ships, for transport to smaller ports or with equipment unsuitable for deep-sea container ships (feeder).</w:t>
      </w:r>
    </w:p>
    <w:p>
      <w:r>
        <w:t>10. The port terminal managed by TMT is the most important container terminal in the Adriatic Sea. It is a terminal with particularly favorable characteristics – both in terms of infrastructure and basin depth (the deepest in the Mediterranean) – for providing services to deep-sea container ships, which represents the main activity of the terminal. A minority portion of the container traffic to/from the terminal, which decreased between 2021 and 2022, is carried out by short-sea vessels; according to the Parties, these are particularly feeder ships on which containers from the Far East are transshipped to be delivered to various ports in the Mediterranean. The terminal is also served by a large freight hub for intermodal transport, from which numerous trains depart weekly to intermodal platforms in Austria, Germany, Slovakia, the Czech Republic, and Hungary, as well as to the major intermodal platforms in Italy.</w:t>
      </w:r>
    </w:p>
    <w:p>
      <w:r>
        <w:t>11. Based on these elements, the terminal subject to acquisition can be primarily characterized as a gateway terminal for deep-sea container ships. Therefore, the relevant product markets for evaluating the effects of the operation can be identified primarily in the market for container terminal services aimed at deep-sea container ships for hinterland traffic and, secondly, in the market for container terminal services aimed at deep-sea container ships for the transfer of containers to short-sea feeder ships.</w:t>
      </w:r>
    </w:p>
    <w:p>
      <w:r>
        <w:t>12. The geographical scope of the markets related to the services offered by container terminals should be determined, according to established national and community practice, based on the catchment area served by each container terminal. With specific reference to services for hinterland traffic, the Authority has generally referred to catchment areas of individual port systems of about 200-300 km, varying in relation to their geographical location, proximity to other port systems, the presence of road connections, associated land transport costs, existing infrastructure and their efficiency, as well as the existence of transshipment services. In preliminary approximation, considering the Authority's precedents, both the other ports of Northeast Italy (Ravenna, Venice – which includes Chioggia and Marghera – Monfalcone) and the ports of Koper/Capodistria (Slovenia) and Rijeka/Fiume (Croatia) appear to fall within the catchment area of the port of Trieste. The container terminals of these ports can be characterized, like that of Trieste, as gateway terminals for hinterland traffic. However, it should be noted that only the container terminals of the ports of Koper/Capodistria (Slovenia) and Rijeka/Fiume (Croatia) constitute an actual competitive constraint on the terminal managed by TMT regarding services aimed at deep-sea container ships. In fact, only these two terminals have basins of comparable depth to that of Trieste and similar equipment, while the other ports of the upper Adriatic have basins of significantly lower draft (about 2/3 of that of Trieste, Koper, and Rijeka) and equipment that allows for less efficient handling of containers to/from such ships. The port of Koper also has, like that of Trieste, daily rail connections with intermodal platforms located in Austria, Germany, and several Eastern European countries. For the purposes of evaluating this operation, the question of whether to identify a market with a more restricted geographical scope, limited to the ports of Trieste, Koper, and Rijeka, can be left open, as the evaluation of the operation would not change in any case. Finally, it should be noted that any expansion of the geographical scope of the relevant market to the ports of the Upper Tyrrhenian Sea, where container terminals providing services to deep-sea container ships are located, as suggested by the Authority in some precedents, would not modify the evaluation of the operation.</w:t>
      </w:r>
    </w:p>
    <w:p>
      <w:r>
        <w:rPr>
          <w:b/>
        </w:rPr>
        <w:t>[Pages 19–21]</w:t>
      </w:r>
    </w:p>
    <w:p>
      <w:r>
        <w:t>BULLETIN NO. 8 OF FEBRUARY 20, 2023</w:t>
      </w:r>
    </w:p>
    <w:p>
      <w:r>
        <w:t>13. As for the container terminal services for the transfer of containers on short-sea feeder ships, the geographical dimension of the relevant market has been considered broader and encompassing the entire Mediterranean Sea6.</w:t>
      </w:r>
    </w:p>
    <w:p>
      <w:r>
        <w:t>The effects of the operation</w:t>
      </w:r>
    </w:p>
    <w:p>
      <w:r>
        <w:t>(i) Market for container terminal services aimed at deep-sea container ships for hinterland traffic</w:t>
      </w:r>
    </w:p>
    <w:p>
      <w:r>
        <w:t>14. The operation in question does not result in significant horizontal overlaps in the market for container terminal services aimed at deep-sea container ships for hinterland traffic in the Upper Adriatic. In this area, in fact, the MSC group is present only with a non-controlling stake in the minority partner of the company that manages the container terminal in Ravenna. Even attributing to the MSC group the entire traffic of the Ravenna container terminal (to which a market share of approximately 7% seems possible to attribute), the post-concentration share of the MSC group would, in fact, be below 35% of the market and equivalent to that of the Koper terminal, its direct competitor. Furthermore, it should be noted that the substitutability between the ports of Ravenna and Trieste is limited by the different depths of the seabed and the diversity of equipment; thus, the control of the container terminals of both ports will not result in a significant weakening of the competitive constraints between them. Conversely, narrowing the scope of evaluation to the set of competitors capable of exerting a significant competitive constraint on TMT (the Koper and Rijeka terminals), the MSC group will hold a share of approximately one-third of this narrower market, both in terms of volumes and handling capacity.</w:t>
      </w:r>
    </w:p>
    <w:p>
      <w:r>
        <w:t>Moreover, it should be noted that the competing terminals of Koper and Rijeka have significant unused capacity (amounting to approximately 25% of the total available) and that new capacity for providing container terminal services to deep-sea ships is being introduced. By 2025, the expansion of the Rijeka container terminal is expected to be completed, which will more than double its container handling capacity and will be able to serve deep-sea container ships with a tonnage exceeding the maximum that can be accommodated by TMT, also developing its rail connections with Central Europe. Additionally, in the same port of Trieste (pier VIII), a multipurpose terminal called Piattaforma Logistica Trieste began operations in 2021, which also provides services to container ships; the terminal is managed by HHLA Plt Italy, a company controlled by the German group HHLA, specialized in container terminal management, and participated by various Italian logistics operators; Piattaforma Logistica Trieste has quickly developed its traffic, and the concession provides, within the framework of the development plan for the port of Trieste pursued by the local Port Authority, for the creation of a new container terminal on Pier VIII, equipped with facilities and characteristics that make it competitive with the one subject to this operation.</w:t>
      </w:r>
    </w:p>
    <w:p>
      <w:r>
        <w:t>The acquisition of TMT does not therefore appear capable of significantly restricting competition in the market for container terminal services aimed at deep-sea container ships, due to the presence of significant competitors and the introduction of new terminal capacity capable of exerting a significant competitive constraint on the MSC group.</w:t>
      </w:r>
    </w:p>
    <w:p>
      <w:r>
        <w:t>6 See C12225, cited.</w:t>
      </w:r>
    </w:p>
    <w:p>
      <w:r>
        <w:t>22 BULLETIN NO. 8 OF FEBRUARY 20, 2023</w:t>
      </w:r>
    </w:p>
    <w:p>
      <w:r>
        <w:t>15. If a market with a broader geographical scope, including the ports of the Upper Tyrrhenian Sea, were to be considered, a horizontal overlap with the activities of the TIL group in the port of Genoa would occur. This overlap, while allowing the TIL group to more than double its market share (bringing it to approximately [10-15]%), does not appear likely to significantly reduce the competitive constraints to which the TIL group and the MSC group are subject. Such constraints could actually increase in the near future, for the reasons mentioned earlier.</w:t>
      </w:r>
    </w:p>
    <w:p>
      <w:r>
        <w:t>(ii) Market for container terminal services aimed at deep-sea container ships for the transfer of containers on short-sea feeder ships</w:t>
      </w:r>
    </w:p>
    <w:p>
      <w:r>
        <w:t>16. In its previous decisions on container terminal services for transshipment traffic7, the Authority did not include the port of Trieste among the relevant ports of this market, due to the modest volume of transshipment traffic recorded. Although this traffic in the port of Trieste has increased, reaching the level of some of the smaller ports considered in the aforementioned decisions, in this market the acquired terminal holds a marginal share, estimated at approximately 1%. Its acquisition will not result in a significant increase in the market share held by the TIL/MSC group. The operation does not therefore appear likely to significantly alter the competitive conditions in this market.</w:t>
      </w:r>
    </w:p>
    <w:p>
      <w:r>
        <w:t>(iii) Vertical effects</w:t>
      </w:r>
    </w:p>
    <w:p>
      <w:r>
        <w:t>17. Following the operation, the MSC group will hold, through the TIL group, joint control of TMT8. The MSC group is a leading operator in container shipping worldwide and is one of the main users of the terminal subject to acquisition, from which it operates a direct service to the ports of the Far East and lines that call at various ports in the Mediterranean. The MSC group also controls the company that provides port towing services in the port of Trieste9 and is also involved in the transport of containers to and from the port terminals.</w:t>
      </w:r>
    </w:p>
    <w:p>
      <w:r>
        <w:t>The operation in question therefore appears capable of producing vertical effects due to the integration between the MSC group and the terminal company.</w:t>
      </w:r>
    </w:p>
    <w:p>
      <w:r>
        <w:t>18. Regarding the maritime transport of goods by container, it should be noted that, according to community practice10, it is possible to distinguish, within container maritime transport, services provided with deep-sea ships (overseas services) from short-sea services. The geographical scope of the market for container maritime transport services is defined based on bundles of routes, identified with reference to the ports from which and to which the services are provided, and which are considered substitutable by users; in practice, in identifying the bundles of routes, all ports in the Mediterranean have been considered substitutable among themselves11. Considering that the traffic with deep-sea container ships from the acquired terminal mainly concerns the Far East12, the relevant bundle of routes appears to be those from the Mediterranean to the Far East, in which the MSC group does not appear to hold shares exceeding 20%.</w:t>
      </w:r>
    </w:p>
    <w:p>
      <w:r>
        <w:t>As for the effects of the operation on the market for maritime transport services by container, the possibility for competitors to turn to the ports of Koper and Rijeka, which already have excess capacity and whose capacity is also being expanded, or to the new container terminal at pier VIII of the port of Trieste, which is already operational and under development, is significant. This possibility appears capable of averting the risk of any exclusionary behavior by the MSC group.</w:t>
      </w:r>
    </w:p>
    <w:p>
      <w:r>
        <w:t>Additionally, national and local regulations provide for non-discrimination obligations13.</w:t>
      </w:r>
    </w:p>
    <w:p>
      <w:r>
        <w:t>Based on these elements, it is not believed that the operation could produce significant vertical effects to the detriment of the MSC group's competitors in maritime transport of goods through containers.</w:t>
      </w:r>
    </w:p>
    <w:p>
      <w:r>
        <w:t>19. The vertical integration with the tugboat service in the port of Trieste does not appear likely to generate significant anti-competitive effects, as local regulation constitutes a limit to the MSC group's ability to engage in exclusionary conduct. In fact, the tugboat service (conceded under concession) is regulated by the Port Authority, which sets prices and dictates the regulations to which the concessionaire must adhere, particularly the order in which it must satisfy the requests received.</w:t>
      </w:r>
    </w:p>
    <w:p>
      <w:r>
        <w:t>20. Finally, regarding the sector of container handling by land to/from the ports, it concerns the handling of containers by rail and truck. In community practice, the issue of identifying distinct markets based on means of transport has been left open, while the geographical dimension of the market has been considered at least national14. Shipping companies often offer this handling as part of the port-to-port service, using controlled companies for this purpose. A large part of the revenue generated by the MSC group in this sector appears to be attributable to this type of clientele. As for the third-party service, it is a very fragmented market, in which the MSC group has only recently entered15 and competes with various operators specialized in third-party container handling, present in the port of Trieste16 and in other Italian ports. In this context, the concentration in question does not appear likely to favor MSC group companies in providing container transport services to/from the acquired terminal.</w:t>
      </w:r>
    </w:p>
    <w:p>
      <w:r>
        <w:t>11 See C12255, cited.</w:t>
      </w:r>
    </w:p>
    <w:p>
      <w:r>
        <w:t>12 In 2022, in addition to the MSC group, 5 other operators operated regular line services with container ships from the TMT terminal to the Far East.</w:t>
      </w:r>
    </w:p>
    <w:p>
      <w:r>
        <w:t>13 The Transport Regulatory Authority, with resolution 57/2018, reiterated the obligation for holders of concessions related to port terminals to ensure fair and non-discriminatory access to port infrastructure.</w:t>
      </w:r>
    </w:p>
    <w:p>
      <w:r>
        <w:t>14 See the European Commission decision of April 10, 2017, M.8330 - Maersk Line / HSDG.</w:t>
      </w:r>
    </w:p>
    <w:p>
      <w:r>
        <w:t>15 See C12255, cited.</w:t>
      </w:r>
    </w:p>
    <w:p>
      <w:r>
        <w:t>16 For example, less than 15% of container shipments by rail from the port of Trieste were made by MSC group companies (see statistics available on the adriafer.com website).</w:t>
      </w:r>
    </w:p>
    <w:p>
      <w:r>
        <w:rPr>
          <w:b/>
        </w:rPr>
        <w:t>[Pages 22–24]</w:t>
      </w:r>
    </w:p>
    <w:p>
      <w:r>
        <w:t>24 BULLETIN NO. 8 OF FEBRUARY 20, 2023</w:t>
      </w:r>
    </w:p>
    <w:p>
      <w:r>
        <w:t>21. In light of the above considerations, the concentration under examination does not appear to significantly hinder effective competition in the relevant markets or to result in the establishment or strengthening of a dominant position.</w:t>
      </w:r>
    </w:p>
    <w:p>
      <w:r>
        <w:t>CONSIDERING, therefore, that the operation in question does not significantly hinder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Ministry of Enterprises and Made in Italy.</w:t>
      </w:r>
    </w:p>
    <w:p>
      <w:r>
        <w:t>This provision will be published in the Bulletin of the Antitrust Authority.</w:t>
      </w:r>
    </w:p>
    <w:p>
      <w:r>
        <w:t>THE SECRETARY GENERAL THE PRESIDENT</w:t>
      </w:r>
    </w:p>
    <w:p>
      <w:r>
        <w:t>Guido Stazi Roberto Rustichelli</w:t>
      </w:r>
    </w:p>
    <w:p>
      <w:r>
        <w:t>BULLETIN NO. 8 OF FEBRUARY 20, 2023</w:t>
      </w:r>
    </w:p>
    <w:p>
      <w:r>
        <w:t>C12515 - DEA CAPITAL ALTERNATIVE FUNDS-ALCEDO/PERSEFONE</w:t>
      </w:r>
    </w:p>
    <w:p>
      <w:r>
        <w:t>Provision No. 30474</w:t>
      </w:r>
    </w:p>
    <w:p>
      <w:r>
        <w:t>THE ANTITRUST AUTHORITY</w:t>
      </w:r>
    </w:p>
    <w:p>
      <w:r>
        <w:t>IN ITS MEETING of January 31, 2023;</w:t>
      </w:r>
    </w:p>
    <w:p>
      <w:r>
        <w:t>HEARD the Rapporteur, Professor Elisabetta Iossa;</w:t>
      </w:r>
    </w:p>
    <w:p>
      <w:r>
        <w:t>HAVING REGARD to Law No. 287 of October 10, 1990;</w:t>
      </w:r>
    </w:p>
    <w:p>
      <w:r>
        <w:t>HAVING REGARD to Presidential Decree No. 217 of April 30, 1998;</w:t>
      </w:r>
    </w:p>
    <w:p>
      <w:r>
        <w:t>HAVING REGARD to Regulation (EC) No. 139/04;</w:t>
      </w:r>
    </w:p>
    <w:p>
      <w:r>
        <w:t>HAVING REGARD to the communication made by DeA Capital Alternative Funds SGR S.p.A., received on January 13, 2023;</w:t>
      </w:r>
    </w:p>
    <w:p>
      <w:r>
        <w:t>HAVING REGARD to the documentation on file;</w:t>
      </w:r>
    </w:p>
    <w:p>
      <w:r>
        <w:t>CONSIDERED the following:</w:t>
      </w:r>
    </w:p>
    <w:p>
      <w:r>
        <w:t>I. THE PARTIES</w:t>
      </w:r>
    </w:p>
    <w:p>
      <w:r>
        <w:t>1. DeA Capital Alternative Funds SGR S.p.A. (“DeA Capital AF”) is a company active in collective asset management, in the provision of advisory services in financial investments, custody and administration of financial instruments, as well as in the exercise of activities related and/or instrumental to collective asset management. The capital of DeA Capital AF is 100% owned by DeA Capital S.p.A., a company active in the private equity and alternative asset management sector, subject to the control of De Agostini S.p.A., the parent company of the eponymous group, which is in turn controlled by B&amp;D Holding S.p.A., which is controlled by individuals. In 2021, the De Agostini Group achieved a worldwide turnover of approximately [3-4]* billion euros, of which approximately [1-2] billion euros from sales in Italy.</w:t>
      </w:r>
    </w:p>
    <w:p>
      <w:r>
        <w:t>2. DeA Capital AF manages, inter alia, “Taste of Italy 2” (hereinafter the “Fund”), a reserved alternative investment fund dedicated to the agri-food sector. The Fund's investment projects are focused on medium-sized companies with profitable growth prospects.</w:t>
      </w:r>
    </w:p>
    <w:p>
      <w:r>
        <w:t>3. Alcedo SGR S.p.A. (hereinafter also Alcedo SGR) is an asset management company, one of the main players in private equity in Italy. Alcedo SGR, wholly controlled by MGM S.r.l., which is in turn controlled by individuals, specializes in managing closed-end reserved alternative investment funds. It currently manages two funds, named Alcedo IV and Alcedo V, whose investment activity is primarily focused on small and medium-sized enterprises located in Northern and Central Italy. Through the Alcedo IV fund, Alcedo SGR currently controls the company Persefone S.r.l., the target company of this operation. In the financial year 2021, Alcedo SGR achieved approximately [517-700] million euros, of which approximately [100-517] million euros related to sales made in Italy.</w:t>
      </w:r>
    </w:p>
    <w:p>
      <w:r>
        <w:t>* In this version, some data are omitted, as elements of confidentiality or secrecy of the information were deemed to exist.</w:t>
      </w:r>
    </w:p>
    <w:p>
      <w:r>
        <w:t>26 BULLETIN NO. 8 OF FEBRUARY 20, 2023</w:t>
      </w:r>
    </w:p>
    <w:p>
      <w:r>
        <w:t>4. Persefone S.r.l. is a company established by Alcedo SGR, which holds 95% of the share capital of Demetra S.p.A., a company specialized in the production and marketing of machinery and equipment for the agricultural industry. The remaining 5% of the share capital of Demetra is currently held by an individual (hereinafter “LP”). During 2022, Persefone also acquired 100% of the share capital of Dalbo A/S, a Danish company also operating in the agricultural machinery production sector. The Target Group of this operation is therefore composed of the companies Persefone S.r.l., Demetra S.p.A., and Dalbo A/S. It operates in the production and wholesale sale of agricultural machinery and equipment, with particular reference to the so-called “agricultural implements,” i.e., the equipment used, in various capacities, in the processing and maintenance of the land. The Target Group had a turnover of approximately [31-100] million at the global level in 2021, of which approximately [1-10] million euros in Italy.</w:t>
      </w:r>
    </w:p>
    <w:p>
      <w:r>
        <w:t>II. DESCRIPTION OF THE OPERATION</w:t>
      </w:r>
    </w:p>
    <w:p>
      <w:r>
        <w:t>5. The communicated operation consists of the acquisition, by DeA Capital AF, on behalf of the “Fund,” and by Alcedo SGR, on behalf of its investment fund Alcedo V, of 100% of the share capital of Persefone, sold by the investment fund Alcedo IV (also managed by Alcedo SGR). The operation will therefore result in the acquisition of joint control of the Target Group by DeA Capital AF and Alcedo SGR.</w:t>
      </w:r>
    </w:p>
    <w:p>
      <w:r>
        <w:t>6. In particular, the Notifying Parties and LP have signed an investment agreement which provides that: i) DeA Capital AF and Alcedo SGR each acquire, respectively, a share equal to 50% of the share capital of Persefone (thus, together, the entire share capital of the latter); ii) Persefone, in turn, acquires the remaining 5% of the share capital of Demetra currently held by LP. Among the governance rules established by the agreement, it is provided that LP shall serve as a member of the Board of Directors of Persefone and Demetra until the approval of the respective financial statements as of December 31, 2024.</w:t>
      </w:r>
    </w:p>
    <w:p>
      <w:r>
        <w:t>7. The Operation includes a non-competition obligation on the part of LP for the period during which he will serve as a board member of Demetra (or, if subsequently acquired, of Persefone or Dalbo) and for the three subsequent years.</w:t>
      </w:r>
    </w:p>
    <w:p>
      <w:r>
        <w:t>III. QUALIFICATION OF THE OPERATION</w:t>
      </w:r>
    </w:p>
    <w:p>
      <w:r>
        <w:t>8. The communicated operation, as it involves a change in the control of a company, constitutes a concentration pursuant to Article 5, paragraph 1, letter b), of Law No. 287/90. It is subject to the obligation of prior notification provided for by Article 16, paragraph 1, of Law No. 287/90, as the total turnover achieved in the last financial year at the national level by the group of interested companies exceeded 517 million euros and as the total turnover achieved individually at the national level by at least two of the interested companies exceeded 31 million euros.</w:t>
      </w:r>
    </w:p>
    <w:p>
      <w:r>
        <w:t>9. The non-competition agreement described above constitutes a restriction directly connected and necessary for the realization of the operation, as it is strictly functional to safeguarding the value of the acquired company, limited only to a period of two years and with reference to a</w:t>
      </w:r>
    </w:p>
    <w:p>
      <w:r>
        <w:rPr>
          <w:b/>
        </w:rPr>
        <w:t>[Pages 25–27]</w:t>
      </w:r>
    </w:p>
    <w:p>
      <w:r>
        <w:t>BULLETIN NO. 8 OF FEBRUARY 20, 2023 27</w:t>
      </w:r>
    </w:p>
    <w:p>
      <w:r>
        <w:t>product and geographical scope strictly limited to the current operational area of the acquired company1.</w:t>
      </w:r>
    </w:p>
    <w:p>
      <w:r>
        <w:t>IV. EVALUATION OF THE OPERATION</w:t>
      </w:r>
    </w:p>
    <w:p>
      <w:r>
        <w:t>IV.1 The relevant markets</w:t>
      </w:r>
    </w:p>
    <w:p>
      <w:r>
        <w:t>10. The Target Group is active in the sector of production and wholesale sale of agricultural machinery, specifically in the market of "agricultural implements," in which the De Agostini Group is not present. The latter, in fact, operates only, through the recently acquired controlling stake in Pieralisi MAIP S.p.A.2, in the distinct sector of industrial machinery and, in particular, in the production and marketing of plants intended for the olive oil industry and in the production and marketing of machinery that develops centrifugal force.</w:t>
      </w:r>
    </w:p>
    <w:p>
      <w:r>
        <w:t>11. In relation to the broader sector of agricultural machinery sales, the European Commission has deemed it appropriate to identify distinct product markets concerning the different uses of the various types and categories of machinery involved (standard tractors, special tractors, combine harvesters, forage harvesting machines, balers, grass chopping machines), while keeping the production of wheeled vehicles used in agriculture (tractors and other motorized vehicles) separate from the machinery/tools used in connection with such vehicles3. For the purposes of evaluating the operation in question, it is not necessary to arrive at a precise identification of the product markets and their geographical dimensions since, even in the most restrictive scenario, the assessment of the competitive impact would not change.</w:t>
      </w:r>
    </w:p>
    <w:p>
      <w:r>
        <w:t>12. From a horizontal perspective, the operation does not create overlaps, as DeA Capital AF is only active in the industrial machinery sector, which is distinct and separate from the markets related to agricultural machinery and equipment. In any case, the market share of the Target Group in 2021 was less than 1%, both in relation to the value of the European agricultural machinery market and in relation to the more restricted market of agricultural implements. Even in the case of markets confined to the individual product categories currently produced by the Target Group, its market share would still not exceed 10%, both in relation to the value of the European market and in relation to the value of the national market.</w:t>
      </w:r>
    </w:p>
    <w:p>
      <w:r>
        <w:t>13. Also from a vertical perspective, the connections between the activities of DeA Capital AF and the Target Group appear to be merely hypothetical and, in any case, negligible. They could indeed only arise from the presence of DeA Capital AF, through the stakes held by its funds, in companies active in the agricultural sector, particularly in the cultivation of oilseeds and fresh fruit. The market share held by such companies in the relevant markets is, in any case, less than 5%. Moreover, the Target Group does not operate in the retail market for agricultural equipment, which is conducted by independent distributors. The operation does not therefore appear to be capable of generating any vertical restrictions of any kind, in terms of input limitation or customer restrictions.</w:t>
      </w:r>
    </w:p>
    <w:p>
      <w:r>
        <w:t>CONSIDERING, therefore, that the operation in question does not significantly impede effective competition in the relevant markets, pursuant to Article 6, paragraph 1, of Law No. 287/90, and does not result in the establishment or strengthening of a dominant position;</w:t>
      </w:r>
    </w:p>
    <w:p>
      <w:r>
        <w:t>CONSIDERING, furthermore, that the agreed non-competition clauses are accessory to this operation only to the extent specified above, and that the Authority reserves the right to evaluate, where the conditions exist, such clauses to the extent that they extend beyond the indicated duration;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Ministry of Enterprises and Made in Italy.</w:t>
      </w:r>
    </w:p>
    <w:p>
      <w:r>
        <w:t>This provision will be published in the Bulletin of the Antitrust Authority.</w:t>
      </w:r>
    </w:p>
    <w:p>
      <w:r>
        <w:t>THE SECRETARY GENERAL THE PRESIDENT</w:t>
      </w:r>
    </w:p>
    <w:p>
      <w:r>
        <w:t>Guido Stazi Roberto Rustichelli</w:t>
      </w:r>
    </w:p>
    <w:p>
      <w:r>
        <w:t>BULLETIN NO. 8 OF FEBRUARY 20, 2023 29</w:t>
      </w:r>
    </w:p>
    <w:p>
      <w:r>
        <w:t>C12518 - SAS SHIPPING AGENCIES SERVICES/RIMORCHIATORI MEDITERRANEI</w:t>
      </w:r>
    </w:p>
    <w:p>
      <w:r>
        <w:t>Provision No. 30475</w:t>
      </w:r>
    </w:p>
    <w:p>
      <w:r>
        <w:t>THE ANTITRUST AUTHORITY</w:t>
      </w:r>
    </w:p>
    <w:p>
      <w:r>
        <w:t>IN ITS MEETING of January 31, 2023;</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SAS Shipping Agencies Services S.à r.l., received on January 16, 2023;</w:t>
      </w:r>
    </w:p>
    <w:p>
      <w:r>
        <w:t>CONSIDERING the following:</w:t>
      </w:r>
    </w:p>
    <w:p>
      <w:r>
        <w:t>I. THE PARTIES</w:t>
      </w:r>
    </w:p>
    <w:p>
      <w:r>
        <w:t>1. SAS Shipping Agencies Services S.à r.l. (hereinafter "SAS") is a holding company under Luxembourg law, belonging to the MSC Group. The MSC group is active in providing liner shipping and logistics services for containerized cargo, in the sector of port handling services for containerized cargo and other terminal operations, in cruise services and passenger shipping, as well as, to a marginal extent, in port towing services. The MSC group also holds a 49% stake in Ignazio Messina &amp; C. S.p.A., which operates in Italy in the transportation of goods using Roll on – Roll off (so-called "Ro – Ro") ships1, as well as in the transportation of liner goods by container on routes to and from Italy2. The MSC group generated approximately [2-3]* billion euros in revenue in Italy in 2021.</w:t>
      </w:r>
    </w:p>
    <w:p>
      <w:r>
        <w:t>2. Rimorchiatori Mediterranei S.p.A. (hereinafter "RM") is a company at the head of a group active in providing port towing services (so-called "towing-manipulation") in Italy and abroad, as well as, to a residual extent, in providing towing-transport, assistance and rescue services, off-port services, and ecological services, such as recovery and anti-pollution services.</w:t>
      </w:r>
    </w:p>
    <w:p>
      <w:r>
        <w:t>1 Roll-on/Roll-off ships (also known as RORO or ro-ro) are designed to carry wheeled cargo such as cars, trucks, or railway cars and are characterized by ramps that allow wheeled cargo to roll on (roll on) or roll off (roll off) the vessel when in port.</w:t>
      </w:r>
    </w:p>
    <w:p>
      <w:r>
        <w:t>2 See provision No. 27917 of September 25, 2019, C12255 – Marinvest – Gruppo Messina/Ignazio Messina &amp; C. – Ro – Ro Italia.</w:t>
      </w:r>
    </w:p>
    <w:p>
      <w:r>
        <w:t>* In this version, some data are omitted, as elements of confidentiality or secrecy of the information were deemed to exist.</w:t>
      </w:r>
    </w:p>
    <w:p>
      <w:r>
        <w:rPr>
          <w:b/>
        </w:rPr>
        <w:t>[Pages 28–30]</w:t>
      </w:r>
    </w:p>
    <w:p>
      <w:r>
        <w:t>30 BULLETIN NO. 8 OF FEBRUARY 20, 2023</w:t>
      </w:r>
    </w:p>
    <w:p>
      <w:r>
        <w:t>RM is jointly controlled by Rimorchiatori Riuniti S.p.A. (hereinafter "RR") and, through Riviera S.à r.l, by DWS Alternatives Global Limited3; the latter is the sole manager of the Pan-European Infrastructure II funds (hereinafter "PEIF II"), the sole owners of Riviera4.</w:t>
      </w:r>
    </w:p>
    <w:p>
      <w:r>
        <w:t>In 2021, the total worldwide revenue generated by RM was approximately [100-511] million euros, primarily derived from services provided in Europe and over 80% in Italy.</w:t>
      </w:r>
    </w:p>
    <w:p>
      <w:r>
        <w:t>II. DESCRIPTION OF THE OPERATION</w:t>
      </w:r>
    </w:p>
    <w:p>
      <w:r>
        <w:t>3. The Operation consists of the exclusive acquisition of control of RM by SAS. This acquisition will be realized through the purchase of 100% of the capital shares currently held by RR and Riviera [omissis].</w:t>
      </w:r>
    </w:p>
    <w:p>
      <w:r>
        <w:t>4. The agreements between the Parties also provide for [omissis]. According to the Parties, these provisions are strictly functional to ensure the full use of the transferred activities, for the benefit of the buyer.</w:t>
      </w:r>
    </w:p>
    <w:p>
      <w:r>
        <w:t>III. QUALIFICATION OF THE OPERATION</w:t>
      </w:r>
    </w:p>
    <w:p>
      <w:r>
        <w:t>5. The notified Operation, as it involves the acquisition of exclusive control of a company, constitutes a concentration pursuant to Article 5, paragraph 1, letter b), of Law No. 287/1990.</w:t>
      </w:r>
    </w:p>
    <w:p>
      <w:r>
        <w:t>6. It falls within the scope of application of Law No. 287/1990, as the conditions set out in Article 1 of EC Regulation No. 139/2004 do not apply, and it is subject to the obligation of prior notification provided for by Article 16, paragraph 1, of the same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7. The aforementioned provisions regarding the trademarks appear to be ancillary restrictions to the notified concentration operation.</w:t>
      </w:r>
    </w:p>
    <w:p>
      <w:r>
        <w:t>IV. ASSESSMENT OF THE CONCENTRATION</w:t>
      </w:r>
    </w:p>
    <w:p>
      <w:r>
        <w:t>The relevant markets</w:t>
      </w:r>
    </w:p>
    <w:p>
      <w:r>
        <w:t>8. This Operation concerns, from a horizontal perspective, the market for port towing services, the main field of activity of the acquired company RM. Regarding the additional services provided (firefighting and anti-pollution services, off-port assistance to oil platforms, waste disposal and bilge water services, environmental safeguarding and protection services), they collectively account for less than 10% of RM's revenue and do not lead to overlaps with the activities of the MSC group nor to noteworthy vertical relationships.</w:t>
      </w:r>
    </w:p>
    <w:p>
      <w:r>
        <w:t>3 DWS Alternatives Global Limited (hereinafter DWS) is a company of the Deutsche Bank group that manages assets and offers various types of investments.</w:t>
      </w:r>
    </w:p>
    <w:p>
      <w:r>
        <w:t>4 See decision No. 26873 of November 29, 2017, case C12132 – Deutsche Alternative Asset Management – Rimorchiatori Riuniti/Rimorchiatori Mediterranei.</w:t>
      </w:r>
    </w:p>
    <w:p>
      <w:r>
        <w:t>BULLETIN NO. 8 OF FEBRUARY 20, 2023</w:t>
      </w:r>
    </w:p>
    <w:p>
      <w:r>
        <w:t>Considering that the buyer is part of the MSC group, one of the main global operators in container shipping and the cruise sector, the Operation is vertically relevant to (i) the maritime transport service of goods by container and (ii) the cruise service.</w:t>
      </w:r>
    </w:p>
    <w:p>
      <w:r>
        <w:t>(i) Port towing service</w:t>
      </w:r>
    </w:p>
    <w:p>
      <w:r>
        <w:t>9. The port towing service consists of the towing, by means of a specific nautical vehicle (tugboat), of a ship, a floating object, or another mobile unit, in order to facilitate maneuvers in ports and other places of docking or transit of vessels engaged in maritime navigation. This service is generally provided for large vessels. In particular, the towing service can be provided, upon request, to ships arriving or departing from ports to facilitate maneuvers that must be carried out in confined spaces, in close proximity to port infrastructures or other vessels in transit or at anchor. Port towing (so-called maneuver towing) is distinguished from the towing-transport service of disabled vessels, where the tugboat retains custody of the towed asset and assumes the risk of transport.</w:t>
      </w:r>
    </w:p>
    <w:p>
      <w:r>
        <w:t>10. The port towing service is governed in detail by an articulated national regulation5. Article 14 of Law No. 84/1994 expressly qualifies the towing service as a service of general economic interest aimed at ensuring the safety of navigation and docking in port waters. Accordingly, Article 101 of the Navigation Code establishes that "the towing service in ports and other places of docking or transit of vessels engaged in maritime navigation cannot be exercised without a concession." The Ministry of Infrastructure and Transport, with its circulars of 2013 and 2019, has issued Guidelines for the granting of concessions for the exercise of port towing6. The current regulations assign to the Port System Authorities and the Coast Guard the adoption of regulations governing the port towing service and establish its content. These regulations prescribe the number and characteristics of the means to be allocated to the service, the number of standby tugboats, and service hours, types of vessels for which the towing service is mandatory, and the response methods to user requests for intervention. The concession document must indicate the basic organization of the service, including the number and characteristics of the means, the limits (including tonnage) within which the service can be exercised, and the conditions of the service (including the cases in which the service is mandatory). The Guidelines establish that the assignment of the port towing service to a single entity constitutes the most efficient solution, given that the service standards are established by the competent port authorities, that demand is substantially independent of the decisions of the service provider, and that a large part of the costs is fixed (vessels, equipment, personnel assigned to the means). The selection of the concessionaire takes place through a tender, in order to ensure competition for the market7. The duration of the concession is normally 15 years.</w:t>
      </w:r>
    </w:p>
    <w:p>
      <w:r>
        <w:t>The tariffs for the port towing service are determined by the competent port authorities (art. 101 Navigation Code) based on the criteria established by the Ministry of Infrastructure (art. 14, law no. 84/1994). The currently applicable criteria are contained in the aforementioned 2019 Guidelines. It should finally be noted that non-compliance with the tariffs set by the competent port authorities results, pursuant to Article 1173 of the Navigation Code, in the application of monetary sanctions against the provider of the port towing service. More generally, non-compliance with the obligations established by the concession (including compliance with the established tariffs and service regulations) may imply the forfeiture of the concession (art. 18, law 84/1994).</w:t>
      </w:r>
    </w:p>
    <w:p>
      <w:r>
        <w:t>11. The national regulations appear to be consistent with the community provisions in this regard8. Article 7 of Regulation (EU) 2017/352 recognizes to Member States the possibility of imposing public service obligations on port service providers; the right to impose such obligations may be granted to the port management entity or the competent authority. Public service obligations must ensure equal access to all operators. Article 6 of the same regulation provides for the possibility of limiting the number of port service providers if one or more of the conditions listed therein apply, including the excessive burden of fulfilling public service obligations in the absence of such limitation; the need to ensure the safety or environmental sustainability of port operations; the characteristics of the infrastructure or the nature of port traffic, if they prevent multiple service providers from operating in the port.</w:t>
      </w:r>
    </w:p>
    <w:p>
      <w:r>
        <w:t>12. The port towing service can be considered a distinct market from a commodity perspective. In community9 and national practice, a precise definition of the relevant market has, however, been left open, particularly with reference to the possibility that this service falls within the broader market of technical-nautical services10.</w:t>
      </w:r>
    </w:p>
    <w:p>
      <w:r>
        <w:t>13. The geographical scope of the market can be confined to the individual port on which the concession is based, in accordance with the legal framework described above and community practice11.</w:t>
      </w:r>
    </w:p>
    <w:p>
      <w:r>
        <w:t>(ii) Maritime transport service of goods by container</w:t>
      </w:r>
    </w:p>
    <w:p>
      <w:r>
        <w:t>14. According to established practice of the Commission and the Authority, maritime transport service of goods by container constitutes a distinct product market both in relation to non-containerized maritime transport and to other forms of transport.</w:t>
      </w:r>
    </w:p>
    <w:p>
      <w:r>
        <w:t>7 The Authority has intervened several times on this point. See reports No. AS905 Technical-nautical services and determination of related tariffs in Italian ports of December 14, 2011; No. AS988 Regulation of the technical-nautical service of piloting in the strait and in the port of Messina of September 28, 2012; No. AS1550 Concessions and competitive criticalities of December 20, 2018; No. AS990 Towing and naval assistance service in the port and roadstead of Milazzo of November 8, 2012.</w:t>
      </w:r>
    </w:p>
    <w:p>
      <w:r>
        <w:t>8 Regulation (EU) 2017/352 of the European Parliament and of the Council of February 15, 2017, establishing a regulatory framework for the provision of port services and common rules on financial transparency of ports.</w:t>
      </w:r>
    </w:p>
    <w:p>
      <w:r>
        <w:t>9 See Commission decision of April 10, 2017, M.8330 – Maersk Line/HSDG.</w:t>
      </w:r>
    </w:p>
    <w:p>
      <w:r>
        <w:t>10 See AGCM, Inquiry into the port services sector (IC4), inN Suppl. No. 1 to Boll. 41/97.</w:t>
      </w:r>
    </w:p>
    <w:p>
      <w:r>
        <w:t>11 See Commission decision of July 29, 2005, M.3829 – MAERSK/PONL, para. 24. The Authority has instead left open the exact geographical dimension of the port towing market (see decision No. 27120 of April 11, 2018, C12156 - Rimorchiatori Mediterranei/Gesmar Gestioni Marittime; decision No. 26873 of November 29, 2017, C12132 - Deutsche Alternative Asset Management – Rimorchiatori Riuniti/Rimorchiatori Mediterranei).</w:t>
      </w:r>
    </w:p>
    <w:p>
      <w:r>
        <w:rPr>
          <w:b/>
        </w:rPr>
        <w:t>[Pages 31–33]</w:t>
      </w:r>
    </w:p>
    <w:p>
      <w:r>
        <w:t>BULLETIN NO. 8 OF FEBRUARY 20, 2023</w:t>
      </w:r>
    </w:p>
    <w:p>
      <w:r>
        <w:t>of line, due to the regularity and frequency that characterizes it12, both in relation to the maritime transport of bulk goods, due to the diversity of the goods transported and the ships used13.</w:t>
      </w:r>
    </w:p>
    <w:p>
      <w:r>
        <w:t>Community practice also distinguishes, within container maritime transport, services provided with deep-sea vessels (overseas services) from short-sea services14.</w:t>
      </w:r>
    </w:p>
    <w:p>
      <w:r>
        <w:t>15. For the purposes of evaluating the present Operation, only the market for the deep-sea container liner shipping service is relevant, as the MSC group uses RM services only in certain ports where its deep-sea container ships call.</w:t>
      </w:r>
    </w:p>
    <w:p>
      <w:r>
        <w:t>16. The geographical scope of the deep-sea container liner shipping service market is defined, in the application practice of the Authority and the Commission, based on bundles of routes, identified with reference to the ports from which and to which services are provided, and which are considered substitutable by users.</w:t>
      </w:r>
    </w:p>
    <w:p>
      <w:r>
        <w:t>Considering that the Operation mainly concerns services provided in Italian ports, the relevant bundles of routes appear to be those to and from the Mediterranean. Each of these bundles identifies a distinct geographical market due to the high substitutability between Mediterranean ports, on one side, and those of the individual final destinations, on the other15.</w:t>
      </w:r>
    </w:p>
    <w:p>
      <w:r>
        <w:t>(iii) Cruise Service</w:t>
      </w:r>
    </w:p>
    <w:p>
      <w:r>
        <w:t>17. The MSC group is active in the ocean cruise market. According to community practice, the ocean cruise service is a distinct market from that of the provision of coastal ferries or river cruises, as well as from the market for the provision of other holidays (on land)16. For the purposes of evaluating the present Operation, it does not seem necessary to further segment the ocean cruise market.</w:t>
      </w:r>
    </w:p>
    <w:p>
      <w:r>
        <w:t>18. In community practice, the geographical scope of this market has been deemed national, based on the different presence of operators at the national level, the different penetration of this type of holiday in various European countries, the prevalence of booking through travel agencies operating at the national level, and the national diversification of marketing and pricing strategies17.</w:t>
      </w:r>
    </w:p>
    <w:p>
      <w:r>
        <w:t>12 See provision no. 21971 of December 22, 2010, C10853 - Merit Corporation-Yildirirn Holding/CMA CGM; European Commission decision of December 15, 2017, M.8594 – Cosco Shipping/Ooil.</w:t>
      </w:r>
    </w:p>
    <w:p>
      <w:r>
        <w:t>13 See European Commission decision of April 10, 2017, M.8330 – Maersk Line/HSDG, and the cases cited therein.</w:t>
      </w:r>
    </w:p>
    <w:p>
      <w:r>
        <w:t>14 See, among others, M.8330 – Maersk Line/HSDG, para. 19.</w:t>
      </w:r>
    </w:p>
    <w:p>
      <w:r>
        <w:t>15 See provision no. 287845 of July 17, 2019, C12225 – Terminal Investment Limited/CSM Italia-Gate.</w:t>
      </w:r>
    </w:p>
    <w:p>
      <w:r>
        <w:t>16 See European Commission decision of July 24, 2002, M.2706 - Carnival Corporation/P&amp;O Princess; M.3071 - Carnival Corporation/P&amp;O Princess (II); European Commission decision of June 4, 2007, case M.4600 - TUI/First Choice.</w:t>
      </w:r>
    </w:p>
    <w:p>
      <w:r>
        <w:t>17 See European Commission decision of July 24, 2002, M.2706 - Carnival Corporation/P&amp;O Princess and European Commission decision of June 24, 2020, M.9778 - TUI AG / RCCL / HAPAG-LLOYD CRUISES; lastly, see European Commission decision of February 5, 2021, Case M.10082 - CPPIB / TPG / The Torstein Hagen Interest in Possession Settlement / Viking, paras. 15-16.</w:t>
      </w:r>
    </w:p>
    <w:p>
      <w:r>
        <w:t>Effects of the Operation</w:t>
      </w:r>
    </w:p>
    <w:p>
      <w:r>
        <w:t>(i) The market for port towing services</w:t>
      </w:r>
    </w:p>
    <w:p>
      <w:r>
        <w:t>19. RM provides the port towing service through controlled companies, holders of concessions granted by the competent maritime authority, in the following ports: Genoa, Salerno, Augusta, Catania, Messina, Milazzo, Pozzallo, Syracuse, Ravenna, Ortona-Vasto-Pescara, Termoli, Ancona, and Trieste. In some ports, tender procedures for new assignments are underway ([omitted]), while in other ports, the concessions will expire in about 2-4 years ([omitted]). In the remaining ports, the concessions have a remaining duration of at least ten years. Overall, the activity carried out in these ports represented in 2021 over 40% of the value of sales and the number of towing services performed in Italy.</w:t>
      </w:r>
    </w:p>
    <w:p>
      <w:r>
        <w:t>20. The MSC Group has a marginal presence in the port towing market in Italy, where it was present only in the port of Gioia Tauro (RC) through the subsidiary Con.Tug S.r.l. The revenues generated and the number of towing services performed by Con.Tug S.r.l. represented in 2021 less than 5% of the total Italian towing services market. [Omitted].</w:t>
      </w:r>
    </w:p>
    <w:p>
      <w:r>
        <w:t>21. In other Italian ports, the port towing service is offered by a plurality of operators, including the Moby group (active mainly in Sardinia), Rimorchiatori Napoletani S.r.l. (Puglia, Lazio, and Campania), Fratelli Neri (Tuscany), Gruppo Cafimar (Sicily and Lazio), Gruppo Scafi (Liguria), and others active in a single port.</w:t>
      </w:r>
    </w:p>
    <w:p>
      <w:r>
        <w:t>22. The Operation will not result in any horizontal overlap and will result in the replacement of one operator with another in the ports where RM currently offers the port towing service. Moreover, in most of these ports, the concession is being re-awarded or will expire in about 2-4 years. The Operation does not therefore appear to raise competitive concerns in the port towing service market.</w:t>
      </w:r>
    </w:p>
    <w:p>
      <w:r>
        <w:t>(ii) Vertical Effects</w:t>
      </w:r>
    </w:p>
    <w:p>
      <w:r>
        <w:t>23. The port towing service offered by RM can be considered an input for both deep-sea container liner shipping services and ocean cruise services. The latter services are offered by the MSC group but not by RM.</w:t>
      </w:r>
    </w:p>
    <w:p>
      <w:r>
        <w:t>24. The MSC group holds significant shares in the bundles of routes to/from the Mediterranean in the deep-sea container liner shipping market, ranging from 10% to 48%. The group's ships call at the following ports where RM is the concessionaire of the port towing service: Catania, Pozzallo, Genoa, Trieste, Ravenna, and Ancona.</w:t>
      </w:r>
    </w:p>
    <w:p>
      <w:r>
        <w:t>25. In the Italian ocean cruise market, the MSC group holds a share exceeding 60%. The MSC group's ships call, among others, at the ports of Genoa, Trieste, and Ancona, where RM monopolizes the port towing service.</w:t>
      </w:r>
    </w:p>
    <w:p>
      <w:r>
        <w:t>26. The provision of towing-maneuver services in the ports where the MSC group is present is strictly regulated both regarding the manner of service provision and the tariffs applied (which are set by the competent port authority), in order to ensure fair and non-discriminatory treatment of all applicants by the service monopolist. This circumstance limits the MSC group's ability to exploit, with exclusionary strategies, the vertical link created by the concentration between RM's port towing services (whose concessions are, however, mostly expiring) and its own activities in container shipping and cruise services.</w:t>
      </w:r>
    </w:p>
    <w:p>
      <w:r>
        <w:t>27. The above considerations also apply to the peculiar situation of the port of Trieste, where the MSC group has acquired control of the container terminal managed by TMT18.</w:t>
      </w:r>
    </w:p>
    <w:p>
      <w:r>
        <w:t>28. The Operation under examination does not therefore appear to be capable of producing vertical effects that could significantly hinder effective competition.</w:t>
      </w:r>
    </w:p>
    <w:p>
      <w:r>
        <w:t>CONSIDERING, therefore, that the Operation under examination does not significantly hinder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Ministry of Enterprises and Made in Italy.</w:t>
      </w:r>
    </w:p>
    <w:p>
      <w:r>
        <w:t>This provision will be published in the Bulletin of the Antitrust Authority.</w:t>
      </w:r>
    </w:p>
    <w:p>
      <w:r>
        <w:t>THE SECRETARY GENERAL THE PRESIDENT</w:t>
      </w:r>
    </w:p>
    <w:p>
      <w:r>
        <w:t>Guido Stazi Roberto Rustichelli</w:t>
      </w:r>
    </w:p>
    <w:p>
      <w:r>
        <w:t>18 See C12514 – CSM Italia Gate / Trieste Marine Terminal, decided on January 31, 2023.</w:t>
      </w:r>
    </w:p>
    <w:p>
      <w:r>
        <w:rPr>
          <w:b/>
        </w:rPr>
        <w:t>[Pages 34–36]</w:t>
      </w:r>
    </w:p>
    <w:p>
      <w:r>
        <w:t>36 BULLETIN NO. 8 OF FEBRUARY 20, 2023</w:t>
      </w:r>
    </w:p>
    <w:p>
      <w:r>
        <w:t>ACTIVITIES OF REPORTING AND CONSULTATION</w:t>
      </w:r>
    </w:p>
    <w:p>
      <w:r>
        <w:t>AS1881 - REGULATION ON THE ISSUANCE OF LICENSES FOR THE SERVICE OF NOTIFICATION BY MAIL OF JUDICIAL ACTS AND VIOLATIONS OF THE HIGHWAY CODE</w:t>
      </w:r>
    </w:p>
    <w:p>
      <w:r>
        <w:t>Rome, February 2, 2023</w:t>
      </w:r>
    </w:p>
    <w:p>
      <w:r>
        <w:t>Authority for Guarantees in Communications</w:t>
      </w:r>
    </w:p>
    <w:p>
      <w:r>
        <w:t>With reference to the request for an opinion formulated on January 18, 2023, by this Authority regarding the Consultation Document on the proposed amendments to Resolution No. 77/18/CONS (hereinafter, “the Document”), concerning the “Approval of the Regulation on the issuance of licenses to carry out the service of notification by mail of judicial acts and related communications (Law No. 890 of November 20, 1982) and of violations of the highway code (Article 201 of Legislative Decree No. 285 of April 30, 1992),” the Antitrust Authority, in its meeting of January 31, 2023, intended to make the following considerations pursuant to Article 22 of Law No. 287 of October 10, 1990.</w:t>
      </w:r>
    </w:p>
    <w:p>
      <w:r>
        <w:t>The Authority expresses, first of all, its appreciation regarding the objective underlying the proposed amendments to the Regulation on the issuance of licenses to carry out the notification service by mail (hereinafter, “the Regulation”), which is the subject of the Document, inspired by the need to contribute to providing an additional impetus in a pro-competitive direction to the sector of notifications by mail of judicial acts and violations of the Highway Code, reducing, where possible, the administrative and economic burdens to which the companies in the sector are subjected, given the peculiar current economic, regulatory, and social context.</w:t>
      </w:r>
    </w:p>
    <w:p>
      <w:r>
        <w:t>In this perspective, the Authority welcomes the fact that the proposed amendments under consultation incorporate the guidelines outlined in the “ANAC-AGCOM Guidelines for the awarding of public contracts for postal services” adopted in 2022, replacing ANAC Determination No. 3 of December 9, 2014, aimed at promoting the opening of the postal services market and notifications by mail of judicial acts and violations of the Highway Code, while also providing operational guidance to the Contracting Authorities.</w:t>
      </w:r>
    </w:p>
    <w:p>
      <w:r>
        <w:t>Entering into the merits of the amendments that this Authority proposes regarding the Regulation on the issuance of licenses for the notification service by mail, the following considerations are made.</w:t>
      </w:r>
    </w:p>
    <w:p>
      <w:r>
        <w:t>With specific reference to the new definition of “lead operator,” along with the identification of the type of contracts underlying the unitary organization at the top, and with reference to the provision that the membership of the various subjects to the unitary organization occurs through exclusive contractual clauses, which has not been modified by the Document, the following is represented.</w:t>
      </w:r>
    </w:p>
    <w:p>
      <w:r>
        <w:t>The Authority, while understanding the underlying needs to ensure certainty regarding the outcome of notifications by mail, hopes that this Authority will expand the range of contracts deemed suitable for the establishment of the unitary organization, incorporating more flexible cooperation instruments that are better suited to guarantee actual access for alternative operators and eliminate the provision concerning exclusive contractual clauses. In fact, the Authority has, over the years, suggested on several occasions, within the scope of its advocacy activities, that “given the fragmentation of the postal market, where many companies operate through flexible commercial partnership forms such as franchising and rely on the services of Poste Italiane for part of their delivery activities,” organizational models that foresee rigid structures with exclusivity relationships should not be adopted, as they could hinder the full development of competitive dynamics in the sector of notifications by mail.</w:t>
      </w:r>
    </w:p>
    <w:p>
      <w:r>
        <w:t>Regarding the provision concerning the possibility of participation in public tender procedures in the sector of notifications by mail also for temporary groupings of companies (R.T.I.) of both vertical and horizontal types, with the constraint that all subjects belonging to the grouping must hold an individual special license, the Authority wishes to highlight the following.</w:t>
      </w:r>
    </w:p>
    <w:p>
      <w:r>
        <w:t>In the vertical R.T.I., operators that perform upstream activities (processing, document composition, printing, and enveloping, etc.) or downstream activities (substitute preservation, archiving, reporting of outcomes, etc.) with respect to the notification by mail are included in the notification process; it follows that the requirement of holding an individual special license, required of all companies belonging to the R.T.I., appears superfluous, considering that, for the type of activities performed by these operators, such a qualification title is not necessary.</w:t>
      </w:r>
    </w:p>
    <w:p>
      <w:r>
        <w:t>Therefore, it would be desirable for the provision contained in the new paragraph 6-bis to be modified, imposing the possession of the individual special license only on the company/companies of the grouping that actually carry out the notification service by mail.</w:t>
      </w:r>
    </w:p>
    <w:p>
      <w:r>
        <w:t>1 In the Document, it is proposed to insert in the Regulation at letter h), paragraph 1, of Article 1, titled “Definitions,” after the expression “unitary organization” the phrase “by means of a network or affiliation contract” and after the expression “of other postal operators,” the phrase “holding a license pursuant to the General Regulation.”</w:t>
      </w:r>
    </w:p>
    <w:p>
      <w:r>
        <w:t>2 It should be noted, in fact, that the provision contained in letter d), paragraph 4, of Article 5, titled “Requirements for the issuance of the individual special license,” of the Regulation has not been modified.</w:t>
      </w:r>
    </w:p>
    <w:p>
      <w:r>
        <w:t>3 See opinion of the Authority AS1453 - REGULATION ON THE ISSUANCE OF LICENSES FOR THE SERVICE OF NOTIFICATION OF JUDICIAL ACTS AND VIOLATIONS OF THE HIGHWAY CODE of October 31, 2017, in Bulletin No. 46/2017 and letter sent by the Authority on June 25, 2020, to AGCOM and ANAC in the context of the case “S3001C - Regulation of licenses for the notification service of judicial acts and violations of the Highway Code.”</w:t>
      </w:r>
    </w:p>
    <w:p>
      <w:r>
        <w:t>4 In the Document, it is proposed to modify the Regulation by inserting in Article 5, titled “Requirements for the issuance of the individual special license,” after paragraph 6, the following paragraph 6-bis: “For the purposes of participation in public tenders, the unitary organization may also be ensured by temporary groupings of companies (horizontal and vertical), provided that all subjects belonging to the aforementioned groupings hold an individual special license. This on the condition that in the act of establishment of the grouping (or in specific shareholders' agreements) a power of direction and control is expressly attributed to the leading company of the grouping over the companies that make up the grouping itself regarding the methods of carrying out the services subject to the contract, with the provision of the related responsibilities. In particular, in addition to the joint liability of all associated companies for non-fulfillment of the services performed, the leading company is also liable for the failure to exercise the directive and control powers.”</w:t>
      </w:r>
    </w:p>
    <w:p>
      <w:r>
        <w:t>38 BULLETIN NO. 8 OF FEBRUARY 20, 2023</w:t>
      </w:r>
    </w:p>
    <w:p>
      <w:r>
        <w:t>As for the extension to notifications by mail of administrative acts imposing the use of holding points, as per Measure No. 6 of the provision of December 22, 2020, No. 28497, concerning the acquisition of Nexive Group S.r.l. (hereinafter, “Nexive”) by Poste Italiane S.p.A. (hereinafter, “Poste Italiane”), as further expanded by this Authority with Article 4 of Resolution No. 171/22/CONS, it is observed that this amendment to the Regulation is consistent with the rationale that inspired this measure and in line with the same.</w:t>
      </w:r>
    </w:p>
    <w:p>
      <w:r>
        <w:t>Therefore, the Authority positively evaluates the aforementioned amendment, reiterating, however, that the measure in question must always be considered fully alternative to the so-called multiple passages and appointment delivery, which together constitute the so-called alternative methods, suitable for achieving the same objectives that can be pursued through the use of holding points, but with a less burdensome obligation for the postal operator.</w:t>
      </w:r>
    </w:p>
    <w:p>
      <w:r>
        <w:t>With specific reference to the simplification and reconfiguration of the licensing system, as well as its territorial extension, it is positively noted that the intervention in question reflects the advocacy activity carried out by the Authority in recent years.</w:t>
      </w:r>
    </w:p>
    <w:p>
      <w:r>
        <w:t>More precisely, the Authority has repeatedly intervened hoping for a licensing system oriented towards the principles of effective market opening and simplification. In this perspective, the Authority had initially highlighted, with its opinion AS1453, how the provision of two distinct individual special licenses should be carefully considered: one for judicial acts and violations of the Highway Code (license type “A”) and one for violations of the Highway Code only (license type “B”), a provision that appears unnecessary.</w:t>
      </w:r>
    </w:p>
    <w:p>
      <w:r>
        <w:t>Over the years, the Authority, following reports from private postal operators, competitors of Poste Italiane, regarding specific tender procedures, has highlighted that the license type “A,” which is more burdensome and less accessible for operators interested in entering the sector, should not be required by the Contracting Authorities for the notification service by mail of acts that do not constitute judicial acts in the strict sense (i.e., acts related to administrative procedures, which can be classified in some cases as administrative acts imposing obligations, which do not come from civil, criminal, and administrative judicial authorities), since for such acts...</w:t>
      </w:r>
    </w:p>
    <w:p>
      <w:r>
        <w:rPr>
          <w:b/>
        </w:rPr>
        <w:t>[Pages 37–39]</w:t>
      </w:r>
    </w:p>
    <w:p>
      <w:r>
        <w:t>BULLETIN NO. 8 OF FEBRUARY 20, 2023</w:t>
      </w:r>
    </w:p>
    <w:p>
      <w:r>
        <w:t>39</w:t>
        <w:br/>
        <w:t>the possession of the special individual license of type “B” could also be required, in order to ensure the maximum possible degree of favor participationis. This is because the requirement for the possession of the special individual license of type “A” for the Authority should be requested, exclusively, only for those acts that can be expressly classified as judicial acts in the strict sense or acts attributable/assimilable to judicial acts10.</w:t>
      </w:r>
    </w:p>
    <w:p>
      <w:r>
        <w:t>With the redefinition, therefore, of the two types of licenses into: i) special individual license for judicial acts in the strict sense, for violations of the Highway Code and for administrative imposition acts and ii) special individual license for violations of the Highway Code and for administrative imposition acts, this Authority has adopted the aforementioned indications from the Authority.</w:t>
      </w:r>
    </w:p>
    <w:p>
      <w:r>
        <w:t>Furthermore, the possibility provided to companies to indicate the territorial area in which they intend to carry out their activities in the postal notification sector is also commendable. In fact, in this way, while a national or regional scope is currently provided for special individual licenses in question and these are therefore distinguished, in addition to licenses of type “A” and “B”, also in licenses of type “A1” and “B1” for national scopes and type “A2” and “B2” for regional scopes, in the future, with the modification proposed by this Authority, the distinctions for territorial scopes as typified will no longer exist.</w:t>
      </w:r>
    </w:p>
    <w:p>
      <w:r>
        <w:t>However, in this regard, it seems necessary to draw this Authority's attention to the provision of a transitional regime for the special individual licenses so far issued by the Ministry of Economic Development (now Ministry of Enterprises and Made in Italy), in order to respect the principles of non-discrimination and equal treatment towards postal operators who currently hold them; this considering the fact that such licenses have a six-year validity and that to obtain them the operators in question have incurred significant costs11, which, in the future, for the same types of acts and territorial scopes, due to the changes that will be made to the Regulation, may be lower.</w:t>
      </w:r>
    </w:p>
    <w:p>
      <w:r>
        <w:t>Regarding the abolition of the guarantee required by art. 6 of the Regulation from postal operators who wish to obtain the special individual license to carry out the postal notification service of judicial acts and violations of the Highway Code (special individual license of type “A”)12, it is represented that this amendment proposal is in line with what was indicated by the Authority in the aforementioned opinion AS1453 regarding the fact that certain requirements should be eliminated or at least significantly reduced, as they could be disproportionate to the underlying public needs. In particular, the opinion suggested</w:t>
      </w:r>
    </w:p>
    <w:p>
      <w:r>
        <w:t>10 See the following opinions of the Authority: AS1825 – LAZIO REGION – TENDER FOR THE AWARD OF JUDICIAL ACT NOTIFICATION SERVICES AND ADMINISTRATIVE SANCTIONS of February 18, 2022, in Boll. n. 13/2022, AS1843 - MUNICIPALITY OF MONOPOLI (BA) - TENDER FOR THE AWARD OF THE PRINTING, ENVELOPING, AND SENDING SERVICE OF ACTS ISSUED BY THE MUNICIPALITY of May 27, 2022, in Boll. n. 22/2022 and AS1851 - MUNICIPALITY OF COSENZA - TENDER FOR THE AWARD OF JUDICIAL ACT NOTIFICATION SERVICES AND LOCAL POLICE ACTS of August 8, 2022, in Boll. n. 32/2022.</w:t>
      </w:r>
    </w:p>
    <w:p>
      <w:r>
        <w:t>11 This in terms of instructional contributions that they paid to the Ministry, of infrastructural endowments they were required to possess, and of guarantees they had to produce.</w:t>
      </w:r>
    </w:p>
    <w:p>
      <w:r>
        <w:t>12 In the Document, it is proposed to repeal the following provision of art. 6, paragraph 1, letter a), of the Regulation, titled “Reliability Requirements”: “the production of an autonomous, irrevocable, and on-demand guarantee, issued by banks, insurance companies, or financial intermediaries that exclusively or predominantly carry out guarantee issuance activities and that are subject to audit by an auditing firm for an amount equal to €100,000.00 for the national license and €20,000.00 for the regional license, with a limit of €100,000.00 if the issuance of multiple licenses at the regional level is requested.”</w:t>
      </w:r>
    </w:p>
    <w:p>
      <w:r>
        <w:t>40 BULLETIN NO. 8 OF FEBRUARY 20, 2023</w:t>
      </w:r>
    </w:p>
    <w:p>
      <w:r>
        <w:t>the opportunity to review the requirements for the guarantee, the minimum turnover, and the necessary certifications, requirements that are already typically requested during the tender process.</w:t>
      </w:r>
    </w:p>
    <w:p>
      <w:r>
        <w:t>Therefore, the Authority expresses appreciation also regarding this aspect related to the abolition of guarantee requirements. However, the same considerations made regarding the simplification and reconfiguration of the licensing system apply concerning the need to provide a transitional regime to avoid creating discrimination against postal operators who have until now obtained these enabling titles, producing guarantees of significant amounts in favor of the then Ministry of Economic Development, which, with the proposed changes, will no longer be required in the future.</w:t>
      </w:r>
    </w:p>
    <w:p>
      <w:r>
        <w:t>As for the downward reconsideration of the current burdens regarding the number of employees, from the literal wording of the amendment intervention to Annex 1 of the Regulation, it would seem sufficient that the number of employees required for each region, from the second year, is reached at a percentage of 60%13.</w:t>
      </w:r>
    </w:p>
    <w:p>
      <w:r>
        <w:t>In this regard, while it is highlighted that this intervention seems to go in the direction hoped for by the Authority, on the other hand, it does not yet appear to be fully resolutive of the competitive criticalities already highlighted in the past. In the aforementioned opinion AS1453, the Authority emphasized how provisions of this kind risk transforming typical participation and/or service execution requirements into a generalized ex ante regulation parameterized on the size of the entire market related to postal notification services. On that occasion, the provision of a minimum number of employees that the operator must hire based on the postal notification activity carried out and the region concerned (or the regions concerned) was specifically recalled, along with other provisions regarding the classification of personnel solely in subordinate employment relationships and the application of the national collective agreement. Obligations of this type risk limiting the organizational autonomy of each company and do not appear consistent with the possibility of resorting to flexible tools that allow for greater productive efficiency.</w:t>
      </w:r>
    </w:p>
    <w:p>
      <w:r>
        <w:t>Regarding the proposal to provide for postalization through the FSU of any residual quota of notifications to be delivered outside its coverage area by the winning operator of the tender, who must act exclusively in the name and on behalf of the Contracting Authority14, it is positively noted that this regulatory provision constitutes a first opening towards the postalization of this sector, long hoped for by the Authority.</w:t>
      </w:r>
    </w:p>
    <w:p>
      <w:r>
        <w:t>The Authority, in the context of its advocacy activities, has intervened several times to signal the possible prejudices to the liberalization process of postal notification services arising from the regulatory framework defined also by this Authority, with particular reference to the prohibition of postalization, which would not favor competition and could be contrary to the principle of favor participationis that inspires the EU legislation on public procurement.</w:t>
      </w:r>
    </w:p>
    <w:p>
      <w:r>
        <w:t>13 In the Document, it is proposed to modify the note reported in the Regulation and indicated by the symbol (**), replacing it with the following text: “Within the first year of activity, 30% of the indicated limit must be reached; starting from the second year, 60%. Any rounding is done to the next whole number.”</w:t>
      </w:r>
    </w:p>
    <w:p>
      <w:r>
        <w:t>14 In the Document, it is proposed to modify the Regulation by inserting, in art. 10, titled “Quality of Service Obligations”, after letter h), the following letter i): “in the case of awarding public tenders, the holder of the special individual license, through the granting of a special mandate with representation by the Contracting Authority (CA), provides for the postalization through the FSU network - in the name and on behalf of the CA - of any residual quota of shipments that exceeds the territorial coverage of its own network (including acts to be notified abroad).”</w:t>
      </w:r>
    </w:p>
    <w:p>
      <w:r>
        <w:t>BULLETIN NO. 8 OF FEBRUARY 20, 2023 41</w:t>
      </w:r>
    </w:p>
    <w:p>
      <w:r>
        <w:t>Indeed, it should be emphasized that Poste Italiane is the only operator that offers postal notification services for judicial acts and violations of the Highway Code in certain postal codes of the national territory, by virtue of its status as FSU and having direct coverage of 100% of Italian postal codes. With the prohibition of postalization, where a Contracting Authority provides in the tender documents for minimum direct territorial coverage coefficients that are too high and/or criteria for enhancing, in the technical and economic offer, additional degrees of available direct territorial coverage, or a parameterization of the technical and economic score to the total direct territorial coverage coefficient offered, the FSU would be the only entity able to offer the aforementioned notification services15.</w:t>
      </w:r>
    </w:p>
    <w:p>
      <w:r>
        <w:t>In this regard, the already mentioned opinion AS1453 and the letter sent in June 2020 to this Authority and ANAC are recalled, where the Authority noted how this Authority, by providing in Resolution No. 77/18/CONS - which examined the issue of postalization of judicial acts and violations of the Highway Code - for a single entity to carry out the notification activity, determined the impossibility of postalization by different entities. While sharing the need to ensure certainty regarding the outcome of the notification, the Authority highlighted the particular criticality raised by the provision according to which all phases of the notification activity must be carried out by a single operator, emphasizing that “this obligation introduces rigidity in the execution of notification activities. The understandable need to identify with certainty a single responsible entity is believed, instead, to be achievable through the tracking of shipments, already provided for in the Document, as well as other tools that attribute, in productive arrangements that involve the participation of multiple companies, the substantial responsibility of the notification process to one of the legal entities involved”16.</w:t>
      </w:r>
    </w:p>
    <w:p>
      <w:r>
        <w:t>With the modification currently proposed to the Regulation by this Authority, an opening is received towards the possibility for private operators to resort to postalization, through the FSU, at least for a part of the shipments, which was previously strictly excluded in the case of notifications of judicial acts and violations of the Highway Code. This opening has been borrowed from art. 12.6 of the ANAC-AGCOM Guidelines updating ANAC determination No. 3 of 9/12/2014. Therefore, with this variation of the regulatory framework regarding postal notifications, it now seems possible for the Contracting Authority to design a tender in which the contractor is expected to postalize part of the shipments through the FSU, following a specific agreement between the Contracting Authority and the deliverer, so that the contractor finds itself managing (even if not directly) all volumes related to a given contract.</w:t>
      </w:r>
    </w:p>
    <w:p>
      <w:r>
        <w:t>All of this considered, the Authority appreciates the proposal under discussion, which constitutes a first step towards the recognition of postalization in the postal notification sector, hoping, however, that, in the near future, a full postalization of these shipments can be achieved, providing, regarding the same, also the possibility of resorting to the institution of</w:t>
      </w:r>
    </w:p>
    <w:p>
      <w:r>
        <w:t>15 In this regard, see ex multis the following opinions of the Authority pursuant to art. 21-bis, where the Authority has expressed the considerations in question: AS1735 – ACI INFORMATICA – TENDER FOR THE AWARD OF THE POSTAL NOTIFICATION SERVICE OF JUDICIAL ACTS of February 26, 2021, in Boll. n. 17/2021 and AS1860 - MUNICIPALITY OF LECCE - TENDER FOR THE AWARD OF THE NOTIFICATION SERVICE OF JUDICIAL ACTS AND VIOLATIONS OF THE HIGHWAY CODE of July 22, 2022, in Boll. n. 36/2022.</w:t>
      </w:r>
    </w:p>
    <w:p>
      <w:r>
        <w:t>16 Furthermore, the Authority has highlighted that the identification of a “single operator” referred the solution of the problem to the design methods of the tender by the Contracting Authorities and did not seem to yield the desired outcomes in a perspective of full market liberalization.</w:t>
      </w:r>
    </w:p>
    <w:p>
      <w:r>
        <w:rPr>
          <w:b/>
        </w:rPr>
        <w:t>[Pages 40–42]</w:t>
      </w:r>
    </w:p>
    <w:p>
      <w:r>
        <w:t>42 BULLETIN NO. 8 OF FEBRUARY 20, 2023</w:t>
      </w:r>
    </w:p>
    <w:p>
      <w:r>
        <w:t>subcontracting. In fact, in light of the jurisprudence of the Court of Justice of the EU, it must be considered that a general and abstract prohibition on the use of subcontracting for certain categories of contracts is in contrast with the European regulations on public contracts17.</w:t>
      </w:r>
    </w:p>
    <w:p>
      <w:r>
        <w:t>In conclusion, the Authority, while appreciating the overall framework of the Document and the introduction of requirements and obligations aimed at combining the certainty and security of the notification procedure with a pro-competitive push in the sector of postal notifications of judicial acts and violations of the Highway Code, hopes that the regulatory framework will be promptly defined and implemented and that, in this area, the observations made above can be adequately considered in order to promote the full development of competitive dynamics in these recently liberalized postal services.</w:t>
      </w:r>
    </w:p>
    <w:p>
      <w:r>
        <w:t>This opinion will be published in the bulletin of the Antitrust Authority.</w:t>
      </w:r>
    </w:p>
    <w:p>
      <w:r>
        <w:t>THE PRESIDENT</w:t>
        <w:br/>
        <w:t>Roberto Rustichelli</w:t>
      </w:r>
    </w:p>
    <w:p>
      <w:r>
        <w:t>17 See Article 88 of Directive 2014/25/EU (and Article 71 of Directive 2014/24/EU), as well as the judgment rendered by the Court of Justice in case C-63/18, Vitali, in which the Court concluded, with reference to Italian regulations, that “Directive 2014/24 must be interpreted as precluding national legislation, such as that at issue in the main proceedings, which limits to 30% the part of the contract that the tenderer is authorized to subcontract to third parties.” (see also case C-402/18, Tedeschi, and case C-406/14, Wrocław–Miasto na prawach powiatu/Minister Infrastruktury i Rozwoju).</w:t>
      </w:r>
    </w:p>
    <w:p>
      <w:r>
        <w:t>BULLETIN NO. 8 OF FEBRUARY 20, 2023</w:t>
      </w:r>
    </w:p>
    <w:p>
      <w:r>
        <w:t>UNFAIR BUSINESS PRACTICES</w:t>
      </w:r>
    </w:p>
    <w:p>
      <w:r>
        <w:t>PS12181 - MUNICIPALITY OF VENAFRO - TWO-YEAR STATUTE OF LIMITATIONS IN THE WATER SECTOR</w:t>
      </w:r>
    </w:p>
    <w:p>
      <w:r>
        <w:t>Provision No. 30477</w:t>
      </w:r>
    </w:p>
    <w:p>
      <w:r>
        <w:t>THE ANTITRUST AUTHORITY</w:t>
      </w:r>
    </w:p>
    <w:p>
      <w:r>
        <w:t>IN ITS MEETING of January 31, 2023;</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July 22, 2022, which informed the Municipality of Venafro of the initiation of investigative procedure PS12181 for possible violation of Articles 20, 22, 24, and 25 of the Consumer Code;</w:t>
      </w:r>
    </w:p>
    <w:p>
      <w:r>
        <w:t>HAVING REGARD TO its provision of November 15, 2022, with which, pursuant to Article 7, paragraph 3, of the Regulation, an extension of the deadline for concluding the procedure was ordered, for specific investigative needs, considering the necessity to allow the Municipality of Venafro the full exercise of the right of defense;</w:t>
      </w:r>
    </w:p>
    <w:p>
      <w:r>
        <w:t>HAVING REGARD TO the acts of the procedure;</w:t>
      </w:r>
    </w:p>
    <w:p>
      <w:r>
        <w:t>I. THE PARTY</w:t>
      </w:r>
    </w:p>
    <w:p>
      <w:r>
        <w:t>1. The Municipality of Venafro (hereinafter also “The Municipality” or “Venafro”), as a Professional, pursuant to Article 18, letter b), of the Consumer Code. The Entity is responsible for managing the integrated water service (hereinafter also “SII”) of the relevant municipal area.</w:t>
      </w:r>
    </w:p>
    <w:p>
      <w:r>
        <w:t>II. THE COMMERCIAL PRACTICE</w:t>
      </w:r>
    </w:p>
    <w:p>
      <w:r>
        <w:t>2. The procedure concerns the commercial practice carried out by the Municipality of Venafro, articulated in some behaviors that evade the obligations set by the current legislative and regulatory framework applicable to operators in the water services sector since January 1, 2020. These obligations concern both the information intended for users regarding the two-year or short statute of limitations referred to in Law No. 205/2017 (hereinafter also “PB”) – accrued on credits related to past consumption and prior to two years from the date of issuance of the related bill of adjustment/recalculation – and the handling, specifically the rejection, of requests and complaints from users aimed at raising the PB.</w:t>
      </w:r>
    </w:p>
    <w:p>
      <w:r>
        <w:t>3. Specifically, in 2020 and 2021, the aforementioned Municipality:</w:t>
        <w:br/>
        <w:t>a) issued accounting documents containing charges for past water consumption, dating back more than two years, omitting any information/evidence to users regarding the presence of prescribable credits as well as regarding the possibility of raising the PB through a specially prepared form. The Professional also did not adopt alternative communication methods to inform, in general, consumers regarding the current PB regulations on water credits and the rights of users;</w:t>
        <w:br/>
        <w:t>b) indiscriminately rejected the requests and complaints submitted by users to raise the PB on the prescribable credits present in the aforementioned documents, excluding in any case the direct applicability of the regulations referred to in Law No. 205/2017 and subsequent amendments based on vague or otherwise inconsistent reasons with the legislative and regulatory framework of the institution.</w:t>
      </w:r>
    </w:p>
    <w:p>
      <w:r>
        <w:t>III. THE RESULTS OF THE PROCEDURE</w:t>
      </w:r>
    </w:p>
    <w:p>
      <w:r>
        <w:t>i) Pre-investigative Activity</w:t>
      </w:r>
    </w:p>
    <w:p>
      <w:r>
        <w:t>4. The Municipality of Venafro received, on April 28, 2022, an intervention of moral suasion carried out by the Authority, pursuant to Article 4, paragraph 5, of the Regulation, consisting of an invitation to remove the possible profiles of incorrectness detected in the conduct of the Municipality itself. This invitation went unanswered.</w:t>
      </w:r>
    </w:p>
    <w:p>
      <w:r>
        <w:t>ii) The course of the procedure</w:t>
      </w:r>
    </w:p>
    <w:p>
      <w:r>
        <w:t>5. Based on the reports received by the Authority1 and some information acquired ex officio for the purposes of applying the Consumer Code, as well as following the lack of response to the invitation made by the Authority, on July 22, 2022, the Municipality of Venafro was informed of the initiation of investigative procedure PS12181 for possible violation of Articles 20, 22, 24, and 25 of the Consumer Code, with reference to the failure to comply with the information obligations provided by the current legislative and regulatory framework on PB as well as regarding the rejection of the statute of limitations exceptions raised by users affected by invoices issued after January 1, 2020, concerning the prescribable credits therein as they relate to past consumption dating back more than two years.</w:t>
      </w:r>
    </w:p>
    <w:p>
      <w:r>
        <w:t>6. In this context, the omissive conduct of the Municipality of Venafro was hypothesized, consisting of evading the information obligations towards consumers provided by specific legislative and regulatory prescriptions; the aggressiveness of the Professional's behavior aimed at the indiscriminate rejection of requests for recognition of the PB, based on opaque/inapplicable/contradictory reasons with the current PB regulations; as well as the violation of the professional diligence expected from operators in the sector also due to the nature of the sole and direct reference, in the considered territory, for users receiving the provision of water services.</w:t>
      </w:r>
    </w:p>
    <w:p>
      <w:r>
        <w:t>7. In the same communication of initiation on July 22, 2022, information and documents regarding the highlighted behaviors were requested.</w:t>
      </w:r>
    </w:p>
    <w:p>
      <w:r>
        <w:t>8. The Professional was heard in a hearing on October 18, 2022.</w:t>
      </w:r>
    </w:p>
    <w:p>
      <w:r>
        <w:t>9. During the investigative phase, the Professional submitted several requests for an extension for the submission of information and for the submission of commitments2. These requests were accepted but did not have any follow-up. The Professional did not make any defensive observations.</w:t>
      </w:r>
    </w:p>
    <w:p>
      <w:r>
        <w:t>1 See report prot. No. 80504 of October 21, 2021, and information sent by the Municipality of Venafro prot. No. 93408 of December 16, 2021.</w:t>
        <w:br/>
        <w:t>2 See note prot. No. 63507 of August 12, 2022, and prot. No. 83483 of October 31, 2022.</w:t>
      </w:r>
    </w:p>
    <w:p>
      <w:r>
        <w:rPr>
          <w:b/>
        </w:rPr>
        <w:t>[Pages 43–45]</w:t>
      </w:r>
    </w:p>
    <w:p>
      <w:r>
        <w:t>BULLETIN NO. 8 OF FEBRUARY 20, 2023</w:t>
      </w:r>
    </w:p>
    <w:p>
      <w:r>
        <w:t>10. On December 5, 2022, the Parties were informed of the conclusion of the investigative phase, pursuant to Article 16, paragraph 1, of the Regulation.</w:t>
      </w:r>
    </w:p>
    <w:p>
      <w:r>
        <w:t>11. On January 23, 2023, a proposal for commitments was received from the Municipality pursuant to Article 27, paragraph 7, of the Consumer Code.</w:t>
      </w:r>
    </w:p>
    <w:p>
      <w:r>
        <w:t>12. The Authority, on January 31, 2023, resolved to reject the aforementioned commitments as they were submitted late, well beyond the extension granted to the party and close to the deadline of the proceeding.</w:t>
      </w:r>
    </w:p>
    <w:p>
      <w:r>
        <w:t>iii) The regulation of the two-year statute of limitations in the water sector</w:t>
      </w:r>
    </w:p>
    <w:p>
      <w:r>
        <w:t>13. Law No. 205 of December 27, 2017 (so-called 2018 Budget Law), in Article 1, paragraphs 4 and following, introduced a new two-year statute of limitations for claims held by operators in the utilities sectors, including water services: in particular, it provided consumers-users, both domestic and professional and micro-enterprises, the right to raise the statute of limitations for amounts related to consumption dating back more than two years, indicated in invoices issued from January 1, 2020, where the delay in invoicing was not due to "established responsibility of the user."</w:t>
      </w:r>
    </w:p>
    <w:p>
      <w:r>
        <w:t>14. The same Article 1 assigned to the sector Regulator - ARERA - the task, among other things, to define both "the measures regarding invoicing timelines among operators in the supply chain necessary for the implementation of what is provided in the first and second periods" (paragraph 4), and "the measures to protect consumers by determining the forms through which distributors ensure the verification and acquisition of actual consumption data."</w:t>
      </w:r>
    </w:p>
    <w:p>
      <w:r>
        <w:t>15. In implementation of the legislative provision, ARERA issued, in relation to the water sector, Resolution No. 547/2019 identifying, in the related Annex B, the "measures to strengthen the protections for end users in cases of invoicing amounts for water service related to consumption dating back more than two years." Therefore, in reference "to invoices related to the water service issued before January 1, 2020, with deadlines after that date, for amounts related to consumption dating back more than two years," various obligations were meticulously provided for the SII Managers, which include, among other things, transparent communication to the end user regarding amounts related to consumption dating back more than two years, as well as the right to raise the two-year statute of limitations by completing and sending the relevant ad hoc form.</w:t>
      </w:r>
    </w:p>
    <w:p>
      <w:r>
        <w:t>16. Also in Annex B to Resolution No. 547/19, ARERA expressly provided (in Article 2.3) that the statute of limitations "begins from the deadline by which the manager is obliged to issue the invoicing document, as identified by the current regulation," that is, once 45 days have passed since the last day of the reference period.</w:t>
      </w:r>
    </w:p>
    <w:p>
      <w:r>
        <w:t>17. The entry into force of the statute of limitations regulation, as per the 2018 Budget Law, was set for the water sector on January 1, 2020. However, the legislator subsequently intervened with Article 1, paragraph 295, of Law No. 160 of December 27, 2019 (2020 Budget Law) which, also effective from January 1, 2020, repealed paragraph 5 of Article 1 of Law No. 205/2017 (which excluded the operation of the statute of limitations when the failure or erroneous detection of consumption data was due to established responsibility of the user).</w:t>
      </w:r>
    </w:p>
    <w:p>
      <w:r>
        <w:t>18. Following this legislative amendment, ARERA adopted a new Resolution (of May 26, 2020, No. 186/2020/R/water) which, in order to adapt the previous regulation to the 2020 Budget Law, provided, among other things, for the modification and updating of the informational obligations towards users regarding the statute of limitations, already imposed on Managers by the aforementioned Resolution No. 547/19, providing for the inclusion of coherent communication in the invoice regarding amounts related to consumption dating back more than two years.</w:t>
      </w:r>
    </w:p>
    <w:p>
      <w:r>
        <w:t>19. With Resolution 186/2020, ARERA stated that, as a result of the amendment introduced by Law No. 160/2019 (in force from January 1, 2020), "the statute of limitations provided by the 2018 Budget Law is based on the mere passage of time"; it also reiterated the binding nature of the regulation contained in the primary statute on the statute of limitations (with reference to the 2018 and 2020 Budget Laws) and the specific and immediately prescriptive content for operators of this primary regulation, in force, for the water sector, from January 1, 2020.</w:t>
      </w:r>
    </w:p>
    <w:p>
      <w:r>
        <w:t>20. Lastly, in compliance with certain rulings of the Administrative Judge, ARERA issued Resolution of December 21, 2021, No. 610/2021/R/WATER, with which it provided: a) to update its regulation confirming, in general terms, the prescriptive content of Resolution No. 186/2020/R/WATER, redefining the informational obligations as a result of the legislative generalization of the two-year statute of limitations; b) to ensure the end user adequate information in cases where the manager believes it can invoice amounts related to consumption dating back more than two years, asserting, in such cases, the existence of a cause preventing the statute of limitations from maturing pursuant to the relevant primary regulation.</w:t>
      </w:r>
    </w:p>
    <w:p>
      <w:r>
        <w:t>21. Specifically, the aforementioned Resolution No. 610/2021 provided that: i) in cases of invoicing amounts related to consumption dating back more than two years that could be declared time-barred, the manager must prepare a standard text notice to be attached to the invoice informing the end user of the presence of such amounts, indicating the methods to raise the statute of limitations; ii) in cases of invoicing amounts related to consumption dating back more than two years, but for which the manager believes there is a cause for suspension of the statute of limitations, the manager must adequately communicate to the end user the specific reasons for the (alleged) failure of the statute of limitations to mature for the payment of the amounts, pursuant to the primary and general reference regulation, as well as the possibility of sending a written complaint regarding the invoicing of the aforementioned amounts.</w:t>
      </w:r>
    </w:p>
    <w:p>
      <w:r>
        <w:t>22. Also with Resolution No. 610/2021, ARERA further proceeded to realign the provisions regarding complaints, debt collection procedures, and minimum content of invoicing documents as per the previous regulation.</w:t>
      </w:r>
    </w:p>
    <w:p>
      <w:r>
        <w:t>iv) The evidence acquired</w:t>
      </w:r>
    </w:p>
    <w:p>
      <w:r>
        <w:t>23. The Municipality of Venafro directly manages the internal water networks for the territory falling within the municipal area.</w:t>
      </w:r>
    </w:p>
    <w:p>
      <w:r>
        <w:t>24. The Municipality of Venafro admitted that it did not provide any information to users/customers regarding the entry into force of the two-year statute of limitations in the water service sector.</w:t>
      </w:r>
    </w:p>
    <w:p>
      <w:r>
        <w:t>25. The Municipality then communicated that it issued in December 2020, for the roles 2017 – 2018, No. 5231 invoices related to the year 2017. In 2020 it received No. 249 statute of limitations requests and in 2021 No. 195 statute of limitations requests. In this regard, the Entity communicated that it did not respond to the statute of limitations requests received and, in the various cases where the consumer turned to the Justice of the Peace, the Entity appeared in court.</w:t>
      </w:r>
    </w:p>
    <w:p>
      <w:r>
        <w:t>26. The municipal administration also stated that arrears are managed by the Entity through payment reminders, and in case of further non-compliance, coercive roles are processed and entrusted to collection companies.</w:t>
      </w:r>
    </w:p>
    <w:p>
      <w:r>
        <w:t>v) The arguments of the Party</w:t>
      </w:r>
    </w:p>
    <w:p>
      <w:r>
        <w:t>27. The Municipality of Venafro believes that the regulation introducing the two-year statute of limitations in the water sector would be applicable to water consumption occurring after January 1, 2020, and not, instead, to invoices with deadlines after that date. Consequently, for all consumption recorded prior to that date, but contained in invoices with deadlines after January 1, 2020, the local entity continued to apply the previous statute of limitations regime of 5 years.</w:t>
      </w:r>
    </w:p>
    <w:p>
      <w:r>
        <w:t>28. On January 23, 2023, the Municipality communicated its commitment to:</w:t>
        <w:br/>
        <w:t>1) proceed with the acceptance of the statute of limitations requests already received;</w:t>
      </w:r>
    </w:p>
    <w:p>
      <w:r>
        <w:rPr>
          <w:b/>
        </w:rPr>
        <w:t>[Pages 46–48]</w:t>
      </w:r>
    </w:p>
    <w:p>
      <w:r>
        <w:t>48 BULLETIN NO. 8 OF FEBRUARY 20, 2023</w:t>
      </w:r>
    </w:p>
    <w:p>
      <w:r>
        <w:t>2) to send, by March 31, 2023, suitable information to consumers who have received invoices regarding the validity of the two-year statute of limitations and the possibility of raising the statute of limitations, as well as to return any amounts that may have already been paid;</w:t>
      </w:r>
    </w:p>
    <w:p>
      <w:r>
        <w:t>3) to publish, by January 31, 2023, suitable information on the website of the Municipality of Venafro regarding the two-year statute of limitations for user bills.</w:t>
      </w:r>
    </w:p>
    <w:p>
      <w:r>
        <w:t>IV. OPINION OF THE REGULATORY AUTHORITY FOR ENERGY, NETWORKS AND ENVIRONMENT</w:t>
      </w:r>
    </w:p>
    <w:p>
      <w:r>
        <w:t>29. Since the commercial practice subject to this provision concerns the water services sector, on December 28, 2022, an opinion was requested from the Regulatory Authority for Energy, Networks and Environment, pursuant to and for the effects of Article 27, paragraph 1-bis, of the Consumer Code, introduced by Article 1, paragraph 6, letter a), of Legislative Decree No. 21/2014.</w:t>
      </w:r>
    </w:p>
    <w:p>
      <w:r>
        <w:t>30. The Regulatory Authority, with an opinion received on January 27, 2023, after making some preliminary considerations regarding the purposes of the opinion itself, deemed the following:</w:t>
      </w:r>
    </w:p>
    <w:p>
      <w:r>
        <w:t>31. Regarding the conduct sub a) (“failure to comply with information obligations towards users, as per the PB regulation”), it is highlighted that the Professional appears to have disregarded the information obligations prescribed regarding PB, having “not provided any information to end users about the presence in the issued invoices of amounts that could be declared time-barred, and would not have allowed the same users to raise the statute of limitations for the amounts represented therein by, for example, sending a specific request form to supplement the invoice.” In order to ensure transparent and complete information for the benefit of the end user, starting from January 1, 2020, the Municipality was, in fact, required to supplement the invoice containing amounts related to consumption dating back more than two years with an additional introductory page containing a standard text information notice and a section containing a format that the end user could use to raise the statute of limitations.</w:t>
      </w:r>
    </w:p>
    <w:p>
      <w:r>
        <w:t>32. ARERA also notes that, starting from January 1, 2020, the same Municipality was also required to adequately highlight the presence in the invoice of amounts related to consumption dating back more than two years, differentiating them from other amounts, and possibly informing the end user of the existence of a cause for suspension of the statute of limitations in the event that it deemed it could bill beyond the two-year period. In this perspective, if it deemed it could not consider the billed amounts as time-barred, it should have nonetheless communicated to the same user the specific reasons for the (alleged) failure to mature the statute of limitations, in application of the primary and general regulatory framework, as well as the possibility of submitting a written complaint regarding the billing of the same amounts.</w:t>
      </w:r>
    </w:p>
    <w:p>
      <w:r>
        <w:t>33. Regarding the conduct sub b) (“rejection of end users' requests for recognition of PB”), ARERA notes that the Professional would have rejected the requests of its users based on opaque and irrelevant reasons, as well as in violation of the current legislative and regulatory framework of the institution. In fact, based on the interpretation of the regulations provided by the Municipality, regarding the commencement of the institution, the two-year statute of limitations would apply “to water consumption made after January 1, 2020 and not, instead, to invoices with a due date after that date”; for amounts related to consumption recorded prior to that date, even if accounted for in invoices with a due date after January 1, 2020, the Municipality would have applied (and would continue to apply) the previous five-year statute of limitations regime.</w:t>
      </w:r>
    </w:p>
    <w:p>
      <w:r>
        <w:t>34. According to the Regulatory Authority, in reality, in such cases, the operator is still required to provide the user with a reasoned response that represents any motivational shortcomings in light of the obligations provided by the regulation, in order to allow the end user to protect their rights (also possibly in the context of extrajudicial resolution for the potential settlement of the dispute). In this regard, and with specific reference to the conduct referred to in sub b), ARERA finds it useful to point out that the obligations imposed on the Professional by the regulation regarding the two-year statute of limitations could be disregarded in all cases where, in response to a complaint from the end user, the Municipality has not provided feedback or has limited itself to responding to the same user by transmitting generic and unsubstantiated information. In fact, ARERA emphasizes that, in this case, certain regulatory provisions regarding contractual quality are relevant, particularly concerning the minimum content of the response to the written complaint.</w:t>
      </w:r>
    </w:p>
    <w:p>
      <w:r>
        <w:t>V. CONCLUDING EVALUATIONS</w:t>
      </w:r>
    </w:p>
    <w:p>
      <w:r>
        <w:t>35. The commercial practice under evaluation consists of the Municipality of Venafro's failure to comply with the information obligations provided by the current legislative and regulatory framework on the two-year statute of limitations in the water sector, as well as the inadequate handling - or rather, the rejection - of complaints/requests for recognition of the short statute of limitations, regarding credits related to consumption billed after January 1, 2020, and dating back more than two years from the date of issuance of the related invoice.</w:t>
      </w:r>
    </w:p>
    <w:p>
      <w:r>
        <w:t>36. Preliminary, regarding the nature of the Professional, it is noted - with the support of constant jurisprudential orientation - that to assume the quality of “Professional” pursuant to Article 18 of the Consumer Code, not only is the possible public nature of the author of the commercial practice irrelevant, but it is also sufficient that they have an objective direct and immediate interest in the realization of the practice itself, deriving a specific and targeted economic or commercial advantage.</w:t>
      </w:r>
    </w:p>
    <w:p>
      <w:r>
        <w:t>37. Conversely, as is evident, an objective gap in protection for users of public water managers would be created, and an unjustified discrimination in treatment between users of water services managed by private entities, compared to users benefiting from a water service managed by public entities, would be allowed, enabling the latter to engage in behaviors capable of harming - if not fundamentally inhibiting - the exercise of prerogatives and contractual rights provided by primary legislation for the recipients of water services.</w:t>
      </w:r>
    </w:p>
    <w:p>
      <w:r>
        <w:t>38. Coming to the merits of the behaviors described above, under part II, they constitute an unfair commercial practice, pursuant to Articles 20, 22, 24, and 25 of the Consumer Code, as they are contrary to professional diligence and likely to mislead the average consumer regarding the existence and the possibility of timely exercise of prerogatives attributed by the current legislative and regulatory framework regarding PB, as well as to inhibit their effective exercise by rejecting the applications/complaints submitted. In particular, the practice consists of two behaviors: sub a) violation of Articles 20 and 22 of the Consumer Code, with reference to the failure to comply with the information obligations provided by the current legislative and regulatory framework on PB; sub b) violation of Articles 20, 24, and 25 of the Consumer Code regarding the rejection of the statute of limitations exceptions raised by users affected by invoices issued after January 1, 2020, concerning the prescribable credits therein, as they relate to past consumption dating back more than two years.</w:t>
      </w:r>
    </w:p>
    <w:p>
      <w:r>
        <w:t>39. In order to evaluate the conduct of the Professional, it is deemed useful to recall that the legislator, with the introduction of the 2018 Budget Law, as amended by the 2020 Budget Law, intended to curb and limit the phenomenon known as “maxi bills” due to the late issuance of adjustment invoices for water consumption by service providers. In fact, it had become evident that, due to the previous commercial regime of water supplies - characterized by frequent late billing and/or adjustment of consumption accompanied by the charge of significant amounts - consumers were severely penalized, not only by the amounts of the bills but also in their ability to monitor their consumption and plan the related expenses.</w:t>
      </w:r>
    </w:p>
    <w:p>
      <w:r>
        <w:t>40. In this regard, it should be noted that the rule that reduced the statute of limitations period in the context of the supply of energy, electrical, and water services came into force on January 1, 2018. From that date, therefore, water managers became aware of the new statute of limitations period applied to water consumption and should have adopted behaviors aimed at recovering outstanding previous credits, in order to then correctly apply said period as of January 1, 2020. The national legislator, in fact, as is known, staggered the application of this rule on subsequent dates, precisely taking into account the specificities of each individual sector concerned and the need for more time to recover outstanding previous credits. In the water sector, the legislator recognized water managers a full two years to comply with the aforementioned regulation.</w:t>
      </w:r>
    </w:p>
    <w:p>
      <w:r>
        <w:t>41. Moreover, the legislator did not intend to modify the civil law principles in this regard but aimed to limit a pathological phenomenon of delay in billing by reducing the statute of limitations period and, to meet the needs of water managers, recognized a sufficiently long time frame between the entry into force of the rule and its actual application specifically for water services. In this regard, recent rulings from the Tar Lombardia confirm that “The two-year statute of limitations referred to in the 2018 Budget Law (Law No. 205/17) begins from the deadline by which the operator is obliged to issue the billing document, as identified by the current regulation, that is, once 45 calendar days have passed from the last day of the reference period of the invoice.” Therefore, while preserving civil law norms and jurisprudential practice regarding the statute of limitations, there are no doubts about the applicability of the two-year statute of limitations to all invoices with a due date after January 1, 2020, even if containing amounts related to consumption periods exceeding two years, given that these were invoices that should have been issued long before as they relate to consumption prior to the two years before the actual issuance of the invoice.</w:t>
      </w:r>
    </w:p>
    <w:p>
      <w:r>
        <w:t>42. The fact that the reduced statute of limitations period also applies to consumption prior to January 1, 2020 does not result in a retroactive application of the aforementioned rule, as the rule identifies the moment of application of the new period not at the date of consumption.</w:t>
      </w:r>
    </w:p>
    <w:p>
      <w:r>
        <w:rPr>
          <w:b/>
        </w:rPr>
        <w:t>[Pages 49–51]</w:t>
      </w:r>
    </w:p>
    <w:p>
      <w:r>
        <w:t>BULLETIN NO. 8 OF FEBRUARY 20, 2023</w:t>
      </w:r>
    </w:p>
    <w:p>
      <w:r>
        <w:t>51. water consumption, does not result in a retroactive application of the aforementioned rule, as the rule identifies the moment of application of the new term not at the date of consumption but at the time of billing thereof, that is, for bills due after January 1, 2020, even if issued before that date.</w:t>
      </w:r>
    </w:p>
    <w:p>
      <w:r>
        <w:t>43. The legislative provision that introduced the two-year statute of limitations, therefore, while not intending to modify the rules and principles of the legal system regarding the statute of limitations and debt payment, aimed to remind the operators of the need for correct and timely behavior in billing the payments requested from consumers.</w:t>
      </w:r>
    </w:p>
    <w:p>
      <w:r>
        <w:t>44. Regarding the matter at hand, the conduct of the Professional, consisting of evading the duties of transparency and completeness of information regarding PB, which are still imposed on SII Managers by binding legislative16 and regulatory17 provisions in the presence of credits billed after January 1, 2020, related to consumption dating back more than two years, is in violation of Article 22 of the Consumer Code (conduct sub a).</w:t>
      </w:r>
    </w:p>
    <w:p>
      <w:r>
        <w:t>45. In this regard, it is noted, in light of what emerged from the findings of the proceeding, that the informational obligations placed on the Professional by the regulation concerning the two-year statute of limitations have been widely disregarded. This is because, from 2020 until today, the Municipality of Venafro has not:</w:t>
      </w:r>
    </w:p>
    <w:p>
      <w:r>
        <w:t>- included in the bill the necessary information to inform the user of the existence of the current regulation on PB and the possibility of raising it concerning credits related to past consumption, over two years old, even through specific forms prepared ad hoc;</w:t>
        <w:br/>
        <w:t>- highlighted, either in the bill or with a separate document, the amount of the sums claimed related to consumption dating back more than two years, for which the user could raise the short statute of limitations;</w:t>
        <w:br/>
        <w:t>- published on the company website adequate and complete information regarding the entry into force of the new institution and the methods for raising, in the presence of the conditions ex lege, the short statute of limitations for the late-billed consumption by the Manager.</w:t>
      </w:r>
    </w:p>
    <w:p>
      <w:r>
        <w:t>46. In order to allow the exercise of prerogatives and rights related to PB, the Professional was indeed required, as of January 1, 2020, to ensure transparent and complete information by integrating the bill containing amounts related to consumption dating back more than two years with an additional initial page containing a standard text informational notice and a section containing a format that the end user could use to raise the statute of limitations. Also, starting from January 1, 2020, the same manager was also required to adequately highlight the presence in the bill of amounts related to consumption dating back more than two years, differentiating them from other amounts, as well as to inform the end user, using one or more communication channels suitable for ensuring completeness and transparency, of the possibility of raising the statute of limitations. It appears, from the evidence on record, particularly from the response to the request for information provided by the Municipality (response of December 16, 2021 acquired in the records), the absence of any information – in the bill, in separate documents, and on the company website – regarding the aspects related to the aforementioned two-year statute of limitations.</w:t>
      </w:r>
    </w:p>
    <w:p>
      <w:r>
        <w:t>47. The absence of adequate, complete, and timely information on PB – both in general regarding the introduction of the new institution and, especially, concerning the prescribable credits possibly present in the bill – has undoubtedly misled consumers regarding the rights and contractual prerogatives due to the user based on binding primary regulatory provisions, with the effect, also, of retaining in the hands of the Professional credits arising from consumption not timely detected and accounted for and of placing solely on consumers the consequences of inertia/disservices not attributable to them.</w:t>
      </w:r>
    </w:p>
    <w:p>
      <w:r>
        <w:t>48. In light of the evidence acquired, it follows that the conduct sub a) is in contrast with Articles 20 and 22 of the Consumer Code.</w:t>
      </w:r>
    </w:p>
    <w:p>
      <w:r>
        <w:t>49. As for the conduct sub b), concerning the handling of user applications/complaints regarding PB, it is believed that, given the validity of the primary regulation and ARERA regulation, the constant rejection by the Professional of the short statute of limitations exception for said consumption appears to be supported by insufficient, opaque, and irrelevant reasons, thus hindering the exercise by consumers of their rights, to the detriment of their economic behavior.</w:t>
      </w:r>
    </w:p>
    <w:p>
      <w:r>
        <w:t>50. It should also be considered that the Professional, as emerged from the same statement of the Municipality of Venafro of December 16, 2021, has not adequately addressed the targeted handling of applications for recognition of the short statute of limitations and complaints raised by users on this issue, following the bills/reminders sent in 2020 and 2021, opposing a generalized rejection.</w:t>
      </w:r>
    </w:p>
    <w:p>
      <w:r>
        <w:t>51. Therefore, the conduct sub b) is in contrast with Articles 20, 24, and 25 of the Consumer Code, as – in contrast with the requirement of professional diligence – it has compressed and hindered the rights of consumers, rejecting – without sufficient and clear reasons – the applications and complaints aimed at recognizing the two-year statute of limitations exception concerning credits related to past consumption, dating back more than two years prior to the issuance of the bill, based on an interpretation of the new institution not in line with the legislative text and with the implementing regulatory framework.</w:t>
      </w:r>
    </w:p>
    <w:p>
      <w:r>
        <w:t>52. In conclusion, based on the previous considerations, the Municipality of Venafro has not provided timely and complete information to consumers regarding the entry into force and validity of the regulation on PB in the water sector, information provided to individuals and on the Entity's website, which still today is not adequate; moreover, the rejection of the two-year statute of limitations exception based on an incorrect interpretation of the relevant regulation constitutes behavior characterized by evident elements of aggressiveness, such as to unduly condition consumers, leading them to pay sums not due although regularly contested through applications for recognition or complaints.</w:t>
      </w:r>
    </w:p>
    <w:p>
      <w:r>
        <w:t>53. The overall behavioral framework thus presented is in violation of Articles 20, 22, 24, and 25 of the Consumer Code.</w:t>
      </w:r>
    </w:p>
    <w:p>
      <w:r>
        <w:t>VI. QUANTIFICATION OF THE SANCTION</w:t>
      </w:r>
    </w:p>
    <w:p>
      <w:r>
        <w:t>54. Pursuant to Article 27, paragraph 9, of the Consumer Code, with the provision that prohibits the unfair commercial practice, the Authority orders the application of an administrative monetary sanction from €5,000 to €5,000,000, taking into account the severity and duration of the violation.</w:t>
      </w:r>
    </w:p>
    <w:p>
      <w:r>
        <w:t>55.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56. With regard to the severity of the violation, the following elements are taken into account in the case at hand: i) the role of the Professional as a monopolistic manager of an essential resource such as water; ii) the extent of the phenomenon that has affected all users of the entire managed territory. Furthermore, account is taken of the initiatives undertaken by the Professional for the benefit of consumers aimed at ensuring full informational transparency regarding the two-year statute of limitations, also ensuring the reimbursement of any sums already paid.</w:t>
      </w:r>
    </w:p>
    <w:p>
      <w:r>
        <w:t>57. As for the duration of the violation, from the available evidence in the records, it appears that the commercial practice has been carried out by the Professional since January 2020 and ceased with the initiatives taken by the Municipality starting from January 23, 2023.</w:t>
      </w:r>
    </w:p>
    <w:p>
      <w:r>
        <w:t>58. Due to the public nature of the territorial entity, it is deemed appropriate to set the amount of the sanction at €10,000.00 (ten thousand euros).</w:t>
      </w:r>
    </w:p>
    <w:p>
      <w:r>
        <w:t>CONSIDERING, therefore, based on the above considerations, that the commercial practice in question is unfair pursuant to Articles 20, 22, 24, and 25 of the Consumer Code as it is contrary to professional diligence and capable, through the omission of timely and complete information to consumers and the unjustified rejection of applications for the two-year statute of limitations of water consumption, in light of the applicable legislative framework, of appreciably distorting the economic behavior of the average consumer in relation to the activity of the Professional;</w:t>
      </w:r>
    </w:p>
    <w:p>
      <w:r>
        <w:t>RESOLVES</w:t>
      </w:r>
    </w:p>
    <w:p>
      <w:r>
        <w:t>a) that the commercial practice described in point II of this provision, carried out by the Municipality of Venafro constitutes, for the reasons and within the limits set forth in the motivation, an unfair commercial practice pursuant to Articles 20, 22, 24, and 25 of the Consumer Code, and prohibits its dissemination or repetition;</w:t>
      </w:r>
    </w:p>
    <w:p>
      <w:r>
        <w:t>b) to impose on the Municipality of Venafro an administrative monetary sanction of €10,000.00 (ten thousand euros);</w:t>
      </w:r>
    </w:p>
    <w:p>
      <w:r>
        <w:t>c) that the professional communicates to the Authority, within 60 days from the notification of this provision, the initiatives taken in compliance with the warning referred to in point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concessionaire.</w:t>
      </w:r>
    </w:p>
    <w:p>
      <w:r>
        <w:rPr>
          <w:b/>
        </w:rPr>
        <w:t>[Pages 52–54]</w:t>
      </w:r>
    </w:p>
    <w:p>
      <w:r>
        <w:t>54 BULLETIN NO. 8 OF FEBRUARY 20, 2023</w:t>
      </w:r>
    </w:p>
    <w:p>
      <w:r>
        <w:t>for collection; in this case, the increase absorbs the late payment interest accrued during the same period.</w:t>
      </w:r>
    </w:p>
    <w:p>
      <w:r>
        <w:t>Immediate notification of the payment must be given to the Authority through the submission of documentation certifying the payment made.</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monetary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SECRETARY GENERAL THE PRESIDENT </w:t>
        <w:br/>
        <w:t>Guido Stazi Roberto Rustichelli</w:t>
      </w:r>
    </w:p>
    <w:p>
      <w:r>
        <w:t>BULLETIN NO. 8 OF FEBRUARY 20, 2023</w:t>
      </w:r>
    </w:p>
    <w:p>
      <w:r>
        <w:t xml:space="preserve">PS12343 - ARVAL/DELAY IN LONG-TERM RENTAL DELIVERY </w:t>
        <w:br/>
        <w:t xml:space="preserve">Provision No. 30478 </w:t>
        <w:br/>
        <w:t xml:space="preserve">THE COMPETITION AND MARKET AUTHORITY </w:t>
        <w:br/>
        <w:t xml:space="preserve">IN ITS MEETING of January 31, 2023; </w:t>
        <w:br/>
        <w:t xml:space="preserve">HEARD the Rapporteur, Professor Michele Ainis; </w:t>
        <w:br/>
        <w:t xml:space="preserve">VIEWED Part II, Title III, and Part III,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of September 13, 2022, by which the company Arval Service Lease Italia S.p.A. was informed of the initiation of the investigative procedure PS12343 for possible violation of Articles 20, 21, 22, 24 and 25, 49, paragraph 1, letters h) and v), 56 and 61 of the Consumer Code; </w:t>
        <w:br/>
        <w:t xml:space="preserve">VIEWED its provision of September 13, 2022, which ordered the inspection pursuant to Article 27, paragraphs 2 and 3, of the Consumer Code at the headquarters of the company Arval Service Lease Italia S.p.A.; </w:t>
        <w:br/>
        <w:t xml:space="preserve">VIEWED the communication received on October 31, 2022, as subsequently supplemented on November 29, 2022, by which the company Arval Service Lease Italia S.p.A. presented commitments pursuant to Article 27, paragraph 7, of the Consumer Code and Article 9 of the Regulation; </w:t>
        <w:br/>
        <w:t>VIEWED the documents of the procedure;</w:t>
      </w:r>
    </w:p>
    <w:p>
      <w:r>
        <w:t xml:space="preserve">I. THE PARTIES </w:t>
        <w:br/>
        <w:t xml:space="preserve">1. Arval Service Lease Italia S.p.A. (hereinafter also Arval), as a Professional, pursuant to Article 18, letter b), of the Consumer Code (hereinafter also "the Professional"), is a company active in the field of medium and long-term vehicle rental to individuals and professionals, as well as in the provision of related ancillary services. </w:t>
        <w:br/>
        <w:t xml:space="preserve">2. A.E.C.I. Aps, Codacons Emilia Romagna, and Codici – Centro Diritti per il Cittadino as consumer associations reporting. </w:t>
        <w:br/>
        <w:t>3. An individual consumer as a reporter.</w:t>
      </w:r>
    </w:p>
    <w:p>
      <w:r>
        <w:t xml:space="preserve">II. THE CONDUCTS SUBJECT TO THE PROCEDURE </w:t>
        <w:br/>
        <w:t xml:space="preserve">4. At the initiation of the procedure, the following practices were contested to the Professional: </w:t>
        <w:br/>
        <w:t xml:space="preserve">- (i) significant delays in the delivery of rented vehicles, even though they were indicated on the website as available for immediate delivery, or for which prompt delivery was promised, and despite the company having already charged its customers for the costs related to the conclusion of the contract (advance payments and security deposits); </w:t>
        <w:br/>
        <w:t xml:space="preserve">- (ii) the imposition on consumers of particularly high penalties and costs in the event of contract termination due to delays in vehicle delivery; </w:t>
        <w:br/>
        <w:t xml:space="preserve">- (iii) delayed/omitted reimbursement of the amount paid by the consumer following the cancellation or termination of the contract and/or withdrawal, as well as the failure or inadequate provision of post-sale assistance services regarding delivery issues and refund requests; </w:t>
        <w:br/>
        <w:t>- (iv) the omission in providing customers on its website with the standard form necessary to exercise the right of withdrawal and the indications regarding the possibility of using an extrajudicial dispute resolution mechanism, in violation of Article 49, paragraph 1, letters h) and v) of the Consumer Code.</w:t>
      </w:r>
    </w:p>
    <w:p>
      <w:r>
        <w:t xml:space="preserve">III. THE RESULTS OF THE PROCEDURE. THE PRESENTATION OF COMMITMENTS </w:t>
        <w:br/>
        <w:t xml:space="preserve">1) The course of the procedure </w:t>
        <w:br/>
        <w:t xml:space="preserve">5. Based on the information acquired for the application of the Consumer Code, on September 13, 2022, the company Arval was informed of the initiation of the investigative procedure PS123431. In this context, it was hypothesized that the aforementioned conduct of the company could constitute unfair commercial practices in violation of Articles 20, 21, 22, 24 and 25 of the Consumer Code, as well as Articles 49, paragraph 1, letters h) and v), 56 and 61 of the same Code, as they are contrary to professional diligence and potentially capable, on the one hand, of appreciably distorting the economic behavior of consumers in relation to long-term vehicle rental, and, on the other hand, of hindering the exercise of consumers' contractual rights. </w:t>
        <w:br/>
        <w:t xml:space="preserve">6. In order to acquire useful elements for assessing possible violations of the Consumer Code, inspections were conducted at the company's premises on September 15, 2022. </w:t>
        <w:br/>
        <w:t xml:space="preserve">7. On October 31, 2022, Arval sent the requested information in the communication initiating the procedure. Furthermore, the Professional sent information and memoranda on September 29, November 29, 2022, and December 22, 2022. </w:t>
        <w:br/>
        <w:t xml:space="preserve">8. Arval exercised the right of access to the documents of the procedure on October 4, November 4, and December 19, 2022. The company was heard in a hearing on November 15, 2022. </w:t>
        <w:br/>
        <w:t xml:space="preserve">9. The consumer involved in the procedure exercised the right of access to the documents on January 19, 2023. </w:t>
        <w:br/>
        <w:t xml:space="preserve">10. On October 31, 2022, Arval submitted a proposal for commitments, pursuant to Article 27, paragraph 7, of the Consumer Code and Article 9 of the Regulation, subsequently supplemented on November 29, 2022. </w:t>
        <w:br/>
        <w:t xml:space="preserve">11. On December 21, 2022, the date of conclusion of the investigative phase was communicated to the parties to the procedure pursuant to Article 16, paragraph 1, of the Regulation. </w:t>
        <w:br/>
        <w:t>1 Doc. No. 29 of the investigative file.</w:t>
      </w:r>
    </w:p>
    <w:p>
      <w:r>
        <w:rPr>
          <w:b/>
        </w:rPr>
        <w:t>[Pages 55–57]</w:t>
      </w:r>
    </w:p>
    <w:p>
      <w:r>
        <w:t>BULLETIN NO. 8 OF FEBRUARY 20, 2023 57</w:t>
      </w:r>
    </w:p>
    <w:p>
      <w:r>
        <w:t>12. On January 4, 2023, the opinion was requested from the Authority for Communications Guarantees (hereinafter, also AGCOM), pursuant to Article 27, paragraph 6, of Legislative Decree No. 206 of September 6, 2005.</w:t>
      </w:r>
    </w:p>
    <w:p>
      <w:r>
        <w:t>13. On January 31, 2023, the opinion of the Authority for Communications Guarantees was received.</w:t>
      </w:r>
    </w:p>
    <w:p>
      <w:r>
        <w:t>2) The elements acquired</w:t>
      </w:r>
    </w:p>
    <w:p>
      <w:r>
        <w:t>14. From the reports of consumers and consumer associations acquired in the case file, from the official survey conducted on August 18, 20222, and from the inspections carried out on September 15, 2022, it emerged that Arval, through its sales network and online via the company website www.arval.it, in the context of the offer of long-term rental vehicles to consumers and micro-enterprises, would have engaged in conduct in possible violation of the Consumer Code. Numerous reporters have, in fact, complained about the significant delays with which Arval would deliver the ordered vehicles to customers. Delivery would occur many months later than the proposed date, or the vehicles would not be delivered due to their unavailability. In particular, some reporters have complained of having entered into a long-term rental contract for vehicles indicated on the website as available for immediate delivery, or for which the sales agents of Arval promised prompt and certain delivery3. The Professional, after charging the costs related to the conclusion of the contract, including the security deposit and the advance rent, would have repeatedly postponed the initially indicated delivery date, forecasting delivery of the vehicle only many months after the order4. Furthermore, Arval's customer service would not have been able to provide certain information about the delivery date5.</w:t>
      </w:r>
    </w:p>
    <w:p>
      <w:r>
        <w:t>15. Some consumers reported that certain provisions of the General Conditions of Contract prepared by Arval, particularly those contained in Article 146, provide for the application of particularly high costs to the consumer in the event of contract termination, thus making it extremely burdensome for the consumer to rescind the contract even in the event of significant delays in delivery by the Professional.</w:t>
      </w:r>
    </w:p>
    <w:p>
      <w:r>
        <w:t>16. Consumers also complained about the lack of or inadequate after-sales assistance from Arval's customer service for resolving the issues encountered7, as well as the delays with which the Professional would reimburse the advances and amounts paid by consumers at the time of contract signing8.</w:t>
      </w:r>
    </w:p>
    <w:p>
      <w:r>
        <w:t>17. Finally, it was noted that the Professional fails to provide on the website www.arval.it certain mandatory pre-contractual information in distance contracts, regarding the conditions for exercising the right of withdrawal, as well as information regarding the possibility of utilizing an extrajudicial dispute resolution mechanism.</w:t>
      </w:r>
    </w:p>
    <w:p>
      <w:r>
        <w:t>3) The commitments of the Professional</w:t>
      </w:r>
    </w:p>
    <w:p>
      <w:r>
        <w:t>18. The commitments presented by Arval on October 31, 2022, and in their consolidated version on November 29, 20229, pursuant to Article 27, paragraph 7, of the Consumer Code and Article 9 of the Regulation – which are attached to this provision and constitute an integral part thereof – provide for the adoption of the following measures.</w:t>
      </w:r>
    </w:p>
    <w:p>
      <w:r>
        <w:t>Commitment No. 1</w:t>
      </w:r>
    </w:p>
    <w:p>
      <w:r>
        <w:t>19. Arval commits to include on its website a page aimed at illustrating to users the functioning of the sales process of its long-term rental services. In particular, Arval will include on the "Customer Assistance" page, accessible from the homepage, the wording "For more information on Arval's rental service and delivery times click here," which redirects the user to a landing page where more details are provided regarding the Professional's business model and the various phases of the sales process of long-term rental services. On the same page, the company will explain to the customer the methods and timing with which the first delivery date is determined, the possibility that it may vary due to supplier needs and in light of the relevant market context, the monitoring systems, and the ways in which any updates will be communicated to customers. The aforementioned information regarding delivery times will be provided – in addition to the Company's website – also in the email with which the contractual documentation is sent to the customer. Furthermore, Arval will communicate to the customer any delay in the acceptance of the order by the supplier that exceeds 30 days from the moment the order was placed.</w:t>
      </w:r>
    </w:p>
    <w:p>
      <w:r>
        <w:t>20. Arval will implement Commitment 1 within a maximum period of 2 months from the notification of the acceptance of the commitments.</w:t>
      </w:r>
    </w:p>
    <w:p>
      <w:r>
        <w:t>Commitment No. 2</w:t>
      </w:r>
    </w:p>
    <w:p>
      <w:r>
        <w:t>21. Arval commits to advertise as "available for immediate delivery" only the vehicles that are already registered and present in the yards of the logistics carriers appointed by the company or of the affiliated dealers, so as to be certain that they can be delivered within the timeframe advertised on its website (generally, 45 days). This timeframe will start from the receipt of the customer's order, complete with all the completed and signed documentation.</w:t>
      </w:r>
    </w:p>
    <w:p>
      <w:r>
        <w:t>22. Arval will implement Commitment 2 within a period of 1 month from the notification of the acceptance of the commitments.</w:t>
      </w:r>
    </w:p>
    <w:p>
      <w:r>
        <w:t>Commitments No. 3 and No. 4</w:t>
      </w:r>
    </w:p>
    <w:p>
      <w:r>
        <w:t>23. Arval commits to modify its General Conditions of Contract, providing that: 1) the payment of any amounts as an advance and deposit occurs only after the acceptance of the order by the company and, therefore, once the contract between the parties is concluded; 2) in the event that the customer decides to terminate the contract early, such amounts will be refunded within a maximum period of 30 days. In the case of exercising the right of withdrawal pursuant to Article 52 of the Consumer Code, however, Arval's obligation to refund customers the amounts paid as an advance and/or deposit within 14 days from the request remains firm10.</w:t>
      </w:r>
    </w:p>
    <w:p>
      <w:r>
        <w:t>24. Furthermore, Arval commits to provide the customer with the right to terminate/withdraw free of charge, in the event that: i) the delivery date of the vehicle advertised as "available for immediate delivery" is postponed – regardless of the extent of the delay – and the customer has not accepted a commercial and/or alternative mobility solution that provides for a new delivery date; ii) the delivery of the vehicle, outside the cases of "immediate delivery," is postponed by more than 60 days from the expected delivery date indicated in the contract and the customer has not accepted a commercial and/or alternative mobility solution that provides for a new delivery date; iii) the delivery date of the vehicle has been postponed more than once – regardless of the extent of the delay – and the customer has not accepted a commercial and/or alternative mobility solution that provides for a new delivery date.</w:t>
      </w:r>
    </w:p>
    <w:p>
      <w:r>
        <w:t>25. In order to avoid that the uncertainty related to the customer's willingness to confirm or not the order lasts too long, the right to withdraw from the contract may be exercised – by sending the withdrawal form – within 30 days from the communication of the update of the delivery date. Furthermore, Arval commits, for all contracts signed before the modification of the General Conditions of Contract, to recognize the right of free withdrawal to all customers who find themselves in one of the situations referred to in the previous points (i), (ii), (iii). With reference to the case sub (ii), Arval specifies that the customer may terminate the contract free of charge in the event that the delivery date of the vehicle is postponed by more than 30 days and the customer has not accepted a commercial and/or alternative mobility solution with a new delivery date.</w:t>
      </w:r>
    </w:p>
    <w:p>
      <w:r>
        <w:t>26. Arval will implement Commitments 3 and 4 within a maximum period of 3 months from the notification of the acceptance of the commitments.</w:t>
      </w:r>
    </w:p>
    <w:p>
      <w:r>
        <w:t>Commitment No. 5</w:t>
      </w:r>
    </w:p>
    <w:p>
      <w:r>
        <w:t>27. Arval commits to provide in the General Conditions of Contract the right of withdrawal also for the micro-enterprise customer within 14 days following the acceptance of the contract by Arval. In this way, if the delivery date indicated at the acceptance of the contract is not satisfactory to the customer, they will have the option to free themselves from the contractual obligation without any burden.</w:t>
      </w:r>
    </w:p>
    <w:p>
      <w:r>
        <w:t>10 The exercise by Arval of any right of total or partial compensation remains reserved, while respecting the limits of Commitment 3.</w:t>
      </w:r>
    </w:p>
    <w:p>
      <w:r>
        <w:rPr>
          <w:b/>
        </w:rPr>
        <w:t>[Pages 58–60]</w:t>
      </w:r>
    </w:p>
    <w:p>
      <w:r>
        <w:t>60 BULLETIN NO. 8 OF FEBRUARY 20, 2023</w:t>
      </w:r>
    </w:p>
    <w:p>
      <w:r>
        <w:t>28. For the same reasons indicated with reference to commitments 3 and 4, Arval undertakes to implement commitment 5 within 3 months from the notification of the decision accepting the commitments.</w:t>
      </w:r>
    </w:p>
    <w:p>
      <w:r>
        <w:t>Commitment No. 6</w:t>
      </w:r>
    </w:p>
    <w:p>
      <w:r>
        <w:t>29. With reference to rental orders received between January 1, 2021, and September 15, 2022, Arval undertakes to: (i) refund all amounts charged as a cancellation fee to consumers/micro-enterprises that have prematurely terminated the long-term rental contract due to delay or non-delivery, also paying an amount of €200; (ii) pay an amount of €250 to all consumers/micro-enterprises that have experienced a delivery delay of between 61 and 100 days; (iii) pay an amount equal to one rental fee to all consumers/micro-enterprises that have experienced a delivery delay of more than 100 days; (iv) pay an amount of €200 also to consumers/micro-enterprises that have received refunds of advances and deposits after (i) 30 days from the exercise of the right of withdrawal from the contract and (ii) 14 days if the withdrawal was exercised pursuant to Article 52 of the Consumer Code.</w:t>
      </w:r>
    </w:p>
    <w:p>
      <w:r>
        <w:t>30. Arval specifies that the measure described in commitment 6 point (iv) will also apply to orders placed after September 15, 2022, and until the date of implementation of Commitment No. 3, whereby Arval undertakes to refund the amounts received within a maximum period of 30 days, unless the 14-day period provided for by Article 52 of the Consumer Code applies. The above-described measures will not apply in any case to those customers who have already benefited or who may benefit from alternative solutions (e.g., replacement vehicle or commercial goodwill) or have reached a settlement with Arval.</w:t>
      </w:r>
    </w:p>
    <w:p>
      <w:r>
        <w:t>31. Arval will implement commitment 6 within a maximum period of 2 months from the notification of the decision accepting the commitments.</w:t>
      </w:r>
    </w:p>
    <w:p>
      <w:r>
        <w:t>Commitment No. 7</w:t>
      </w:r>
    </w:p>
    <w:p>
      <w:r>
        <w:t>32. Arval undertakes (i) to provide a more timely and effective management of customer communication and assistance flow. In particular, the company will strengthen its structure dedicated to managing post-sale assistance requests by creating a team dedicated to those who have placed a rental order and are waiting to receive the vehicle, to provide the necessary assistance during this phase of the sales process and respond to any requests for information regarding the status of the order. This team will consist of at least [1 – 20]* resources, will be specifically trained to respond comprehensively and exhaustively to all requests received, and will be available to customers from Monday to Thursday (between 9:00 AM and 6:00 PM) and Friday (between 9:00 AM and 5:00 PM). Outside of these hours, an automatic response system will still be active that will inform the customer of the time slots in which they can contact customer assistance.</w:t>
      </w:r>
    </w:p>
    <w:p>
      <w:r>
        <w:t>33. Arval undertakes to ensure during the indicated time slots a response rate to customer calls of [80% - 100%].</w:t>
      </w:r>
    </w:p>
    <w:p>
      <w:r>
        <w:t>* In this version, some data are omitted, as elements of confidentiality or secrecy of the information were deemed to exist.</w:t>
      </w:r>
    </w:p>
    <w:p>
      <w:r>
        <w:t>BULLETIN NO. 8 OF FEBRUARY 20, 2023</w:t>
      </w:r>
    </w:p>
    <w:p>
      <w:r>
        <w:t>34. Arval also undertakes (ii) to improve the complaint management process, through the identification of a dedicated team that will operate uniformly and in compliance with process levels, use of tools, and proposals for solutions to customers. In particular, the team must ensure that – within 15 working days from the submission of the complaint – at least [80% - 100%] of the complaining customers receive feedback from Arval and a first proposal for solving the raised issue. The team will be adequately trained to ensure comprehensive assistance to Arval's customers, with particular attention to the various phases of the sales process. The management system will be configured to channel complaints to these specialists based on category and commercial channel of origin, and, in order to ensure the quality of responses to be given to the customer, the most recurring cases of complaints will be identified and standardized response texts will be defined where possible. A third function, namely the central Customer Care, will oversee the correct application of these rules and monitor the progress of complaints, in order to record their number and identify the most recurring cases. Based on this analysis, a quarterly report will be prepared and then shared with the relevant functions to identify appropriate corrective actions.</w:t>
      </w:r>
    </w:p>
    <w:p>
      <w:r>
        <w:t>35. Arval undertakes to implement:</w:t>
        <w:br/>
        <w:t>- Commitment No. 7 (i) within a maximum period of 2 months from the notification of the decision accepting the commitments;</w:t>
        <w:br/>
        <w:t>- Commitment No. 7 (ii) within a maximum period of 3 months from the notification of the decision accepting the commitments.</w:t>
      </w:r>
    </w:p>
    <w:p>
      <w:r>
        <w:t>Commitment No. 8</w:t>
      </w:r>
    </w:p>
    <w:p>
      <w:r>
        <w:t>36. Arval undertakes to strengthen and implement the training program for all functions that, during the sales process and in the post-sale assistance phase, come into contact with the customer, and to modulate the reward mechanisms linking them to their performance and the "quality" of the process.</w:t>
      </w:r>
    </w:p>
    <w:p>
      <w:r>
        <w:t>37. Arval will implement commitment 8 within a maximum period of 3 months from the notification of the decision accepting the commitments.</w:t>
      </w:r>
    </w:p>
    <w:p>
      <w:r>
        <w:t>Commitment No. 9</w:t>
      </w:r>
    </w:p>
    <w:p>
      <w:r>
        <w:t>38. Arval undertakes to carry out semi-annual mystery shopping activities to identify any discrepancies in the sales process (with respect, for example, to service characteristics, delivery times, etc.) and adopt appropriate corrective measures. Specifically, the company has provided for an external professional to carry out, on a semi-annual basis, simulations aimed at verifying the correct functioning of the sales process and providing a detailed analysis of the results obtained.</w:t>
      </w:r>
    </w:p>
    <w:p>
      <w:r>
        <w:t>39. Arval will implement commitment 9 within a maximum period of 3 months from the notification of the decision accepting the commitments. Arval specifies, in this regard, that the estimated time takes into account the fact that the execution of the actions referred to in commitment 8 is a necessary and preparatory condition for the execution of semi-annual mystery shopping.</w:t>
      </w:r>
    </w:p>
    <w:p>
      <w:r>
        <w:t>Commitment No. 10</w:t>
      </w:r>
    </w:p>
    <w:p>
      <w:r>
        <w:t>40. Finally, Arval undertakes to include on the "Customer Assistance" page of its website, accessible from the homepage, (i) a link that redirects to a page containing clear and transparent information regarding the methods of exercising the right of withdrawal and the related form, which is currently already attached to the General Terms and Conditions of Contract, and (ii) a link that redirects to the EU ODR platform aimed at providing the customer with the possibility of using an extrajudicial dispute resolution mechanism.</w:t>
      </w:r>
    </w:p>
    <w:p>
      <w:r>
        <w:t>41. Arval will implement commitment 10 within a maximum period of one month from the notification of the decision accepting the commitments.</w:t>
      </w:r>
    </w:p>
    <w:p>
      <w:r>
        <w:t>IV. OPINION OF THE AUTHORITY FOR GUARANTEES IN COMMUNICATIONS</w:t>
      </w:r>
    </w:p>
    <w:p>
      <w:r>
        <w:t>42. Since the commercial practice subject to this provision has also been disseminated via the internet, on January 4, 2022, the opinion was requested from the Authority for Guarantees in Communications, pursuant to Article 27, paragraph 6, of the Consumer Code.</w:t>
      </w:r>
    </w:p>
    <w:p>
      <w:r>
        <w:t>43. In an opinion received on January 31, 2023, the aforementioned Authority expressed its opinion considering that, in this case, the internet is a suitable tool to significantly influence the realization of the practice in question. This is because the communication medium used, in relation to the service provided by the Professional, is overall suitable to have a significant impact on consumers who, based on the information on the Professional's website, could be induced to make a commercial decision that they would not otherwise have made, thus demonstrating the full promotional potential of online communication.</w:t>
      </w:r>
    </w:p>
    <w:p>
      <w:r>
        <w:t>V. EVALUATION OF THE COMMITMENTS</w:t>
      </w:r>
    </w:p>
    <w:p>
      <w:r>
        <w:t>44. The Authority believes that the commitments presented by the Professional are suitable to remedy the profiles of possible unfairness identified with the communication of the initiation of the proceeding. In fact, in the context of the activity carried out by the Professional conditioned by the increase in delivery times due to the critical issues in the automotive sector, the proposed commitments affect the transparency of information and ensure the exercise of the right of withdrawal and termination of the contract without costs for consumers in the event of delays in the delivery of vehicles, also providing forms of compensation for consumers penalized by the Professional's conduct.</w:t>
      </w:r>
    </w:p>
    <w:p>
      <w:r>
        <w:t>45. In this perspective, Arval undertakes to integrate the information set made available to consumers. The measures proposed in commitments 1 and 2, in fact, appear to provide a detailed description of the sales process of long-term rental services, explaining how the delivery date is determined based on the information received from suppliers and how this is constantly monitored by the company. Furthermore, the company undertakes to adopt internal processes suitable to ensure that vehicles advertised as "immediately available" are already in the immediate availability of the company.</w:t>
      </w:r>
    </w:p>
    <w:p>
      <w:r>
        <w:t>46. Therefore, commitments 1 and 2, by providing clear and complete information, remove the risk of misleading and/or omissions regarding the delivery date of vehicles and any delays in their delivery, which are determining elements for consumers' purchasing decisions.</w:t>
      </w:r>
    </w:p>
    <w:p>
      <w:r>
        <w:t>47. In the same vein, commitments 3, 4, 5, and 6 appear suitable to remove the profiles regarding the alleged obstacles posed by the Professional to the exercise of the right of withdrawal and termination of the contract. These are provisions to protect the contractual rights of consumers that complement the informational commitments.</w:t>
      </w:r>
    </w:p>
    <w:p>
      <w:r>
        <w:rPr>
          <w:b/>
        </w:rPr>
        <w:t>[Pages 61–63]</w:t>
      </w:r>
    </w:p>
    <w:p>
      <w:r>
        <w:t>BULLETIN NO. 8 OF FEBRUARY 20, 2023</w:t>
      </w:r>
    </w:p>
    <w:p>
      <w:r>
        <w:t>48. With commitment no. 3, it is provided in the General Conditions of Contract that the customer pays the amounts due as an advance or deposit, no longer at the time of placing the order but only following its acceptance by Arval, thus ensuring that the amounts are bound only after the formal conclusion of the contract. Furthermore, it is provided that, in the event that the customer terminates the contract early, the advances or deposits shall be refunded within a maximum period of 30 days, allowing them to regain access to the amounts in a timely and swift manner, while the legal obligation to refund the amounts paid as an advance within 14 days from the customer's withdrawal remains unchanged.</w:t>
      </w:r>
    </w:p>
    <w:p>
      <w:r>
        <w:t>49. With commitment no. 4, the General Conditions of Contract are modified in such a way as to allow customers to terminate the contract free of charge in the event that they have experienced a delay in delivery according to the criteria highlighted above. These commitments modify the current contractual conditions that allowed for the termination of the contract only upon payment of particularly burdensome penalties. Customers now have the option to free themselves from the contractual obligation without penalties in the event of a delay in the delivery of the vehicle.</w:t>
      </w:r>
    </w:p>
    <w:p>
      <w:r>
        <w:t>50. Particularly commendable is commitment no. 5, which extends to micro-enterprises the possibility, recognized by law to consumers, to exercise the right of reconsideration within 14 days from the conclusion of the contract, so that they can free themselves without any burden from the contractual obligation if the delivery date indicated upon acceptance of the contract by Arval is not to their liking.</w:t>
      </w:r>
    </w:p>
    <w:p>
      <w:r>
        <w:t>51. Commitment no. 6 guarantees a form of economic compensation to customers who have experienced a service disruption related to the timing of refunds of amounts paid as advances and deposits, delays in the delivery of the vehicle, or who have had to pay amounts and penalties for early termination of the contract due to delayed or failed delivery. The scope of application of the measures referred to in points (i), (ii), and (iii) of Commitment no. 6 relates to rental orders received between January 1, 2021, and September 15, 2022. In fact, as provided in Commitment no. 4, customers who placed an order after September 15, 2022, and before the modification of the General Conditions of Contract provided by this commitment, are recognized by Arval the option to choose whether to withdraw from the contract free of charge or to maintain the vehicle order. Moreover, through the commitment referred to in point iv) of Commitment no. 6, Arval commits to pay an amount of 200 euros also to consumers/micro-enterprises who placed orders after September 15 and experienced a delay of more than 30 days in the refund of advances and deposits. This measure will apply to orders placed until the date of implementation of measure no. 3, with which Arval commits to refund the amounts received within a maximum of 30 days.</w:t>
      </w:r>
    </w:p>
    <w:p>
      <w:r>
        <w:t>52. Arval has highlighted that the execution of commitment no. 6 will concern approximately [6,000 – 10,000] customers for a total value of approximately [2,500,000 – 4,000,000] euros.</w:t>
      </w:r>
    </w:p>
    <w:p>
      <w:r>
        <w:t>53. Commitments no. 7, 8, and 9 are aimed - through improvements in customer care, training for employees dedicated to customer assistance, reward mechanisms, and controls through mystery shopping - at ensuring customers an efficient after-sales assistance service and are therefore suitable to overcome the complaints raised in the communication of the initiation of the investigation regarding the inadequate provision of after-sales assistance services by the Professional.</w:t>
      </w:r>
    </w:p>
    <w:p>
      <w:r>
        <w:t>54. Finally, through commitment no. 10, the company will make available directly on its website clear information regarding the methods of exercising the right of withdrawal and the standard form necessary for this purpose, as well as the specific link to the EU ODR platform aimed at providing the customer with the possibility of using an extrajudicial dispute resolution mechanism.</w:t>
      </w:r>
    </w:p>
    <w:p>
      <w:r>
        <w:t>55. Regarding the implementation times of the proposed measures, which vary from one to three months from the communication of the decision to accept the commitments, they appear to be entirely appropriate in relation to the scope of the proposed commitments, as well as in line with the Authority's precedents.</w:t>
      </w:r>
    </w:p>
    <w:p>
      <w:r>
        <w:t>56. The commitments described above, considered as a whole, are such as to remedy the possible unfairness profiles referred to in the communication of the initiation of the procedure.</w:t>
      </w:r>
    </w:p>
    <w:p>
      <w:r>
        <w:t>57. In light of the above considerations, it is believed that the commitments presented meet the requirements set forth in Article 27, paragraph 7, of the Consumer Code.</w:t>
      </w:r>
    </w:p>
    <w:p>
      <w:r>
        <w:t>CONSIDERING, therefore, that the commitments presented by Arval Service Lease Italia S.p.A., in the terms outlined above, are suitable to eliminate the possible profiles of unfairness of the commercial practice subject to investigation;</w:t>
      </w:r>
    </w:p>
    <w:p>
      <w:r>
        <w:t>CONSIDERING to make the aforementioned commitments mandatory for Arval Service Lease Italia S.p.A.;</w:t>
      </w:r>
    </w:p>
    <w:p>
      <w:r>
        <w:t>CONSIDERING, therefore, that it is possible to close the proceeding without ascertaining the infringement;</w:t>
      </w:r>
    </w:p>
    <w:p>
      <w:r>
        <w:t>RESOLVES</w:t>
      </w:r>
    </w:p>
    <w:p>
      <w:r>
        <w:t>a) to make mandatory, for Arval Service Lease Italia S.p.A., pursuant to Article 27, paragraph 7, of the Consumer Code and Article 9, paragraph 2, letter a), of the Regulation, the commitments proposed by the same company on October 31, 2022, as supplemented on November 29, 2022, and attached to this provision, which constitute an integral part thereof;</w:t>
      </w:r>
    </w:p>
    <w:p>
      <w:r>
        <w:t>b) to close the proceeding without ascertaining the infringement, pursuant to Article 27, paragraph 7, of the Consumer Code and Article 9, paragraph 2, letter a), of the Regulation;</w:t>
      </w:r>
    </w:p>
    <w:p>
      <w:r>
        <w:t>c) that Arval Service Lease Italia S.p.A., within ninety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monetary sanction from 10,000 to 5,000,000 euros.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64–66]</w:t>
      </w:r>
    </w:p>
    <w:p>
      <w:r>
        <w:t>66 BULLETIN NO. 8 OF FEBRUARY 20, 2023</w:t>
      </w:r>
    </w:p>
    <w:p>
      <w:r>
        <w:t>PS12351 - ESTENERGY - ECONOMIC CONDITIONS OF COMMERCIAL OFFER</w:t>
      </w:r>
    </w:p>
    <w:p>
      <w:r>
        <w:t>Provision No. 30479</w:t>
      </w:r>
    </w:p>
    <w:p>
      <w:r>
        <w:t>THE ANTITRUST AUTHORITY</w:t>
      </w:r>
    </w:p>
    <w:p>
      <w:r>
        <w:t>IN ITS MEETING of January 31,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July 5, 2022, by which the company EstEnergy S.p.A. was informed of the initiation of the investigative procedure PS12351 for possible violation of Articles 20, 21, and 22 of the Consumer Code;</w:t>
      </w:r>
    </w:p>
    <w:p>
      <w:r>
        <w:t>HAVING REGARD to its provision of July 7, 2022, which ordered the inspection pursuant to Article 27, paragraphs 2 and 3, of the Consumer Code at the headquarters of the company EstEnergy S.p.A.;</w:t>
      </w:r>
    </w:p>
    <w:p>
      <w:r>
        <w:t>HAVING REGARD to its provision of November 2, 2022, by which, pursuant to Article 7, paragraph 3, of the Regulation, an extension of the deadline for concluding the procedure was ordered, for specific investigative needs;</w:t>
      </w:r>
    </w:p>
    <w:p>
      <w:r>
        <w:t>HAVING REGARD to the documents of the procedure;</w:t>
      </w:r>
    </w:p>
    <w:p>
      <w:r>
        <w:t>I. THE PARTIES</w:t>
      </w:r>
    </w:p>
    <w:p>
      <w:r>
        <w:t>1. The company EstEnergy S.p.A. (hereinafter also "EstEnergy", the Company or the Professional), belonging to the Hera Group, which operates in the retail sale of electricity and natural gas, as a professional, pursuant to Article 18, letter b), of the Consumer Code. The Company's balance sheet, relating to the fiscal year closed on December 31, 2021, shows revenues of approximately 380 million euros.</w:t>
      </w:r>
    </w:p>
    <w:p>
      <w:r>
        <w:t>2. The consumer associations Federconsumatori (territorial sections of Udine and Pordenone), Adiconsum (sections of Padua - Rovigo and Friuli Venezia Giulia), and CO.DI.CI. Onlus, as complainants.</w:t>
      </w:r>
    </w:p>
    <w:p>
      <w:r>
        <w:t>II. THE COMMERCIAL PRACTICE</w:t>
      </w:r>
    </w:p>
    <w:p>
      <w:r>
        <w:t>3. The procedure concerns the conduct carried out by EstEnergy regarding the economic conditions for the supply of gas and electricity services. In particular, on September 28, 2021, EstEnergy sent to its customers - via email1, through the reserved area of the website2, or attached to the bills for the two-month period of October-November 2021 - a "Service Communication regarding its supply" (hereinafter also "Fixed Price Communication") in which it congratulated the customer for choosing a fixed-price offer and invited them to beware of alternative offers made by competing operators3. The Fixed Price Communication was characterized by reassuring content regarding the fact that EstEnergy's offer would not be affected by market fluctuations as it was based on a fixed price. In the case of many users, however, the economic conditions were at a variable indexed price or would soon become so.</w:t>
      </w:r>
    </w:p>
    <w:p>
      <w:r>
        <w:t>III. THE OUTCOMES OF THE PROCEDURE</w:t>
      </w:r>
    </w:p>
    <w:p>
      <w:r>
        <w:t>1) The procedure process</w:t>
      </w:r>
    </w:p>
    <w:p>
      <w:r>
        <w:t>4. Based on the complaints received4, on July 5, 2022, the Professional was informed of the initiation of the investigative procedure PS12351 for possible violation of Articles 20, 21, and 22 of the Consumer Code. At the same time, the Authority ordered an inspection at the headquarters of EstEnergy, carried out on July 7, 2022, and a request for information was made to the Professional.</w:t>
      </w:r>
    </w:p>
    <w:p>
      <w:r>
        <w:t>5. On August 4, 2022, a first defensive memorandum from the Professional was received, along with the information requested in the communication initiating the procedure5, subsequently supplemented on September 2, 2022.</w:t>
      </w:r>
    </w:p>
    <w:p>
      <w:r>
        <w:t>6. On August 4, 2022, EstEnergy submitted a definitive proposal for commitments6.</w:t>
      </w:r>
    </w:p>
    <w:p>
      <w:r>
        <w:t>7. On September 24, 2022, a request for participation in the investigative procedure7 was received from the consumer association CO.DI.CI., the acceptance of which was communicated to the parties on the following July 25.</w:t>
      </w:r>
    </w:p>
    <w:p>
      <w:r>
        <w:t>8. On September 7, 2022, the Company was informed of the rejection of the proposal for commitments, decided by the Authority on September 6, 20228.</w:t>
      </w:r>
    </w:p>
    <w:p>
      <w:r>
        <w:t>9. On July 22, 2022, October 19, 2022, and November 7, 2022, the company EstEnergy accessed the file and extracted the documentation contained therein.</w:t>
      </w:r>
    </w:p>
    <w:p>
      <w:r>
        <w:t>10. On October 21, 2022, EstEnergy submitted an additional defensive memorandum and a request for an extension of the deadline for concluding the procedure9, which was accepted by the Authority with a decision of November 3, 202210.</w:t>
      </w:r>
    </w:p>
    <w:p>
      <w:r>
        <w:t>11. On November 4, 2022, pursuant to Article 16, paragraph 1 of the Regulation, the deadline for concluding the investigative phase of the present procedure11 was communicated to EstEnergy.</w:t>
      </w:r>
    </w:p>
    <w:p>
      <w:r>
        <w:t>12. The concluding memorandum of EstEnergy was received on November 25, 202212.</w:t>
      </w:r>
    </w:p>
    <w:p>
      <w:r>
        <w:t>13. On November 28, 2022, opinions were requested pursuant to Article 27, paragraph 1-bis, of the Consumer Code, from the Authority for Communications Guarantees (hereinafter also AGCOM)13 and from the Regulatory Authority for Energy, Networks and Environment (hereinafter also ARERA)14. The opinions were both received on December 28, 202215.</w:t>
      </w:r>
    </w:p>
    <w:p>
      <w:r>
        <w:t>2) The evidence acquired</w:t>
      </w:r>
    </w:p>
    <w:p>
      <w:r>
        <w:t>14. Based on the evidence acquired during the investigation16 and the documentation obtained during the inspection,17 it emerged that the Professional, on September 28, 2021, sent to its customers - via email18, with notification in the reserved area of the website, or attached to the paper bills for the two-month period of October-November 2021 - a "Service Communication regarding its supply" (hereinafter also Fixed Price Communication). Specifically, in this Communication, the Company congratulated the customer for choosing a fixed-price offer and invited them to beware of alternative offers made by competing operators, claiming that EstEnergy's offer would not be affected by market fluctuations, as it was based on a fixed price.</w:t>
      </w:r>
    </w:p>
    <w:p>
      <w:r>
        <w:t>15. It should be noted that the customer base of EstEnergy's free market was, in the second half of 2021, approximately [300,000-400,000]* POD/PDR and was distributed as follows:</w:t>
        <w:br/>
        <w:t>a) [60,000-70,000] POD/PDR related to customers with a variable price contract;</w:t>
      </w:r>
    </w:p>
    <w:p>
      <w:r>
        <w:t>* In this version, some data are omitted, as elements of confidentiality or secrecy of the information were deemed to exist.</w:t>
      </w:r>
    </w:p>
    <w:p>
      <w:r>
        <w:rPr>
          <w:b/>
        </w:rPr>
        <w:t>[Pages 67–69]</w:t>
      </w:r>
    </w:p>
    <w:p>
      <w:r>
        <w:t>BULLETIN NO. 8 OF FEBRUARY 20, 2023 69</w:t>
      </w:r>
    </w:p>
    <w:p>
      <w:r>
        <w:t>b) [60,000-70,000] POD/PDR related to customers with a fixed-price contract for a certain period of time (no longer active at the time of sending the message) and subsequently at a variable price;</w:t>
      </w:r>
    </w:p>
    <w:p>
      <w:r>
        <w:t>c) [150,000-200,000] POD/PDR related to customers with a fixed-price contract valid for a certain period of time subsequently renewable at a variable price, with the fixed price still active at the time of sending the message.</w:t>
      </w:r>
    </w:p>
    <w:p>
      <w:r>
        <w:t>16. According to what emerged during the proceeding, the aforementioned Communication was sent to customers holding [30,000-40,000] POD/PDR, for whom the fixed-price offer, signed in the past, was no longer valid, as the validity period of the locked price had already expired.</w:t>
      </w:r>
    </w:p>
    <w:p>
      <w:r>
        <w:t>17. From the documentation found during the inspection, it emerged that as early as October 4, 2021, just a few days after the sending of the fixed-price Communication, EstEnergy was aware that the aforementioned Communication had been erroneously sent to customers who were already receiving gas and electricity services at a variable price, following the expiration of the fixed-price offer. This is particularly evident from the messages exchanged between the Customer Care managers of EstEnergy, dated October 4, 2021, which reported errors found in the list of recipients of the same Communication and the problem of having to justify the error made to the affected customers19. Awareness of the conduct emerges in other documents, such as an internal message at EstEnergy dated October 27, 2021, which highlights that the fixed-price Communication had been sent, among others, to a customer whose offer “New Idea Hera Home Light 30 months” had already “slipped” to a variable price20.</w:t>
      </w:r>
    </w:p>
    <w:p>
      <w:r>
        <w:t>18. Following numerous complaints from customers who received the fixed-price Communication21, the Company, as highlighted in the messages of January 13, 2022, between the managers of the various units of EstEnergy22, instead of correcting the content of that Communication, had prepared a standard response with generic content in which it attributed the erroneous sending of the Communication to a mere “typo.” In particular, the content of the responses provided to users was as follows: “The above-mentioned economic conditions were valid for the duration of the offer, unless otherwise communicated by the supplier in writing, in the manner and within the timeframes indicated in the general contract conditions. In the absence of such communication, starting from the month following the end of the chosen duration, the price of gas, covering the variable consideration related to wholesale marketing, will vary monthly based on the values of the natural gas cost in the wholesale market “TTF” and the price of the energy component will vary monthly based on the values assumed by the “PUN parameter” (National Single Price of energy)19.</w:t>
      </w:r>
    </w:p>
    <w:p>
      <w:r>
        <w:t>19. Similarly, regarding the notice published on the reserved page of the website, the Professional justified himself in the following terms: “We apologize for the pop-up present on the site and app, due to a typo, which caused this information to be sent for both gas contracts and electricity contracts”23.</w:t>
      </w:r>
    </w:p>
    <w:p>
      <w:r>
        <w:t>20. In other cases, EstEnergy attributed the same error to a computer mishap, specifying: “As for the communication you received on 28/09/2021 regarding the fixed-price offer, we inform you that it was sent in error due to a computer mishap”24; or “We apologize for the communication received in November due to a computer error”25.</w:t>
      </w:r>
    </w:p>
    <w:p>
      <w:r>
        <w:t>21. Finally, in the responses to complaints, the Professional informed customers about the possibility of initiating “extrajudicial dispute resolution procedures” through the ARERA Conciliation Service, or to withdraw from the existing contract at any time and without charges26.</w:t>
      </w:r>
    </w:p>
    <w:p>
      <w:r>
        <w:t>22. According to what emerged from the inspection documentation, moreover, the assistance service did not provide uniform information to users who contested the content of the Communication sent to them erroneously. For example, in the case of a customer who, in February 2022, requested information about the conditions applied regarding his supply contract, the customer service, reachable via the toll-free number, responded that the fixed price was valid until March 2022 and, therefore, there was a billing error in the last bill received27; the same customer was then sent a written response to the complaint in which, conversely, it was stated that the fixed-price offer had expired respectively in July 2020 for gas and in March 2021 for electricity and that, therefore, the billing was correct; furthermore, regarding the communication of September 2021, it was stated that “unfortunately the communication you received in September was due to a computer error that we were unable to avoid and prevent from being sent”28. A similar case involved a customer who, after visiting EstEnergy's offices in February 2022 and receiving information that the price related to his offer was fixed and equal to 0.30 €/mc, complained of receiving a bill in which a variable gas price of 1.50 €/mc was charged29. In response to this complaint, the Professional apologized for the incident, deemed to be of an exceptional nature.</w:t>
      </w:r>
    </w:p>
    <w:p>
      <w:r>
        <w:t>23. From the inspection documentation, it also emerges that, starting from April 20, 2022, in light of numerous complaints from users and some consumer associations (Adiconsum and Federconsumatori) regarding the failure to send a corrective communication to all consumers about the inaccuracy of the fixed-price Communication, EstEnergy was questioning what type of response to provide to the reporters30. In particular, the managers of the Customer Care service of EstEnergy were wondering whether, in addition to apologizing for the erroneous message, it would be appropriate to grant compensation to the customer or whether compensation should only be recognized in the event of a possible escalation of the disputes.</w:t>
      </w:r>
    </w:p>
    <w:p>
      <w:r>
        <w:t>24. On May 6, 2022, the managers of EstEnergy were asking whether it was appropriate to maintain “the same standard response profile” or whether it would be preferable to “respond accurately.” The choice made by EstEnergy appears to have been not to change the response line, considering that “as time goes by, the objection regarding misleading conduct weakens”31.</w:t>
      </w:r>
    </w:p>
    <w:p>
      <w:r>
        <w:t>25. Approximately seven months after acknowledging the causes of the technical mishap, it appears from the evidence on file that EstEnergy included, starting from May 20, 2022, the following message in the bill: “We inform you that your currently active offer provides for the application of a raw material price aligned with the prices of electricity/gas that are formed in the wholesale markets. The raw material price thus determined will therefore vary every month in line with market trends. (…)”.</w:t>
      </w:r>
    </w:p>
    <w:p>
      <w:r>
        <w:t>26. Finally, according to what is reported in the response to the Consumer Desk on May 31, 202232, the Company decided to suspend, starting from October 28, 2021, the sending of the Communication in the bills being issued33. Starting from December 1, 2022, EstEnergy recognized 10 euros for each POD/PDR to customers holding contracts that switched from fixed price to variable price between January 1 and October 1, 2021. The scope of recipients of the compensation recognized by EstEnergy includes [20,000-25,000] POD/PDR34. In particular, the letters to inform customers of the technical mishap, the applicable conditions to the contract, and the related economic bonus were sent on November 11, 2022, differentiating the communication between holders of “terminated” and “active” contracts; the billing process for the bonus was initiated on November 28, 2022, recognizing to still active customers a corresponding credit in the bill issued after December 1, 2022; while for terminated customers, the provision of the bonus is planned.</w:t>
      </w:r>
    </w:p>
    <w:p>
      <w:r>
        <w:rPr>
          <w:b/>
        </w:rPr>
        <w:t>[Pages 70–72]</w:t>
      </w:r>
    </w:p>
    <w:p>
      <w:r>
        <w:t>72 BULLETIN NO. 8 OF FEBRUARY 20, 2023</w:t>
      </w:r>
    </w:p>
    <w:p>
      <w:r>
        <w:t>of 10 euros via bank transfer, or by sending a check of the same amount to the customer's mailing address35.</w:t>
      </w:r>
    </w:p>
    <w:p>
      <w:r>
        <w:t>3) The Defense Arguments of the Professional</w:t>
      </w:r>
    </w:p>
    <w:p>
      <w:r>
        <w:t>27. The Professional made some preliminary observations regarding the economic situation that characterized the second half of 2021, particularly in the markets for energy raw materials, for which wholesale prices were significantly rising36. In particular, “the Company launched an information campaign dedicated exclusively to customers in the free market who had subscribed to fixed-price offers that were still in effect at the time the campaign was launched (and which would expire after April 2023), aimed at reassuring these customers regarding the absence of impact from the increase in energy prices on their tariff conditions.”37.</w:t>
      </w:r>
    </w:p>
    <w:p>
      <w:r>
        <w:t>28. The information campaign was carried out by sending, to customers who had subscribed to an offer characterized by a fixed price still in effect, the Fixed Price Communication of September 28, 2021, to the customers' email inbox, within the bills issued from September 29, 2021, or through the publication of the message starting from September 30, 2021, in the Customer Area, Online Services, and the customers' App.</w:t>
      </w:r>
    </w:p>
    <w:p>
      <w:r>
        <w:t>29. However, due to a technical mishap, a group of customers to whom variable price conditions were applied, as the fixed price conditions had already expired, also received the aforementioned Communication. Specifically, EstEnergy explained that, in April 2021, during the corporate operation that saw the merger by incorporation of Hera Comm Nord Est S.p.A. into EstEnergy, the information systems of EstEnergy were renewed; in particular, whereas in the previous configuration of the information systems for each customer the activation date of the contract was indicated within the Customer Relationship Management (CRM) system and the billing system, in the new configuration of the information systems, the migration date (i.e., March 29, 2021) was reported.</w:t>
      </w:r>
    </w:p>
    <w:p>
      <w:r>
        <w:t>30. With the transition to the new configuration of the information systems, according to the Company, for each customer, due to a technical mishap, the activation/creation date of the contract recorded in the CRM system was replaced with the migration date - corresponding to March 29, 2021 - which was therefore later than the activation date, while in the billing system the activation date was transferred correctly.</w:t>
      </w:r>
    </w:p>
    <w:p>
      <w:r>
        <w:t>31. This resulted in a “fictitious renewal” of the fixed-price offer conditions, even for contracts for which such conditions had already expired and the billing had already switched to the variable price.</w:t>
      </w:r>
    </w:p>
    <w:p>
      <w:r>
        <w:t>35 The confirmation of the actual sending of such communications to the customers was received from the consumer associations participating in the proceeding, after the closure date of the investigation.</w:t>
      </w:r>
    </w:p>
    <w:p>
      <w:r>
        <w:t>36 In particular, based on the data reported in the Memorandum for the 10th Industry, Trade, and Tourism Commission of the Senate of the Republic, dated February 14, 2022, the Professional highlighted that “between January and December [2021], the average monthly prices in the wholesale markets recorded an increase of almost 500% for natural gas and about 400% for electricity” and this “reflected on the selling prices in Italy starting from the second half of 2021.”</w:t>
      </w:r>
    </w:p>
    <w:p>
      <w:r>
        <w:t>37 Cf. defensive memorandum of August 4, 2022, cited.</w:t>
      </w:r>
    </w:p>
    <w:p>
      <w:r>
        <w:t>BULLETIN NO. 8 OF FEBRUARY 20, 2023 73</w:t>
      </w:r>
    </w:p>
    <w:p>
      <w:r>
        <w:t>32. Consequently, the Fixed Price Communication reached, in addition to the customers holding [150,000-200,000] POD/PDR who still enjoyed fixed price conditions, also the holders of [30,000-40,000] POD/PDR, who had subscribed to an offer, initially at a fixed price, but subsequently became variable38.</w:t>
      </w:r>
    </w:p>
    <w:p>
      <w:r>
        <w:t>33. EstEnergy emphasized that it undertook the following corrective actions:</w:t>
        <w:br/>
        <w:t>a) to cautiously suspend the campaign from October 28, 2021;</w:t>
        <w:br/>
        <w:t>b) to contact the customers who had reported the issue and clarify the actual tariff conditions applied, in addition to the possibility of changing commercial offers, adhering to one of those currently available, including fixed-price offers39.</w:t>
      </w:r>
    </w:p>
    <w:p>
      <w:r>
        <w:t>34. Furthermore, the party notes that, starting from May 2021, that is, before the initiation of the proceeding by the Authority, EstEnergy included in the bills of the customers in question the following rectification message: “We inform you that your currently active offer provides for the application of a raw material price aligned with the prices of electricity/gas that are formed in the wholesale markets. The raw material price thus determined will therefore vary every month in line with market trends. If these conditions do not meet your needs, you can contact us to evaluate alternative proposals, including fixed-price ones, at the number 800.087.593.”</w:t>
      </w:r>
    </w:p>
    <w:p>
      <w:r>
        <w:t>35. Based on this evidence, EstEnergy believes that no lack of diligence can be detected in the overall actions taken: the cause of the event cannot be attributed “to the Company's intention to mislead the consumer or to falsely represent certain information but is to be traced back to a mere computer/technical error.” Furthermore, the Company notes the timely and complete feedback provided to the initial reports from users, the complex and articulated activities undertaken to identify the issue and locate the affected users, as well as the measures activated to resolve the issue and inform users, even before the initiation of the proceeding40.</w:t>
      </w:r>
    </w:p>
    <w:p>
      <w:r>
        <w:t>36. The Company emphasized that no economic harm was caused to the customers affected by the technical mishap, as all contracts held by them had long since switched to variable pricing, as specified in the bills.</w:t>
      </w:r>
    </w:p>
    <w:p>
      <w:r>
        <w:t>37. EstEnergy also believes that no aggressiveness can be found in the behavior adopted, as it was a single episode resulting from a technical error, after which no situations of coercion and/or undue conditioning in the economic behaviors of the affected customers appear to have been created. According to the Company, it is noteworthy that the mobility rate of consumers is the same among customers who switched from fixed price to variable price who erroneously received the Communication and those, in the same conditions, who did not receive it41.</w:t>
      </w:r>
    </w:p>
    <w:p>
      <w:r>
        <w:t>38 As already specified, of the [30,000-40,000] POD/PDR identified: [10,000-15,000] no longer enjoyed a fixed-price offer for a period between 2015 and 2020; [15,000-20,000] POD/PDR had already switched to a variable offer by March 2021; and about [3,000-4,000] POD/PDR had switched to a variable offer in the three months preceding the Communication.</w:t>
      </w:r>
    </w:p>
    <w:p>
      <w:r>
        <w:t>39 The complaints received by EstEnergy were: 18 in January 2022, 62 in February 2022, and 40 in March 2022.</w:t>
      </w:r>
    </w:p>
    <w:p>
      <w:r>
        <w:t>40 Cf. defensive memorandum of August 4, 2022, cited.</w:t>
      </w:r>
    </w:p>
    <w:p>
      <w:r>
        <w:t>41 Cf. defensive memorandum of October 21, 2022, cited.</w:t>
      </w:r>
    </w:p>
    <w:p>
      <w:r>
        <w:t>74 BULLETIN NO. 8 OF FEBRUARY 20, 2023</w:t>
      </w:r>
    </w:p>
    <w:p>
      <w:r>
        <w:t>IV. OPINION OF THE AUTHORITY FOR GUARANTEES IN COMMUNICATIONS</w:t>
      </w:r>
    </w:p>
    <w:p>
      <w:r>
        <w:t>38. Since the commercial practice subject to this provision was also disseminated via the Internet, on November 28, 2022, the opinion of the Authority for Guarantees in Communications (hereinafter also AGCOM) was requested, pursuant to Article 27, paragraph 6, of the Consumer Code42.</w:t>
      </w:r>
    </w:p>
    <w:p>
      <w:r>
        <w:t>39. In a communication received on December 28, 2022, the aforementioned Authority considered that “the means of communication used, in relation to the service offered by the Professional, are overall suitable to develop a significant impact on consumers who, based on the information on the Professional's Site, in email, in paper correspondence, could be induced to make a commercial decision that they would not otherwise have made, thus concretely developing the full promotional potential of the aforementioned communications.”</w:t>
      </w:r>
    </w:p>
    <w:p>
      <w:r>
        <w:t>V. OPINION OF THE REGULATORY AUTHORITY FOR ENERGY, NETWORKS AND ENVIRONMENT</w:t>
      </w:r>
    </w:p>
    <w:p>
      <w:r>
        <w:t>40. Since the commercial practice subject to this provision concerns the energy sector, on November 28, 2022, the opinion of the Regulatory Authority for Energy, Networks and Environment was requested, pursuant to and for the effects of Article 27, paragraph 1-bis, of the Consumer Code, introduced by Article 1, paragraph 6, letter a), of Legislative Decree No. 21/201443.</w:t>
      </w:r>
    </w:p>
    <w:p>
      <w:r>
        <w:t>41. In an opinion received on December 28, 2022, the aforementioned Authority preliminarily represented that such conduct involves issues relevant from a regulatory perspective44, relating to:</w:t>
        <w:br/>
        <w:t>a) transparency obligations concerning commercial offers;</w:t>
        <w:br/>
        <w:t>b) the handling of complaints.</w:t>
      </w:r>
    </w:p>
    <w:p>
      <w:r>
        <w:t>42. ARERA specified that for the purposes of evaluating the conduct carried out by the Professional, subject of the proceeding, the provisions contained in the text of the Commercial Code of Conduct in Annex A to Resolution 366/2018/R/COM45 are relevant.</w:t>
      </w:r>
    </w:p>
    <w:p>
      <w:r>
        <w:t>43. With reference to the transparency obligations, ARERA emphasized that the Commercial Code of Conduct provides that sellers must transparently, completely, and non-discriminatorily provide information regarding their contractual offers. Specifically regarding the conduct contested to EstEnergy, ARERA observed that “the general principle of transparency, which sellers are required to respect even within the contractual relationship, does not seem to have been fully observed by the Professional, for having provided, with the aforementioned communication of September 28, 2021, information that may not have been sufficiently clear or complete.”</w:t>
      </w:r>
    </w:p>
    <w:p>
      <w:r>
        <w:rPr>
          <w:b/>
        </w:rPr>
        <w:t>[Pages 73–75]</w:t>
      </w:r>
    </w:p>
    <w:p>
      <w:r>
        <w:t>BULLETIN NO. 8 OF FEBRUARY 20, 2023 75</w:t>
      </w:r>
    </w:p>
    <w:p>
      <w:r>
        <w:t>2021, unclear information regarding the application of a fixed-price offer also to customers who were already benefiting from variable-price offers, following the expiration of the fixed-price offer subscribed in the past.”</w:t>
      </w:r>
    </w:p>
    <w:p>
      <w:r>
        <w:t>44. With reference to the handling of complaints, ARERA has referred to the “Integrated Text of the Regulation of the Quality of Electricity and Natural Gas Sales Services” (hereinafter, TIQV)46, in which a series of stringent rules and compensations for the benefit of end customers are provided with the aim of ensuring greater timeliness and better quality of service by sellers, also in order to minimize the number of unresolved complaints in the direct relationship between end customers and their suppliers.</w:t>
      </w:r>
    </w:p>
    <w:p>
      <w:r>
        <w:t>45. Regarding the conduct contested against EstEnergy, ARERA noted that “the response to complaints was nevertheless provided by the company, albeit in general terms, highlighting the reason for the erroneous communication,” specifying that the Professional would have rectified the communication of September 28, 2021, only in May 2022 by sending a clarification note in the bills of customers who had erroneously received the aforementioned communication. Finally, ARERA highlights that EstEnergy did not promptly instruct the customer assistance service regarding the information to be provided to customers affected by the aforementioned communication about the actual economic supply conditions.</w:t>
      </w:r>
    </w:p>
    <w:p>
      <w:r>
        <w:t>VI. CONCLUDING EVALUATIONS</w:t>
      </w:r>
    </w:p>
    <w:p>
      <w:r>
        <w:t>46. The proceeding in question concerns the behaviors carried out by EstEnergy, starting from September 28, 2021, regarding the sending of a communication entitled “Service Communication regarding your supply” concerning the economic supply conditions of gas and electricity services, which was misleading and deceptive towards part of the customer base.</w:t>
      </w:r>
    </w:p>
    <w:p>
      <w:r>
        <w:t>47. As emerged from the evidence on file, the Fixed Price Communication, with which the Company congratulated the customer for choosing a fixed-price offer, was sent to a group of contract holders who had already switched to variable price conditions (corresponding to [30,000-40,000] POD/PDR). This led the recipients to the erroneous belief that they had a fixed-price contract, which was not subject to tariff variations.</w:t>
      </w:r>
    </w:p>
    <w:p>
      <w:r>
        <w:t>48. The inspection documentation, in particular, highlighted how, since October 2021, EstEnergy, following reports from some customers and information exchanged among its employees, was aware of the error it had made. However, as emerged from the elements acquired in the records, EstEnergy, after acknowledging the erroneous selection of the POD/PDR recipients of the Communication and while facing the issue of having to provide justification to the customers, did not promptly rectify it and did not clarify the economic conditions to the affected end consumers at least until May 2022.</w:t>
      </w:r>
    </w:p>
    <w:p>
      <w:r>
        <w:t>49. Although during October 2021 the Company suspended the second sending of the Communication in question, for which inclusion in the end-of-October bills was planned, it did not send any corrective message to customers regarding the Communication of September 28, 2021, nor did it remove the spot announcement included in the personal area pages of registered customers on the EstEnergy website (which remained present at least until the following January 2022).</w:t>
      </w:r>
    </w:p>
    <w:p>
      <w:r>
        <w:t>50. Moreover, to those who, realizing the change in economic supply conditions from the first bills of 2022, requested clarifications starting from February 2022, misleading information was provided by EstEnergy's customer service (via phone or at the Company's offices located in Friuli). Therefore, EstEnergy, although aware since October 2021 of the erroneous sending of the Fixed Price Communication also to consumers with a variable price contract, did not adequately inform the customer service staff who continued to disseminate distorted information to customers until April 2022.</w:t>
      </w:r>
    </w:p>
    <w:p>
      <w:r>
        <w:t>51. Only following the solicitation of the Consumer Desk, activated by consumer associations, EstEnergy included an explanatory note in the bills issued from May 20, 2022, and took action on May 31, 2022, to provide, again through the Consumer Desk, an explanation regarding the technical-informatic mishap that occurred.</w:t>
      </w:r>
    </w:p>
    <w:p>
      <w:r>
        <w:t>52. Contrary to what was claimed by the Professional, in light of the complexity and information asymmetry between suppliers/consumers in the markets for the sale of energy services, not having provided a timely response to all customers receiving the Fixed Price Communication regarding the inaccuracy of the information contained therein has undoubtedly resulted in a substantial reduction in transparency regarding the tariff conditions. Moreover, as highlighted, until May 2022, the Company limited itself to providing a response only to users who had submitted a complaint, deferring the sending of the explanatory note until the conclusion of the investigation into the informatic problem.</w:t>
      </w:r>
    </w:p>
    <w:p>
      <w:r>
        <w:t>53. In conclusion, due to the erroneous content of the Communication in question, rectified only after more than seven months (May 2022), the conduct carried out by the Professional constitutes a misleading practice, in violation of Articles 20 and 21 of the Consumer Code. In fact, the Fixed Price Communication (dated September 28, 2021) provided incorrect information about the economic conditions of the offer to consumers whose contract had, in reality, already become a variable price contract, conditioning them in their commercial choices. These consumers, based on the incorrect information received from the Professional, were led to believe they had a fixed-price contract, thus not exposed to the risk of fluctuation, resulting in their inability to make alternative choices based on the best commercial offer.</w:t>
      </w:r>
    </w:p>
    <w:p>
      <w:r>
        <w:t>VII. QUANTIFICATION OF THE SANCTION</w:t>
      </w:r>
    </w:p>
    <w:p>
      <w:r>
        <w:t>54. Pursuant to Article 27, paragraph 9, of the Consumer Code, with the provision that prohibits the unfair commercial practice, the Authority orders the application of an administrative monetary sanction from €5,000 to €5,000,000, taking into account the severity and duration of the violation.</w:t>
      </w:r>
    </w:p>
    <w:p>
      <w:r>
        <w:t>55.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BULLETIN NO. 8 OF FEBRUARY 20, 2023 77</w:t>
      </w:r>
    </w:p>
    <w:p>
      <w:r>
        <w:t>56. With regard to the severity of the violation, the following is taken into account in the case at hand: i) the economic size of the Professional characterized by net total revenues of €382,563,000, an EBITDA of €34,133,000, and a profit before taxes of €50,679,000; ii) the widespread nature of the commercial practice – capable of harming the rights of EstEnergy customers who were erroneously recipients of the Fixed Price Communication and the extent of the economic harm caused to consumers – as well as iii) the specific harm to consumers measurable based on the difference between variable price conditions and alternatively available fixed price conditions in the market (see par. III.2). This harm involved a particularly high number of consumers, exceeding 30,000, who were conditioned to maintain the burdensome variable price offer conditions of the Professional due to the misleading information contained in the Communication. However, as a mitigating factor, the adoption by the Professional of corrective measures for some critical aspects contested in the initiation of the proceeding and the compensation recognized to a group of consumers recipients of the communication is taken into consideration. Finally, the specificities characterizing the energy sector are taken into account, in which the purchasing consumer finds themselves in a position of inevitable information asymmetry compared to the Professional.</w:t>
      </w:r>
    </w:p>
    <w:p>
      <w:r>
        <w:t>57. Regarding the duration of the violation, the available evidence indicates that the practice in question was carried out by EstEnergy from October 2021 until May 2022, following the sending, to the erroneously targeted customers of the Fixed Price Communication of autumn 2021, of an explanatory note in the bill regarding the application of a raw material price aligned with the electricity/gas prices forming in the wholesale markets, with the corresponding activation of a dedicated toll-free number for requests for information on the matter in question.</w:t>
      </w:r>
    </w:p>
    <w:p>
      <w:r>
        <w:t>58. In light of the above, it is deemed appropriate to determine the amount of the administrative monetary sanction applicable to EstEnergy S.p.A. at the base amount of €3.5 million (three million five hundred thousand euros), which is reduced to €1 million (one million euros) taking into account the measures adopted during the proceeding that led to the cessation of the unfair commercial practice and the adoption of a restitution measure.</w:t>
      </w:r>
    </w:p>
    <w:p>
      <w:r>
        <w:t>CONSIDERING, therefore, based on the aforementioned considerations and taking into account the opinion of the Authority for Guarantees in Communications and in accordance with the opinion of the Regulatory Authority for Energy Networks and Environment, based on the aforementioned considerations, that the commercial practice described in point II of this provision is unfair pursuant to Articles 20 and 21 of the Consumer Code as it is capable, through the erroneous sending of a misleading and deceptive service communication, of appreciably distorting the economic behavior of the average consumer in relation to the economic conditions applied to their energy and/or gas supply contracts;</w:t>
      </w:r>
    </w:p>
    <w:p>
      <w:r>
        <w:t>RESOLVES</w:t>
      </w:r>
    </w:p>
    <w:p>
      <w:r>
        <w:t>a) that the commercial practice described in point II of this provision, carried out by the company EstEnergy S.p.A., constitutes, for the reasons and within the limits set forth in the motivation, an unfair commercial practice pursuant to Articles 20 and 21 of the Consumer Code;</w:t>
      </w:r>
    </w:p>
    <w:p>
      <w:r>
        <w:rPr>
          <w:b/>
        </w:rPr>
        <w:t>[Pages 76–77]</w:t>
      </w:r>
    </w:p>
    <w:p>
      <w:r>
        <w:t>78 BULLETIN NO. 8 OF FEBRUARY 20, 2023</w:t>
      </w:r>
    </w:p>
    <w:p>
      <w:r>
        <w:t>b) to impose an administrative monetary sanction of €1,000,000 (one million euros) on the company EstEnergy S.p.A.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 This provision will be notified to the interested parties and published in the Bulletin of the Antitrust Authority.</w:t>
      </w:r>
    </w:p>
    <w:p>
      <w:r>
        <w:t>Pursuant to Article 27, paragraph 12, of the Consumer Code, in case of non-compliance with the provision, the Authority applies an administrative monetary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Antitrust Authority Weekly Bulletin of Competition and Market Year XXXIII - No. 8 - 2023 Editorial Coordination Giulia Antenucci Editorial Team Valerio Ruocco, Simonetta Schettini, Manuela Villani Antitrust Authority Document Management, Protocol and Statistical Services Piazza Giuseppe Verdi, 6/a - 00198 Rome Tel.: 06-858211 Fax: 06-85821256 Web: https://www.agcm.it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