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https://www.agcm.it/dotcmsdoc/bollettini/2021/9-21.pdf</w:t>
      </w:r>
    </w:p>
    <w:p>
      <w:r>
        <w:t>Pages translated : 61</w:t>
      </w:r>
    </w:p>
    <w:p/>
    <w:p>
      <w:r>
        <w:rPr>
          <w:b/>
        </w:rPr>
        <w:t>[Pages 1–3]</w:t>
      </w:r>
    </w:p>
    <w:p>
      <w:r>
        <w:t>Bulletin</w:t>
        <w:br/>
        <w:t>Weekly</w:t>
        <w:br/>
        <w:t>Year XXXI - No. 9</w:t>
        <w:br/>
        <w:t>Published on the website www.agcm.it</w:t>
        <w:br/>
        <w:t>March 1, 2021</w:t>
      </w:r>
    </w:p>
    <w:p>
      <w:r>
        <w:t>SUMMARY</w:t>
        <w:br/>
        <w:t>AGREEMENTS AND ABUSE OF DOMINANT POSITION 5</w:t>
        <w:br/>
        <w:t>I806B - AGREEMENTS BETWEEN OPERATORS IN THE HELICOPTER SERVICES SECTOR - RECTIFICATION</w:t>
        <w:br/>
        <w:t>SANCTION ELIOSSOLA AND ELITELLINA</w:t>
        <w:br/>
        <w:t>Measure No. 28565 5</w:t>
        <w:br/>
        <w:t>I838 - RESTRICTIONS ON THE PURCHASE OF EXHAUSTED LEAD BATTERIES</w:t>
        <w:br/>
        <w:t>Measure No. 28571 8</w:t>
        <w:br/>
        <w:t>CONCENTRATION OPERATIONS 11</w:t>
        <w:br/>
        <w:t>C12311 - B.F.-AGRICULTURAL CONSORTIUM OF EMILIA-ADRIATIC CONSORTIUM-TYRRHENIAN AGRICULTURAL CONSORTIUM-CENTRAL SOUTH AGRICULTURAL CONSORTIUM-CONSORTIUM SOCIETY AGRICULTURAL CONSORTIA/NEWCO</w:t>
        <w:br/>
        <w:t>Measure No. 28564 11</w:t>
        <w:br/>
        <w:t>C12360 - 2I RETE GAS/GAS DISTRIBUTION INFRASTRUCTURES</w:t>
        <w:br/>
        <w:t>Measure No. 28572 26</w:t>
        <w:br/>
        <w:t>REPORTING AND CONSULTATIVE ACTIVITIES 35</w:t>
        <w:br/>
        <w:t>AS1719 - MUNICIPALITY OF CASTELLABATE (SA) - EXTENSION OF MARITIME STATE CONCESSIONS</w:t>
        <w:br/>
        <w:t>FOR TOURIST-RECREATIONAL PURPOSES 35</w:t>
        <w:br/>
        <w:t>AS1720 – MUNICIPALITY OF ROME - REGULATION OF PARKING SPACE CONCESSIONS FOR</w:t>
        <w:br/>
        <w:t>TRADE ON PUBLIC AREAS 40</w:t>
        <w:br/>
        <w:t>AS1721 – REGULATION OF PARKING SPACE CONCESSIONS FOR TRADE ON PUBLIC AREAS 44</w:t>
        <w:br/>
        <w:t>UNFAIR COMMERCIAL PRACTICES 48</w:t>
        <w:br/>
        <w:t>PS11592 - STARLIFE ITALIA</w:t>
        <w:br/>
        <w:t>Measure No. 28426 48</w:t>
      </w:r>
    </w:p>
    <w:p>
      <w:r>
        <w:t>BULLETIN NO. 9 OF MARCH 1, 2021 5</w:t>
        <w:br/>
        <w:t>AGREEMENTS AND ABUSE OF DOMINANT POSITION</w:t>
        <w:br/>
        <w:t>I806B - AGREEMENTS BETWEEN OPERATORS IN THE HELICOPTER SERVICES SECTOR - RECTIFICATION</w:t>
        <w:br/>
        <w:t>SANCTION ELIOSSOLA AND ELITELLINA</w:t>
        <w:br/>
        <w:t>Measure No. 28565</w:t>
        <w:br/>
        <w:t>THE COMPETITION AND MARKET AUTHORITY</w:t>
        <w:br/>
        <w:t>IN ITS MEETING of February 9, 2021;</w:t>
        <w:br/>
        <w:t>HEARD the Rapporteur Professor Michele Ainis;</w:t>
        <w:br/>
        <w:t>HAVING REGARD to Article 101 of the Treaty on the Functioning of the European Union (TFEU);</w:t>
        <w:br/>
        <w:t>HAVING REGARD to Council Regulation (EC) No. 1/2003 of December 16, 2002, concerning</w:t>
        <w:br/>
        <w:t>the application of the competition rules laid down in Articles 81 and 82 of the EC Treaty (now 101 and 102 TFEU);</w:t>
        <w:br/>
        <w:t>HAVING REGARD to Law No. 287 of October 10, 1990;</w:t>
        <w:br/>
        <w:t>HAVING REGARD to Presidential Decree No. 217 of April 30, 1998;</w:t>
        <w:br/>
        <w:t>HAVING REGARD to its Measure No. 27563 of February 13, 2019 (hereinafter also Measure),</w:t>
        <w:br/>
        <w:t>with which the Authority found that: i) the companies Airgreen S.r.l., Elifriulia S.r.l., Eliossola S.r.l.,</w:t>
        <w:br/>
        <w:t>Elitellina S.r.l., Heliwest S.r.l., Star Work Sky S.a.s. have engaged in, in violation of Article 101 of the TFEU, a unique, ongoing, and complex agreement aimed at conditioning the market for AIB services; ii) the companies Airgreen S.r.l., Babcock Mission Critical Services Italia S.p.A. jointly with the parent company Babcock Mission Critical Services International S.A., Elifriulia S.r.l.,</w:t>
        <w:br/>
        <w:t>Eliossola S.r.l., Elitellina S.r.l., Heliwest S.r.l., Star Work Sky S.a.s., Air Corporate S.r.l. jointly with the parent company Airi S.r.l., as well as the trade association Associazione Elicotteristica Italiana have engaged in, in violation of Article 101 of the TFEU, a unique, ongoing, and complex agreement aimed at the ex ante setting, within the Associazione Elicotteristica Italiana (AEI), of the price list related to helicopter services;</w:t>
        <w:br/>
        <w:t>HAVING REGARD to the request of Eliossola S.r.l. of October 7, 2020 for rectification of the Measure in the part where, in the table reported in letter f) of the resolution, due to a mere clerical error, the amount owed by it for the sanctions imposed on it is indicated as 1,364,018 euros instead of 1,273,340 euros, which should instead be attributed to the amount owed by the company Elitellina S.r.l.;</w:t>
        <w:br/>
        <w:t>HAVING REGARD to its Measure No. 28450, of November 17, 2020, initiating a procedure for the rectification of the clerical error contained in the table referred to in letter f) of the resolution of Measure No. 27563 of February 13, 2019, in contradiction with the parties Elitellina S.r.l. and Eliossola S.r.l.;</w:t>
        <w:br/>
        <w:t>HAVING REGARD to the letter of January 13, 2021, with which the deadline for the closure of the investigative phase was communicated to Elitellina S.r.l. and Eliossola S.r.l.;</w:t>
      </w:r>
    </w:p>
    <w:p>
      <w:r>
        <w:rPr>
          <w:b/>
        </w:rPr>
        <w:t>[Pages 4–6]</w:t>
      </w:r>
    </w:p>
    <w:p>
      <w:r>
        <w:t>6 BULLETIN NO. 9 OF MARCH 1, 2021</w:t>
      </w:r>
    </w:p>
    <w:p>
      <w:r>
        <w:t>HAVING REGARD to the memoranda received from Elitellina S.r.l. on December 21, 2020, and from Eliossola S.r.l. on January 22, 2021;</w:t>
      </w:r>
    </w:p>
    <w:p>
      <w:r>
        <w:t>HAVING REGARD to all the acts of the proceeding;</w:t>
      </w:r>
    </w:p>
    <w:p>
      <w:r>
        <w:t>CONSIDERING that, due to a mere material error, in the table reported in letter f) of the deliberation of the Measure, in identifying the overall sanctions to be imposed on Elitellina and Eliossola for the two established violations, the corporate names of Elitellina S.r.l. and Eliossola S.r.l. were erroneously reversed;</w:t>
      </w:r>
    </w:p>
    <w:p>
      <w:r>
        <w:t>CONSIDERING that the material error concerned only the table reported in letter f) of the deliberation of the Measure, since table 16 referred to in point 448 of the Measure correctly reports the values of the imposed sanctions, corresponding, for each of the two violations and for both companies, to the maximum penalty provided for in Article 15 of Law No. 287/90, amounting to 682,009.10 euros for Elitellina S.r.l. and 636,670.00 euros for Eliossola S.r.l.;</w:t>
      </w:r>
    </w:p>
    <w:p>
      <w:r>
        <w:t>CONSIDERING that, contrary to what was observed by Elitellina, the material error in question is the result of an oversight, objectively detectable and immediately recognizable from the mere observation of the numerical data associated with the corporate name of the companies; the correction of the amount of the sanctions attributed to Elitellina and Eliossola, as indicated in the table reported in letter f) of the Measure, does not imply any evaluation and does not entail any modification to the reasoning part of the Measure, in which the administration's intent is expressed and the evaluations and various logical and algebraic steps regarding the quantification of the sanctions are fully developed;</w:t>
      </w:r>
    </w:p>
    <w:p>
      <w:r>
        <w:t>CONSIDERING that the administration cannot "exempt itself from the obligation to ascertain in merit whether the alleged error was indeed ascertainable or to correct it, once detected," in order to ensure the correspondence of the content of the measure to the intent that the administration intended to manifest in pursuing the public interest;</w:t>
      </w:r>
    </w:p>
    <w:p>
      <w:r>
        <w:t>CONSIDERING that the material error contained in the Measure is immediately recognizable and that this requirement serves "to exclude the emergence of an innocent reliance by the recipient of the act regarding the correspondence of what is stated in the act to what is actually intended" and that, in the case at hand, the parties had all the information to independently detect, without any interpretative or evaluative effort, the material error in question;</w:t>
      </w:r>
    </w:p>
    <w:p>
      <w:r>
        <w:t>1 Council of State, Section VI, No. 1036/2014, "In order for a case of material error in a technical-legal sense to occur, it must be the result of an oversight that creates a discrepancy between the manifestation of the will expressed in the act and the substantial will of the issuing authority, objectively detectable from the act itself and recognizable as a blatant error according to a criterion of normality [...]".</w:t>
      </w:r>
    </w:p>
    <w:p>
      <w:r>
        <w:t>2 Council of State, Section II, No. 3537/2020. The Council of State also states that this obligation derives "from the fundamental principle of good faith, which informs the legal system and to which not only the relationships between members must adhere - bound, pursuant to Article 2 of the Constitution, to respect the mandatory duties of solidarity - but also and above all the public administration, to which Article 97 of the Constitution imposes acting with impartiality and in compliance with the principle of good performance. [...] there is no abstract public need for the preservation of an act containing errors [...]".</w:t>
      </w:r>
    </w:p>
    <w:p>
      <w:r>
        <w:t>3 Council of State, Section VI, No. 1036/2014.</w:t>
      </w:r>
    </w:p>
    <w:p>
      <w:r>
        <w:t>BULLETIN NO. 9 OF MARCH 1, 2021 7</w:t>
      </w:r>
    </w:p>
    <w:p>
      <w:r>
        <w:t>CONSIDERING that the Authority promptly proceeded to initiate the procedure for correcting the material error as soon as it became aware of it, and that the Authority's intervention took place within a reasonable and appropriate timeframe, also considering that the administrative litigation against the measure of ascertaining the violations and imposing the sanctions is still ongoing and that, consequently, the Measure subject to correction has not yet become final;</w:t>
      </w:r>
    </w:p>
    <w:p>
      <w:r>
        <w:t>THEREFORE, CONSIDERING it necessary to proceed with the correction of the material error contained in the table reported in letter f) of the deliberation of the Measure in the following manner:</w:t>
      </w:r>
    </w:p>
    <w:p>
      <w:r>
        <w:t>i) to attribute, against Eliossola S.r.l., a total sanction amount of 1,273,340 euros, instead of the amount of 1,364,018 euros erroneously attributed to it;</w:t>
      </w:r>
    </w:p>
    <w:p>
      <w:r>
        <w:t>ii) to attribute, against Elitellina S.r.l., a total sanction amount of 1,364,018 euros, instead of the amount of 1,273,340 euros erroneously attributed to it;</w:t>
      </w:r>
    </w:p>
    <w:p>
      <w:r>
        <w:t>RESOLVES</w:t>
      </w:r>
    </w:p>
    <w:p>
      <w:r>
        <w:t>to correct Measure No. 27563 of February 13, 2019, by replacing the two lines of the table in letter f) of the deliberation relating to the parties Eliossola S.r.l. and Elitellina S.r.l., with the following:</w:t>
      </w:r>
    </w:p>
    <w:p>
      <w:r>
        <w:t xml:space="preserve">Elitellina S.r.l. 1,364,018  </w:t>
        <w:br/>
        <w:t>Eliossola S.r.l. 1,273,340</w:t>
      </w:r>
    </w:p>
    <w:p>
      <w:r>
        <w:t>This measure will be notified to the interested parties and published in the Bulletin of the Competition and Market Authority.</w:t>
      </w:r>
    </w:p>
    <w:p>
      <w:r>
        <w:t>Against this Measure, an appeal may be submitted to the TAR of Lazio, pursuant to Article 135, paragraph 1, letter b), of the Code of Administrative Procedure (Legislative Decree of July 2, 2010, No. 104), within sixty days from the date of communication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Measure itself.</w:t>
      </w:r>
    </w:p>
    <w:p>
      <w:r>
        <w:t xml:space="preserve">THE SECRETARY GENERAL THE PRESIDENT  </w:t>
        <w:br/>
        <w:t>Filippo Arena Roberto Rustichelli</w:t>
      </w:r>
    </w:p>
    <w:p>
      <w:r>
        <w:t>8 BULLETIN NO. 9 OF MARCH 1, 2021</w:t>
      </w:r>
    </w:p>
    <w:p>
      <w:r>
        <w:t xml:space="preserve">I838 - RESTRICTIONS ON THE PURCHASE OF EXHAUSTED LEAD BATTERIES  </w:t>
        <w:br/>
        <w:t xml:space="preserve">Measure No. 28571  </w:t>
        <w:br/>
        <w:t xml:space="preserve">THE COMPETITION AND MARKET AUTHORITY  </w:t>
        <w:br/>
        <w:t xml:space="preserve">IN ITS MEETING of February 23, 2021;  </w:t>
        <w:br/>
        <w:t xml:space="preserve">HEARD the Rapporteur Professor Michele Ainis;  </w:t>
        <w:br/>
        <w:t xml:space="preserve">HAVING REGARD to Article 101 of the Treaty on the Functioning of the European Union ("TFEU");  </w:t>
        <w:br/>
        <w:t xml:space="preserve">HAVING REGARD to Law of October 10, 1990, No. 287 and, in particular, Article 14-ter introduced by Law of August 4, 2006, No. 248, which converted with amendments the decree-law of July 4, 2006, No. 223;  </w:t>
        <w:br/>
        <w:t xml:space="preserve">HAVING REGARD to Articles 103 of Decree-Law No. 18/2020 (so-called Cura Italia decree), converted into Law of April 24, 2020, No. 27, and 37 of Decree-Law No. 23/2020 (so-called Liquidity decree), converted into Law of June 5, 2020, No. 40, regarding the general suspension of deadlines for administrative proceedings;  </w:t>
        <w:br/>
        <w:t xml:space="preserve">HAVING REGARD to its resolution of December 3, 2019, with which, pursuant to Article 14 of Law No. 287/1990, an investigation was initiated against COBAT RIPA, COBAT, Fiamm Energy Technology S.p.A., Clarios Italia S.r.l., Eco-bat S.r.l., Piomboleghe S.r.l., Piombifera Italiana S.p.A. and ESI Ecological Scrap Industry S.p.A. aimed at ascertaining the existence of possible violations of Article 101 TFEU, consisting of the coordination of their purchasing behavior of exhausted vehicle and industrial batteries, also within COBAT RIPA and COBAT (and the previous consortium Cobat - National Consortium for Collection and Recycling);  </w:t>
        <w:br/>
        <w:t xml:space="preserve">HAVING REGARD to its resolution of May 20, 2020, with which the investigation was subjectively extended to Società Italia Accumulatori Produzione Ricerca Avezzano – SIAPRA S.p.A. and objectively to the ascertainment of possible further violations of Article 101 TFEU, concerning the collection of confidential information related to waste holders and the offering to collectors of differentiated purchase prices depending on the origin of the waste, the sharing of commercially sensitive information within the consortium bodies, as well as the presence of possible restrictions on the purchase of exhausted batteries from competing collection systems, constraints for their treatment at consortium recyclers and the definition, in a profitable supply chain, of differentiated environmental contributions for the different categories of producers/importers and also contemplated for recyclers, whose presence in COBAT and COBAT RIPA, and previously in the consortium Cobat - National Consortium for Collection and Recycling, appeared likely to have altered the dynamics of competition between collection systems;  </w:t>
        <w:br/>
        <w:t xml:space="preserve">HAVING REGARD to the "Communication on the procedures for the application of Article 14-ter of Law of October 10, 1990, No. 287," adopted in the meeting of September 6, 2012 and published in Bulletin No. 35 of September 17, 2012;  </w:t>
        <w:br/>
        <w:t>HAVING REGARD to the communications of February 8, 2021, with which all parties to the proceeding submitted commitments pursuant to Article 14-ter of Law No. 287/1990, according to the modalities indicated in the specific "Form for the submission of commitments pursuant to Article 14-ter of Law No. 287/90". The commitments presented by the various parties include, in summary, the following measures:</w:t>
      </w:r>
    </w:p>
    <w:p>
      <w:r>
        <w:rPr>
          <w:b/>
        </w:rPr>
        <w:t>[Pages 7–9]</w:t>
      </w:r>
    </w:p>
    <w:p>
      <w:r>
        <w:t>BULLETIN NO. 9 OF MARCH 1, 2021 9</w:t>
      </w:r>
    </w:p>
    <w:p>
      <w:r>
        <w:t>i) a structural commitment by the recyclers Eco-bat S.r.l., Piombifera Italiana S.p.A. and Piomboleghe S.r.l. to transfer, following the transformation of the COBAT consortium into a joint-stock company, all of their shares in COBAT according to the timeline defined in the Commitment Form attached to this measure, and a simultaneous commitment by Fiamm Energy Technology S.p.A. and Clarios Italia S.r.l. to purchase any unsold shares as last resort buyers. The same recyclers have also committed, in parallel to the transfer of the shares of COBAT, to withdraw from the COBAT RIPA consortium. This proposal has also been joined by ESI Ecological Scrap Industry S.p.A., [omissis]1;</w:t>
      </w:r>
    </w:p>
    <w:p>
      <w:r>
        <w:t>ii) a commitment to allocate the exhausted batteries managed by COBAT through free collection, exclusively via electronic auctions open to all interested parties, national or foreign, who meet the requirements set by the applicable regulations. The auction base in the electronic tenders and the prices applied to the collectors will be defined exclusively by the General Management and the Operational Management of COBAT;</w:t>
      </w:r>
    </w:p>
    <w:p>
      <w:r>
        <w:t>iii) a commitment to modify the operational rules of COBAT, with measures aimed at ensuring that the information acquired from the collectors is only that which is essential for tracking exhausted batteries and to limit access to sensitive information by the members of COBAT;</w:t>
      </w:r>
    </w:p>
    <w:p>
      <w:r>
        <w:t>iv) the elimination of any obligation for the members to operate exclusively through the consortium;</w:t>
      </w:r>
    </w:p>
    <w:p>
      <w:r>
        <w:t>CONSIDERING that the commitments presented appear, as a whole, not manifestly unfounded and such as to be susceptible to publication, without prejudice to any assessment by the Authority regarding their suitability to resolve the competitive issues raised at the start and extension of the procedure;</w:t>
      </w:r>
    </w:p>
    <w:p>
      <w:r>
        <w:t>CONSIDERING that, by virtue of the aforementioned Articles 103 of Decree-Law No. 18/2020 (so-called Cura Italia decree), converted into Law No. 27 of April 24, 2020, and 37 of Decree-Law No. 23/2020 (so-called Liquidity decree), converted into Law No. 40 of June 5, 2020, the deadline for closing this procedure is extended by law to June 21, 2021;</w:t>
      </w:r>
    </w:p>
    <w:p>
      <w:r>
        <w:t>THEREFORE, CONSIDERING that it is possible to order the publication of the commitments presented by COBAT, COBAT RIPA, Eco-bat S.r.l., Piombifera Italiana S.p.A., Piomboleghe S.r.l., ESI Ecological Scrap Industry S.p.A., Fiamm Energy Technology S.p.A., SIAPRA S.p.A. and Clarios Italia S.r.l., so that interested third parties may express their observations;</w:t>
      </w:r>
    </w:p>
    <w:p>
      <w:r>
        <w:t>RESOLVES</w:t>
      </w:r>
    </w:p>
    <w:p>
      <w:r>
        <w:t>a) to publish on February 25, 2021, on the Authority's website, the aforementioned commitments presented by COBAT, COBAT RIPA, Eco-bat S.r.l., Piombifera Italiana S.p.A., Piomboleghe S.r.l., ESI Ecological Scrap Industry S.p.A., Fiamm Energy Technology S.p.A., SIAPRA S.p.A. and Clarios Italia S.r.l. pursuant to Article 14-ter of Law No. 287/1990, attached to this measure, of which they constitute an integral part;</w:t>
      </w:r>
    </w:p>
    <w:p>
      <w:r>
        <w:t>1 In this version, some data are omitted as elements of confidentiality or secrecy of the information have been deemed to exist.</w:t>
      </w:r>
    </w:p>
    <w:p>
      <w:r>
        <w:t>10 BULLETIN NO. 9 OF MARCH 1, 2021</w:t>
      </w:r>
    </w:p>
    <w:p>
      <w:r>
        <w:t>b) that any observations on the commitments presented by COBAT, COBAT RIPA, Eco-bat S.r.l., Piombifera Italiana S.p.A., Piomboleghe S.r.l., ESI Ecological Scrap Industry S.p.A., Fiamm Energy Technology S.p.A., SIAPRA S.p.A. and Clarios Italia S.r.l. must be submitted in writing, no later than March 27, 2021, to the General Directorate for Competition – Directorate for Energy and Basic Industry of the Authority (Piazza G. Verdi 6/A, 00198 Rome, tel. +39(0)6/85821.832, fax. +39(0)6/85821.375);</w:t>
      </w:r>
    </w:p>
    <w:p>
      <w:r>
        <w:t>c) that any representations by COBAT, COBAT RIPA, Eco-bat S.r.l., Piombifera Italiana S.p.A., Piomboleghe S.r.l., ESI Ecological Scrap Industry S.p.A., Fiamm Energy Technology S.p.A., SIAPRA S.p.A. and Clarios Italia S.r.l. regarding their position in relation to the observations presented by third parties on the commitments, as well as any potential introduction of ancillary modifications to them, must be submitted in writing to the Authority no later than April 26, 2021.</w:t>
      </w:r>
    </w:p>
    <w:p>
      <w:r>
        <w:t>THE SECRETARY GENERAL for THE PRESIDENT</w:t>
        <w:br/>
        <w:t>Filippo Arena the Senior Member</w:t>
        <w:br/>
        <w:t>Gabriella Muscolo</w:t>
      </w:r>
    </w:p>
    <w:p>
      <w:r>
        <w:t>BULLETIN NO. 9 OF MARCH 1, 2021 11</w:t>
      </w:r>
    </w:p>
    <w:p>
      <w:r>
        <w:t>CONCENTRATION OPERATIONS</w:t>
        <w:br/>
        <w:t>C12311 - B.F.-AGRICULTURAL CONSORTIUM OF EMILIA-ADRIATIC CONSORTIUM-</w:t>
        <w:br/>
        <w:t>TIRRENO AGRICULTURAL CONSORTIUM-CENTRAL SOUTH AGRICULTURAL CONSORTIUM-</w:t>
        <w:br/>
        <w:t>CONSORTIUM SOCIETY AGRICULTURAL CONSORTIA/NEWCO</w:t>
        <w:br/>
        <w:t>Measure no. 28564</w:t>
        <w:br/>
        <w:t>THE COMPETITION AND MARKET AUTHORITY</w:t>
        <w:br/>
        <w:t>IN ITS MEETING of February 9, 2021;</w:t>
        <w:br/>
        <w:t>HEARD the Rapporteur, Professor Michele Ainis;</w:t>
        <w:br/>
        <w:t>HAVING REGARD to Law No. 287 of October 10, 1990;</w:t>
        <w:br/>
        <w:t>HAVING REGARD to Presidential Decree No. 217 of April 30, 1998;</w:t>
        <w:br/>
        <w:t>HAVING REGARD to the communication made by the company BF S.p.A., received on July 27, 2020;</w:t>
        <w:br/>
        <w:t>HAVING REGARD to its request for information, sent on August 1, 2020, resulting in the interruption of the deadlines pursuant to Article 5, paragraph 3, of Presidential Decree No. 217 of April 30, 1998;</w:t>
        <w:br/>
        <w:t>HAVING REGARD to the additional information sent by the companies BF S.p.A., received on December 24, 2020, and supplemented on January 14, 2021;</w:t>
      </w:r>
    </w:p>
    <w:p>
      <w:r>
        <w:t>CONSIDERING the following:</w:t>
      </w:r>
    </w:p>
    <w:p>
      <w:r>
        <w:t>I. THE PARTIES</w:t>
      </w:r>
    </w:p>
    <w:p>
      <w:r>
        <w:t>I1. BF S.p.A.</w:t>
        <w:br/>
        <w:t>1. BF S.p.A. (hereinafter BF) is a publicly traded company, holding company of the eponymous corporate group, a primary national operator active, at an integrated level, in the agro-industrial sector, livestock and innovative technological services for agricultural sector operators. The share capital of BF is divided as follows among institutional and private national investors: Fondazione Cariplo (21%); CDP Equity S.p.A., controlled by Cassa Depositi e Prestiti (19%); Dompè Holding S.r.l. (14%), an individual (11%), floating on the stock exchange (35%). Based on what has been declared by the Party, none of the shareholders exercises, individually or jointly, a decisive influence on the activities of BF.</w:t>
      </w:r>
    </w:p>
    <w:p>
      <w:r>
        <w:t>2. BF operates primarily - through its subsidiaries Società per la Bonifica dei Terreni Ferraresi and for Agricultural Enterprises S.p.A., B.F. Agro-Industriale S.p.A. and Cicalino Green Soc. Agr. S.r.l - in the cultivation, distribution and wholesale marketing of agricultural and livestock products. In particular, Bonifiche Ferraresi S.p.A. represents the largest agricultural company in Italy, with a landholding of approximately 8,000 hectares, dedicated to cattle breeding and the cultivation of rice, corn, durum and soft wheat, barley, sugar beets, alfalfa, soybeans, vegetables, medicinal plants, olive oil production and fruit.</w:t>
      </w:r>
    </w:p>
    <w:p>
      <w:r>
        <w:t>3. BF is also active in all phases of the seed cycle (establishment of new varieties, multiplication, processing and marketing of seeds), through the subsidiary S.I.S.</w:t>
      </w:r>
    </w:p>
    <w:p>
      <w:r>
        <w:rPr>
          <w:b/>
        </w:rPr>
        <w:t>[Pages 10–12]</w:t>
      </w:r>
    </w:p>
    <w:p>
      <w:r>
        <w:t>BULLETIN NO. 9 OF MARCH 1, 2021</w:t>
      </w:r>
    </w:p>
    <w:p>
      <w:r>
        <w:t>Società Italiana Sementi S.p.A. (hereinafter SIS), of which it holds approximately 42% of the share capital. SIS is the main national seed company and is a leader in the wheat seed sector, predominantly marketed through the distribution network of the Agricultural Consortia. It handles about 600 seeds and holds exclusive rights for 116 of them. In particular, SIS holds a license for the multiplication and commercialization of a particularly prized variety of durum wheat, called Grano senatore Cappelli.</w:t>
      </w:r>
    </w:p>
    <w:p>
      <w:r>
        <w:t>BF also operates in the sector of precision agricultural services, through the company I.B.F. Servizi S.p.A., established in 2017 in partnership with ISMEA (Institute of Services for the Agricultural Food Market) and jointly controlled with this public entity.</w:t>
      </w:r>
    </w:p>
    <w:p>
      <w:r>
        <w:t>The BF group is also active in the distribution to the GDO of national food products such as pasta, rice, herbal teas, and legumes, marketed under the brand "Stagioni d'Italia." As a subcontractor for the BF group, with reference to the production of "Stagioni d'Italia" pasta, the pasta factory Ghigi 1870 S.p.A. (hereinafter also Ghigi) operates, in which SIS and BF hold, in total, a participation equal to 40.7%. The remaining share of the share capital is predominantly held by agricultural consortia, including, primarily, the Consorzio Agrario Adriatico s.c. (which holds 32%).</w:t>
      </w:r>
    </w:p>
    <w:p>
      <w:r>
        <w:t>The BF group also holds a 51% stake in the company Filiera Bovini Italia S.r.l., active in the design and development of supply chain contracts, jointly controlled with the company Filiera Agricola Italiana S.p.A.</w:t>
      </w:r>
    </w:p>
    <w:p>
      <w:r>
        <w:t>Together with the company OCRIM-Società per l’Industria Meccanica S.p.A. (hereinafter OCRIM), BF finally holds joint control of the company Milling Hub S.p.A., in which it has a 49% stake, whose predominant corporate purpose is the construction and management of milling plants. The joint company aims to become a milling hub also serving third parties.</w:t>
      </w:r>
    </w:p>
    <w:p>
      <w:r>
        <w:t>In the financial year 2019, BF achieved a consolidated turnover in Italy of approximately [30-100]* million euros.</w:t>
      </w:r>
    </w:p>
    <w:p>
      <w:r>
        <w:t>I.2. The Agricultural Consortia</w:t>
      </w:r>
    </w:p>
    <w:p>
      <w:r>
        <w:t>The Agricultural Consortia are cooperatives of farmers governed by Articles 3511 et seq. of the Civil Code, whose share capital is distributed among thousands of members, none of whom exercise control over them. In 1999, also with the aim of overcoming the strong intertwining in the public and private management of the Consortia, Law No. 410/1999 was enacted to reorganize the system of Agricultural Consortia, which until then had carried out their activities based on the regulatory framework represented by Legislative Decree No. 1235/1948. Law No. 410/1999, as amended by Decree Law No. 181/2006 and Decree Law No. 91/2017, is still in force and regulates the activities of the consortia themselves.</w:t>
      </w:r>
    </w:p>
    <w:p>
      <w:r>
        <w:t>The main innovations of the reform introduced in 1999 concern the legal nature of the consortia, the ownership of their supervision, the exercise of the right of pre-emption, the reimbursement of credits, the practicability of agricultural credit in kind, as well as the dissolution of Federconsorzi. In particular, the legal nature of the consortia, which previously was that of special cooperatives under Decree No. 1235/48, has been changed to cooperatives with prevalent mutuality and limited liability (Law No. 99/2009, Article 9), somewhat equating the consortia to common agricultural cooperatives in the sector and diminishing their special character.</w:t>
      </w:r>
    </w:p>
    <w:p>
      <w:r>
        <w:t>Among the purposes for which the consortia are established, Article 2 of Law No. 410/1999 reiterated the execution of activities aimed at contributing to innovation and improvement of agricultural production, as well as the preparation and management of services useful for agriculture. The consortia have also been expressly authorized to exercise agricultural credit in kind, in exchange for the conferment of agricultural products to voluntary storage, providing the possibility of covering the credit with the issuance of agricultural bills, subject to reduced tax imposition.</w:t>
      </w:r>
    </w:p>
    <w:p>
      <w:r>
        <w:t>Finally, Article 2, paragraph 3, of Decree Law No. 91/2017, which further intervened to amend the law reorganizing the consortia, provides that the latter may exercise the activities indicated in the aforementioned Article 2 also through participation in joint-stock companies, in which the consortia hold the majority of votes exercisable in the ordinary assembly of members.</w:t>
      </w:r>
    </w:p>
    <w:p>
      <w:r>
        <w:t>The active Consortia in the market, which were initially 72, are now just over 20. Currently, the Agricultural Consortia continue to carry out activities in favor of agricultural enterprises, both members and third parties, providing services for enhancing production, technical assistance, financial support, management of stocks, and consulting, extensively across the national territory, and distributing, through a specialized network of about 1,300 sales points, productive inputs and tools necessary for cultivation and breeding such as feed, seeds, agricultural machinery, fertilizers, pesticides, as well as fuels and insurance products. In the network of the Consortia's sales points, products from the orto-garden (home gardening) and food categories are also distributed. Some Consortia are also active, through their subsidiaries, in the production of feed and seeds.</w:t>
      </w:r>
    </w:p>
    <w:p>
      <w:r>
        <w:t>Società Consortile Consorzi Agrari S.c.p.A. (hereinafter, SCCA), established in 2009 pursuant to Law No. 410/1999, is a consortium company limited by shares whose share capital is held by 21 agricultural consortia currently active in the national territory, none of which individually holds a controlling stake. In particular, the 4 consortia participating in this operation hold, jointly, 31.9%. SCCA was established with the aim of enhancing the activities and products of the members, as well as procuring goods, services, activities, and advantages for the exercise of their economic activities. Among the initiatives undertaken, SCCA has established the company CAI - Consorzi Agrari d’Italia S.r.l., as part of a project to reorganize the system of Consortia.</w:t>
      </w:r>
    </w:p>
    <w:p>
      <w:r>
        <w:t>SCCA also holds a 44% stake in the company Filiera Agricola Italiana S.p.A., the remaining part of the share capital being held by Germina Campus (44%) and Consorzio Produttori di Campagna Amica Soc. Coop. S.p.A. (12%) (both belonging to the agricultural organization Coldiretti) and approximately a 36% stake in Consorzio Produttori Campagna Amica Soc. Coop S.p.A. The turnover achieved by SCCA in 2019, substantially derived from consortium contributions, was approximately 2 million euros.</w:t>
      </w:r>
    </w:p>
    <w:p>
      <w:r>
        <w:t>The Consorzio Agrario dell’Emilia Romagna società cooperativa (CAE) is the main agricultural consortium at the national level, active in the Provinces of Bologna, Modena, Reggio Emilia, Ferrara, Parma, and Ravenna. The share capital of CAE is held by approximately 4,500 members. CAE controls the following companies: (i) Emilcap S.r.l., operating in the feed sector; (ii) Eurocap Petroli S.p.A. operating in the distribution of fuels and other petroleum products; (iii) Sicap S.r.l., a company established to manage the logistics services of the Consortium and Eurocap Petroli S.p.A.; (iv) Quality Seeds S.r.l., a company operating in the seed potato sector. CAE also holds a 33.6% stake in SIS S.p.A. The turnover achieved by CAE in 2019 was 345 million euros.</w:t>
      </w:r>
    </w:p>
    <w:p>
      <w:r>
        <w:t>The Consorzio Agrario dell’Adriatico società cooperativa (CAA) is active in the Provinces of Forlì-Cesena, Rimini, Pesaro and Urbino, Ascoli Piceno, Fermo, Macerata. The share capital of CAA is held among more than 3,000 members. CAA controls a real estate company, an insurance company, and the company Organizzazione Produttori Sementi Romagna S.r.l. in liquidation, active in the seed sector. It also holds a 32% stake in Ghigi 1870 S.p.A. The turnover achieved by CAA in 2019 was 33 million euros.</w:t>
      </w:r>
    </w:p>
    <w:p>
      <w:r>
        <w:t>The Consorzio Agrario del Tirreno società cooperativa (CAT) is active in the Provinces of Grosseto, Livorno, Pisa, Lucca, Massa, Pistoia, and Viterbo. The share capital of CAT is held by approximately 1,000 members. CAT controls two companies active in the insurance of agricultural risks (Consorzio Agrario Pisa Assicurazioni S.r.l. and SAV Società Assicurativa Viterbese S.r.l.) and the company Sementi Maremma S.r.l., active in the seed sector. The turnover achieved by CAT in 2019 was 74 million euros.</w:t>
      </w:r>
    </w:p>
    <w:p>
      <w:r>
        <w:t>The Consorzio Agrario Centro Sud società cooperativa (CACS) is active in the Provinces of Chieti, Pescara, L’Aquila, Teramo, Campobasso, Isernia, and Foggia. The share capital of CACS is held by approximately 1,000 members. CACS fully controls the company Cons. Ass S.r.l., which has as its object the insurance agency activity in favor of companies operating in the agricultural market. The turnover achieved by CACS in 2019 was 31 million euros.</w:t>
      </w:r>
    </w:p>
    <w:p>
      <w:r>
        <w:t>* In this version, some data are omitted, as elements of confidentiality or secrecy of the information were deemed to exist.</w:t>
      </w:r>
    </w:p>
    <w:p>
      <w:r>
        <w:rPr>
          <w:b/>
        </w:rPr>
        <w:t>[Pages 13–15]</w:t>
      </w:r>
    </w:p>
    <w:p>
      <w:r>
        <w:t>BULLETIN NO. 9 OF MARCH 1, 2021</w:t>
      </w:r>
    </w:p>
    <w:p>
      <w:r>
        <w:t>II. DESCRIPTION OF THE OPERATION</w:t>
        <w:br/>
        <w:t>II.1. Implementation methods and objectives of the operation</w:t>
        <w:br/>
        <w:t>15. The notified Operation consists of the establishment of a joint venture by BF, the 4 consortia, and SCCA (hereinafter, collectively, the Parties), to be realized through: i) the transformation of the company CAI S.r.l., created on August 1, 2019, by SCCA, into a joint-stock company under Italian law; ii) the subscription of a capital increase aimed at endowing CAI S.p.A (hereinafter CAI) with full operational capacity; iii) the participation in this capital increase by the Agricultural Consortia and SCCA through the contribution to CAI of their respective business branches, essentially consisting of the business assets instrumental to the marketing, production, and provision of agricultural services and products (i.e., all activities, both material and immaterial, related to the core business carried out by the Agricultural Consortia and SCCA), as well as working capital, personnel, liabilities, liquid assets, part of the financial indebtedness; the financial interests held by the Consortia, including, in particular, those held in the pasta factory Ghigi, are also included in the contribution; iv) the participation in the capital increase of CAI by BF through a cash contribution.</w:t>
        <w:br/>
        <w:t>16. Currently, net of adjustments that may occur, the subscription of the capital increase has resulted in the following distribution of shares in the share capital of CAI: BF 36.79%, CAE 31.1%, CAT 20.02%, CACS 6.29%, SCCA 3.96%, and Consorzio Adriatico 1.84%. In any case, it is provided that BF's share cannot fall below 35% and cannot exceed 49.9%, while the remaining part will still be held by the Agricultural Consortia and SCCA (collectively “the Consortia”).</w:t>
        <w:br/>
        <w:t>17. CAI S.p.A., based on its bylaws, “aims to contribute to the innovation and improvement of agricultural production, as well as to the preparation and management of services useful to agriculture, operating in the general interest of agriculture in the areas where it carries out its activities. The company operates pursuant to Article 2, paragraph 3 of the Decree of the Mezzogiorno.”</w:t>
        <w:br/>
        <w:t>18. According to the Parties, the operation aims to achieve significant economic and industrial synergies among the involved parties, active in the agri-food sector. In particular, BF, the Agricultural Consortia, and SCCA aim to: “(i) create coordination infrastructures to increase the competitive capacity of national production; (ii) enhance its products; (iii) develop a national reality capable of achieving the volumes necessary to compete in European markets. These synergies will help bridge the competitive gap that exists between Italian entities, often of particularly small sizes, and foreign entities, which are much larger and therefore able to exert significant competitive pressures that smaller national farms cannot counter.”</w:t>
        <w:br/>
        <w:t>II.2. Governance rules of CAI</w:t>
        <w:br/>
        <w:t>19. On July 27, 2020, the 4 agricultural consortia entered into a shareholders' agreement that defines, firstly, the number of CAI board members from the consortium side (7, distributed as follows: 2 each from CAE and CAT, 1 each from CACS, CAA, and SCCA) and, secondly, the methods for forming a common voting orientation within the Board of Directors of CAI. In particular, under this agreement, the 4 consortia commit that their representatives on the CAI Board of Directors meet before each board meeting “with the aim of establishing a common line to maintain during such meetings and, where possible, to align their voting orientation.”</w:t>
        <w:br/>
        <w:t>20. Also on July 27, 2020, the Consortia (the 4 agricultural consortia + SCCA), on one side, and BF, on the other, entered into a shareholders' agreement that provides that: i) the Board of Directors of CAI shall be composed of an odd number of directors between 7 and 15 (currently 13); ii) the Consortia and SCCA shall appoint the majority plus one (rounded up) of the directors (7 in the current version of the Board); iii) BF shall appoint the minority minus one (rounded down) of the directors; iv) the CEO of CAI shall be appointed by BF, while the Chairman shall be appointed by the Consortia; v) BF shall have a veto power regarding certain extraordinary resolutions, both assembly-related (e.g., concerning extraordinary operations on CAI's capital) and board-related (e.g., concerning operations that involve significant deviations from what is provided in CAI's budget and business plan, so-called Relevant Board Matters or RBM); vi) in the event of a tie vote (due to the absence of a board member) on any resolution of the Board of Directors, the decisive vote of the CEO shall prevail (so-called “casting vote”); vii) in the event of a deadlock in the Board of Directors, a resolution procedure shall be activated, jointly managed by the Chairman (representing the Consortia and SCCA) and the CEO (representing BF); viii) in the event of failure to resolve the deadlock following the prescribed procedure, call options (in favor of the Agricultural Consortia and SCCA) and put options (in favor of BF) may be exercised concerning BF's participation in CAI.</w:t>
        <w:br/>
        <w:t>21. Based on what is provided in CAI's Bylaws, “the resolutions of the Board of Directors for the approval, amendment, and updating of the Business Plan concerning matters of a mutualistic nature do not constitute Relevant Board Matters and may be adopted with the majorities provided for in Paragraph 6.2.2(a)” of the Shareholders' Agreement, that is, with the majority of the directors present. This means that BF does not have veto powers over resolutions concerning mutualistic matters decided within the CAI Board of Directors.</w:t>
        <w:br/>
        <w:t>II.3 Conclusions on the new control structure of CAI and its subsidiaries</w:t>
        <w:br/>
        <w:t>22. Based on what has been presented regarding the governance rules of CAI, it can be concluded that this company, as a result of the present operation, is jointly controlled by BF, on one side, and by SCCA and the 4 Consortia, collectively, on the other. This is because both BF - a minority shareholder with 6 members on the Board of Directors - and SCCA and the 4 consortia - majority shareholders with a total of 7 directors out of 13 - are recognized as having the ability to block the approval of resolutions on RBM (for which the majority of BF's votes and the overall majority of the votes of the Board are required).</w:t>
        <w:br/>
        <w:t>23. In particular, with reference to the joint control acquired over CAI by the group of 5 consortia (SCCA and the 4 agricultural consortia), identified as a unified “block” of shareholders, the existence of the following circumstances and common interests should be highlighted, which suggest that these parties agree to define a common orientation: i) the 4 agricultural consortia have entered into a specific shareholders' agreement that commits them, where possible, to define a common orientation; ii) SCCA, although not having signed this agreement, is directly participated by the 4 Consortia, which collectively hold 31.9% and represent, collectively, the largest shareholder of SCCA; iii) the resolution of the decision-making deadlock, which can typically occur when there is joint control, is entrusted to the equal mediation of two parties, each of which represents a distinct “block” of shareholders (BF, on one side, and the Consortia/SCCA, on the other), making it necessary for the consortium shareholders - represented by a single entity - to agree on a common line.</w:t>
        <w:br/>
        <w:t>24. The operation also results in a change in the shareholding structure of the company Ghigi 1870 S.p.A.: the BF group, in fact, which already held approximately 41% of the share capital before the operation, has acquired, as a result of the operation, an additional share through the company CAI, into which the shares held by the pasta factory's Consortia, totaling approximately 37%, are merged. According to the Parties, however, due to the voting mechanisms provided by the bylaws of CAI and Ghigi itself, none of the shareholders would end up holding, as a result of the operation, a controlling interest in the pasta factory.</w:t>
        <w:br/>
        <w:t>III. QUALIFICATION OF THE OPERATION</w:t>
        <w:br/>
        <w:t>25. The notified operation, as it involves a change in the control of a company, constitutes a concentration pursuant to Article 5, paragraph 1, letter b), of Law No. 287/90. It is subject to the obligation of prior notification provided for by Article 16, paragraph 1, of Law No. 287/90 (as amended by Article 1, paragraph 177, of Law August 4, 2017, No. 124, in force since August 29, 2017), as the total turnover achieved in the last financial year at the national level by the group of companies involved exceeded 504 million euros and as the total turnover achieved individually at the national level by at least two of the companies involved exceeded 31 million euros.</w:t>
      </w:r>
    </w:p>
    <w:p>
      <w:r>
        <w:rPr>
          <w:b/>
        </w:rPr>
        <w:t>[Pages 16–18]</w:t>
      </w:r>
    </w:p>
    <w:p>
      <w:r>
        <w:t>BULLETIN NO. 9 OF MARCH 1, 2021</w:t>
      </w:r>
    </w:p>
    <w:p>
      <w:r>
        <w:t>IV. EVALUATION OF THE OPERATION</w:t>
        <w:br/>
        <w:t>IV.1 The relevant markets</w:t>
        <w:br/>
        <w:t>26. Agricultural consortia primarily operate in the distribution to agricultural companies, both members and third parties, of products and services useful for carrying out productive activities, including inputs and technical means for agriculture (agricultural machinery, pesticides, fertilizers, animal feed, soil amendments, and seeds), petroleum products, and insurance services. Among the activities carried out to support the productive and commercial activities of farmers, the consortia also provide services such as: technical assistance, collection, storage, drying, and marketing of cereals and other forage and horticultural productions, also by virtue of cultivation contracts entered into with farmers prior to sowing. The consortia also distribute, albeit with a marginal presence in their respective reference markets, agricultural and food products. Some of them, finally, are integrated upstream in the phase of production of inputs such as seeds and animal feed.</w:t>
        <w:br/>
        <w:t>27. BF and its controlled companies, particularly SIS, operate within numerous agri-food supply chains, in markets located both upstream and downstream of the activities carried out by the agricultural consortia. In particular, with reference to the predominant activity of retail distribution of inputs and technical means for agriculture carried out by the Consortia, BF and its subsidiaries operate, upstream, in the markets of production and commercialization of seeds and, downstream, in the markets of cultivation and commercialization of agricultural products. In the upstream markets, these operators compete with numerous international companies active in agrochemicals, while, in the downstream markets of agricultural production, they compete with a multitude of agricultural companies, in extremely fragmented contexts.</w:t>
        <w:br/>
        <w:t>28. The operation in question, therefore, is significant both in terms of the horizontal overlaps it generates, especially with regard to the production of agricultural seeds, and in terms of the vertical integration it creates or strengthens, especially with reference to the different phases of input production, their retail distribution, the cultivation of agricultural products, and the provision of support services for such productions.</w:t>
        <w:br/>
        <w:t>29. According to the Authority's practice, the "horizontally affected markets" by a concentration operation are those in which two or more parties operate simultaneously and will hold after the operation a market share of no less than 15% (horizontally affected markets). The "vertically affected markets," on the other hand, are those in which one party will hold after the operation a market share of no less than 25%, when at least one other party operates in a market located upstream or downstream of the aforementioned market (vertically affected markets).</w:t>
        <w:br/>
        <w:t>30. Following this approach, and based on the market shares provided by the Parties, the markets described below can be considered affected by this operation.</w:t>
        <w:br/>
        <w:t>IV.1.1 The markets related to the production and commercialization of seeds</w:t>
        <w:br/>
        <w:t>31. According to a consolidated community and national orientation, the sector related to the activity of development, production, and commercialization of seeds should be divided into distinct relevant markets based on the specific types of products for which the seeds are intended (barley, corn, durum wheat, soft wheat, rice, oats, etc.) due to the low substitutability for the end user between seeds intended for different products.</w:t>
        <w:br/>
        <w:t>32. The activity of production and commercialization of seeds is articulated in several vertically connected phases, each of which can also be carried out separately by operators who are not vertically integrated. In particular, it involves: a) the production of genetic material, called "germplasm," which in turn implies carrying out a "basic" scientific research activity aimed at establishing the material necessary for the creation of new seed varieties; b) the development of commercial varieties, which requires identifying, starting from the basic genetic material, the varieties that best meet commercial needs (development activity or "applied research"); c) the production, by the variety creator or its successor, of multiplication materials (including the so-called "technical seed"), produced according to selection standards that ensure the preservation in purity of the varieties. These seed products must be officially controlled and certified; d) the actual production activity (production of the so-called "commercial seed"), consisting of the multiplication of the base seed (an activity that is often outsourced by seed producers through specific "multiplication contracts" entered into with farmers), as well as cleaning, treatment, packaging, and certification of the seed; e) the commercialization, consisting of the distribution and sale of the final product to first purchasers, who do not necessarily correspond to the end users but can be simple distributors, such as agricultural consortia.</w:t>
        <w:br/>
        <w:t>33. Although, in some earlier precedents, the Commission has included all phases of seed production and commercialization in a single relevant market, in several other cases - and in all the more recent ones - these different activities have been included in at least two distinct relevant markets, even if vertically connected: i) an upstream market, represented by the activities of establishing and commercializing genetic material and the licenses related to different seed varieties; ii) a downstream market, related to the activity of production and sale of seed. This downstream market, however, as seen, includes at least three types of vertically connected activities: i) the production of technical seed, ii) the multiplication activity, carried out internally by seed companies or outsourced to agricultural companies (multiplying companies) based on multiplication contracts; iii) the commercialization, that is, the sale of commercial seed to agricultural companies that cultivate the finished products (wheat, barley, etc.).</w:t>
        <w:br/>
        <w:t>34. From a geographical perspective, community precedents allow attributing a supranational dimension, at least equal to the territory of the European Union, to the upstream markets of the exchange and commercialization of genetic material aimed at varietal selection and a national dimension to the downstream markets related to the final phases of production and commercialization. In this regard, on the one hand, the uniformity of the competitive conditions existing in the national territory has been emphasized, and on the other hand, the specificity of the characteristics of demand and prices observable in each country; moreover, individual seed varieties are selected and adapted to meet the needs of each country, where there is indeed a National Register of Varieties.</w:t>
        <w:br/>
        <w:t>35. For the purposes of this evaluation, since the connections and overlaps between the activities of the Parties are relevant only in the downstream phases of the production and commercialization of seeds, the markets affected by this operation are those, of national dimension, of production and sale to first purchasers of seeds related to the different types of crops.</w:t>
        <w:br/>
        <w:t>IV.1.2 The markets related to the distribution of petroleum products</w:t>
        <w:br/>
        <w:t>36. Some agricultural consortia involved in this operation also operate in the sector of distribution of petroleum products for agriculture and, specifically, in the distribution of products: agricultural diesel, for automotive use, for heating, and lubricants. According to a consolidated orientation of the Authority, for the purposes of defining the relevant markets within this sector, each of the marketed products defines a separate market from a commodity perspective. The geographical scope of these markets is local.</w:t>
        <w:br/>
        <w:t>IV.1.3 The markets related to the retail distribution of inputs and technical means for agriculture</w:t>
        <w:br/>
        <w:t>37. The vertical effects of the operation, as mentioned, derive mainly from the presence of BF and its controlled companies in markets located upstream and downstream of the retail distribution phase of inputs and technical means for agriculture carried out by the Consortia. Based on the Authority's precedents, the retail distribution of products, tools, and technical means for agriculture can be divided into the following relevant markets: seeds, fertilizers, animal feed, plant protection products, agricultural machinery, and equipment. These markets have a local dimension, coinciding with the provincial scope, as growers and small agricultural businesses tend to source within a territorial area close to where their production activity is located.</w:t>
      </w:r>
    </w:p>
    <w:p>
      <w:r>
        <w:rPr>
          <w:b/>
        </w:rPr>
        <w:t>[Pages 19–21]</w:t>
      </w:r>
    </w:p>
    <w:p>
      <w:r>
        <w:t>BULLETIN NO. 9 OF MARCH 1, 2021 21</w:t>
      </w:r>
    </w:p>
    <w:p>
      <w:r>
        <w:t xml:space="preserve">IV.2 The effects of the operation  </w:t>
        <w:br/>
        <w:t xml:space="preserve">IV.2.1 Horizontal effects  </w:t>
        <w:br/>
        <w:t xml:space="preserve">The national markets for the production and sale of seeds  </w:t>
        <w:br/>
        <w:t xml:space="preserve">38. From a horizontal perspective, the most significant overlaps between the activities of BF and those of the Consortia are found, at a horizontal level, in the markets for the production and sale of seeds, where both BF, through its subsidiary SIS, and the Consortia CAE and CACS operate. Based on the data provided by the Parties, SIS, CAE, and CACS hold the shares indicated in Table No. 1 in the markets related to the various types of seeds.  </w:t>
        <w:br/>
        <w:t xml:space="preserve">Table No. 1: Market shares in the seed markets – 201822  </w:t>
        <w:br/>
        <w:t xml:space="preserve">of which of which Total post Total without  </w:t>
        <w:br/>
        <w:t xml:space="preserve">SIS CAE * CACS *  </w:t>
        <w:br/>
        <w:t xml:space="preserve">prod c.t. prod c.t. merger prod c.t.  </w:t>
        <w:br/>
        <w:t xml:space="preserve">durum wheat [20-25]% [5-10]% [1-5]% [1-5]% [1-5]% [30-35]% [25-30]%  </w:t>
        <w:br/>
        <w:t xml:space="preserve">soft wheat [20-25]% [10-15]% [5-10]% [&lt;1]% [&lt;1]% [35-40]% [30-35]%  </w:t>
        <w:br/>
        <w:t xml:space="preserve">barley [5-10]% [5-10]% [1-5]% [1-5]% [1-5]% [15-20]% [10-15]%  </w:t>
        <w:br/>
        <w:t xml:space="preserve">rice [5-10]% [5-10]% [5-10]%  </w:t>
        <w:br/>
        <w:t xml:space="preserve">oats [10-15]% [1-5]% [1-5]% [15%] [10-15]%  </w:t>
        <w:br/>
        <w:t xml:space="preserve">triticale [10-15]% [5-10]% [5-10]% [15-20]% [15-20]%  </w:t>
        <w:br/>
        <w:t xml:space="preserve">alfalfa [1-5]% [1-5]% [1-5]% [5-10]% [5-10]%  </w:t>
        <w:br/>
        <w:t xml:space="preserve">TOTAL [20-25]% [5-10]% [5-10]% [1-5]% [&lt;1]% [25-30]% [25-30]%  </w:t>
        <w:br/>
        <w:t xml:space="preserve">* Estimated data based on the methodology described in note No. 22.  </w:t>
        <w:br/>
        <w:t xml:space="preserve">Source: elaborations on data provided by the Parties.  </w:t>
        <w:br/>
        <w:t xml:space="preserve">39. Based on what was stated by the Parties during the notification phase, the shares would appear to be overestimated since, in the absence of official data on certified seed sales in Italy, the total volume of sales at the national level has been approximated from the data on the quantities of certified seeds from CREA23, from which sales of imported seeds that are not certified by CREA, as well as sales of non-certified seeds24, are excluded. According to the Parties, this would result in an estimate of the overall markets that is approximately 30% lower than their actual size, which would place the value of the Parties' shares below 30% in all cases.  </w:t>
        <w:br/>
        <w:t xml:space="preserve">22 The shares refer to 2018 as the Parties provided the total quantity of the various types of certified seeds from CREA in Italy only for that year, which represents the denominator for calculating the shares. Furthermore, since the data regarding the sales of seeds from CAE and CACS were provided, for 2018, only with reference to the aggregate of the various types of seeds, these total sales have been attributed to the different markets in proportion to the breakdown of sales provided with reference to 2020.  </w:t>
        <w:br/>
        <w:t xml:space="preserve">23 Council for Agricultural Research and Agricultural Economics Analysis  </w:t>
        <w:br/>
        <w:t>24 Such sales, however, should strictly be excluded from the market as they are illegal.</w:t>
      </w:r>
    </w:p>
    <w:p>
      <w:r>
        <w:t xml:space="preserve">22 BULLETIN NO. 9 OF MARCH 1, 2021  </w:t>
        <w:br/>
        <w:t xml:space="preserve">40. It should also be specified that, in Table No. 1, the overall market shares held by the Consortia and those held solely with the production marketed under their own brand have been indicated separately, as the part of the production carried out on behalf of third parties refers to quantities marketed by other seed companies, competitors of both BF and the Consortia, under the brand of the latter: they could therefore exert a certain degree of competitive pressure on the product marketed by the agricultural consortia under their own brand.  </w:t>
        <w:br/>
        <w:t xml:space="preserve">41. From Table No. 1, it emerges that the operation, even if including in the market shares the quantities of seed processed on behalf of third parties by the Consortia, is capable of determining overlaps of some significance only in the wheat seed sector, where the new operator would reach shares exceeding 30%. However, it must be considered, in this regard, that in the entire sector of seed production and sale, there are numerous and qualified competitors. In particular, in the two markets related to wheat seeds (durum and soft), the following operators are present, some of which belong to large international groups: Syngenta ([10-15%]), APSON/CONSAE ([10-15%]), Limagrain Italia ([10-15%]), and R.A.G.T. Semences ([10-15%]).  </w:t>
        <w:br/>
        <w:t xml:space="preserve">42. An additional element that must be taken into account in evaluating the effects of the operation in the national markets for the production and sale of seeds relates to the distinction between "technical" seed (i.e., seed for reproduction) and "commercial" seed (i.e., seed used by farmers to be transformed into finished products), both included in the same relevant market. In fact, SIS's market share includes both sales of "commercial" seed - an activity carried out by SIS in competition with that carried out by the Consortia - and sales of "technical" seed, an activity that, on the other hand, is not carried out by the Consortia. This means that the actual level of overlap between the activities of the parties, relating only to the activity of production and resale of commercial seed, is lower than that indicated by the shares reported in Table No. 1.  </w:t>
        <w:br/>
        <w:t xml:space="preserve">43. In light of the above, it is believed that, with specific reference to the national markets for the production and commercialization of the various types of seeds, the operation does not appear suitable for creating or strengthening a dominant position.  </w:t>
        <w:br/>
        <w:t xml:space="preserve">Markets for the distribution of petroleum products for agricultural use  </w:t>
        <w:br/>
        <w:t xml:space="preserve">44. With regard to the effects of the operation in the markets for the distribution of petroleum products, it is noted that 3 of the 4 Agricultural Consortia participating in the operation operate therein, namely CAE (through the subsidiary Eurocap), CAA, and CAT. However, in the provinces where CAA operates, the market shares held by this operator are already effectively incorporated into those of CAE, as CAA operates exclusively as an agent for Eurocap, a company controlled by CAE. In particular, the agency contract entered into between these operators provides for an exclusivity obligation on the part of CAA, while it does not impose exclusivity obligations on Eurocap. Therefore, since the agency contract between Eurocap and CAA will be subject to transfer as part of the operation and modified accordingly, the operation in question does not in fact result in any increase in the share already held by Eurocap in the provinces where CAA operates.  </w:t>
        <w:br/>
        <w:t xml:space="preserve">45. An overlap of shares, on the other hand, occurs between CAE and CAT in the province of Grosseto, where CAE holds, in the overall distribution of off-network petroleum products, a share of 5%, while CAT holds 15%. For the purposes of this assessment of the effects of the operation, it does not seem relevant to accurately measure the overlap that would occur in each of the individual markets concerned (agricultural diesel, diesel for automotive use, heating oil, and lubricants) in the province of Grosseto, since the parties compete with all the main national oil operators active in the so-called off-network distribution.  </w:t>
        <w:br/>
        <w:t xml:space="preserve">46. In light of this, the operation does not appear suitable to significantly impact the level of competition present in the markets for the distribution of petroleum products.  </w:t>
        <w:br/>
        <w:t xml:space="preserve">IV.2.2 Vertical effects  </w:t>
        <w:br/>
        <w:t xml:space="preserve">47. As highlighted above, the operation in question appears capable of establishing a new vertically integrated operator, active in the retail distribution phase of products and services for agriculture and in the upstream and downstream markets, in which BF and its subsidiaries operate.  </w:t>
        <w:br/>
        <w:t xml:space="preserve">48. Prior to the realization of the operation in question, various vertical commercial relationships existed between the Parties, essentially represented by: i) the sale to the Consortia, by SIS and BF, of seeds and other agricultural and food products to be distributed to end users; ii) the sale to BF and SIS itself, by the Consortia, of products and services for agriculture. According to what was indicated by the Parties, the impact of such commercial relationships on the financial statements of the operators involved was not, however, significant: both sales to BF and sales to SIS have in fact represented less than 1% of the total sales of the Consortia that are part of this operation in recent years; sales of BF to the Consortia did not exceed [1-5%] of the total sales of the company, while sales of SIS to the 4 consortia that are part of the operation accounted for approximately [10-15%] of SIS's total sales25.  </w:t>
        <w:br/>
        <w:t xml:space="preserve">49. For the purposes of evaluating the effects of this operation, it is therefore necessary to verify whether the vertical integration realized by it could lead to a strengthening of the existing vertical relationships capable of producing a restrictive effect on competition in the individual relevant markets concerned, represented by the possible foreclosure of access to competitors in the input procurement phase (upstream phase) and/or in the placement phase of products in their respective sales channels (downstream phase).  </w:t>
        <w:br/>
        <w:t xml:space="preserve">Access to procurement markets for farmers competing with BF  </w:t>
        <w:br/>
        <w:t xml:space="preserve">50. In this regard, it should first be noted that the new operator would have no possibility of foreclosing farmers, currently competing with BF in the cultivation and commercialization of agricultural products, from accessing the retail distribution markets of inputs and means of production (seeds, feed, fertilizers, etc.), on which the Consortia participating in the operation currently operate. In fact, despite the significant shares held by the Consortia in certain provinces, in the final distribution of such products (see Table No. 2), it is observed that:  </w:t>
        <w:br/>
        <w:t xml:space="preserve">- multinational companies that hold very strong positions globally and operate in Italy through their own subsidiaries and/or sales agents are present in these markets. Among these, for example, are the Italian subsidiaries of the Syngenta group - one of the main operators globally in the development and production of seeds - and the Limagrain group - which represents, in the seed sector, the fourth operator globally and the leader in Europe;  </w:t>
        <w:br/>
        <w:t>25 Among the sales of SIS to other operators are also those to other Agricultural Consortia that are not part of this operation.</w:t>
      </w:r>
    </w:p>
    <w:p>
      <w:r>
        <w:rPr>
          <w:b/>
        </w:rPr>
        <w:t>[Pages 22–24]</w:t>
      </w:r>
    </w:p>
    <w:p>
      <w:r>
        <w:t>24 BULLETIN NO. 9 OF MARCH 1, 2021</w:t>
        <w:br/>
        <w:t>- all products and technical means for agriculture, including seeds, can also be purchased through wholesalers, online channels, or directly from the producing companies; SIS itself, in fact, distributes through the 4 consortia only about [10-15%] of its seed production.</w:t>
        <w:br/>
        <w:t>51. Also with reference to the activities of assistance and the provision of storage and processing services for products, currently carried out by the agricultural consortia for their members and third-party agricultural companies, it is not believed that the new operator would have the capacity to deny farmers access to such services, which are also offered by other economic entities, in addition to the agricultural organizations themselves and, regarding the storage and processing services of products, also by large marketing companies.</w:t>
        <w:br/>
        <w:t>Tab. n. 2: Market shares of Agricultural Consortia in retail sales* - 2019</w:t>
        <w:br/>
        <w:t>Seeds</w:t>
        <w:br/>
        <w:t>CAE CAA CAT CACS</w:t>
        <w:br/>
        <w:t>Prov. Q.d.m. Prov. Q.d.m. Prov. Q.d.m. Prov. Q.d.m.</w:t>
        <w:br/>
        <w:t>BO [40-45%] FC-RN [25-30%] LI [40-45%] CB [15-20%]</w:t>
        <w:br/>
        <w:t>MO [30-35%] MC [25-30%] PI [25-30%]</w:t>
        <w:br/>
        <w:t>RE [40-45%] AP-FM [20-25%] PT [25-30%]</w:t>
        <w:br/>
        <w:t>FE [35-40%] PU [20-25%] VT [20-25%]</w:t>
        <w:br/>
        <w:t>GR [50-55%]</w:t>
        <w:br/>
        <w:t>Plant Protection Products</w:t>
        <w:br/>
        <w:t>CAE CAA CAT</w:t>
        <w:br/>
        <w:t>Prov. Q.d.m. Prov. Q.d.m. Prov. Q.d.m.</w:t>
        <w:br/>
        <w:t>BO [35-40%] FC-RN [40-45%] LI [25-30%]</w:t>
        <w:br/>
        <w:t>MO [45-50%] MC [15-20%] PI [55-60%]</w:t>
        <w:br/>
        <w:t>RE [60-65%] AP-FM [30-35%] VT [15-20%]</w:t>
        <w:br/>
        <w:t>FE [20-25%] PU [15-20%] GR [45-50%]</w:t>
        <w:br/>
        <w:t>Fertilizers</w:t>
        <w:br/>
        <w:t>CAE CAA CAT CACS</w:t>
        <w:br/>
        <w:t>Prov. Q.d.m. Prov. Q.d.m. Prov. Q.d.m. Prov. Q.d.m.</w:t>
        <w:br/>
        <w:t>BO [40-45%] FC-RN [35-40%] LI [35-40%] CB [15-20%]</w:t>
        <w:br/>
        <w:t>MO [30-35%] MC [25-30%] PI [25-30%]</w:t>
        <w:br/>
        <w:t>RE [35-40%] AP-FM [30-35%] VT [30-35%]</w:t>
        <w:br/>
        <w:t>FE [30-35%] PU [15-20%] GR [55-60%]</w:t>
        <w:br/>
        <w:t>PT [25-30%]</w:t>
        <w:br/>
        <w:t>* only shares &gt;15% are indicated.</w:t>
        <w:br/>
        <w:t>Source: communication from the Parties.</w:t>
      </w:r>
    </w:p>
    <w:p>
      <w:r>
        <w:t>BULLETIN NO. 9 OF MARCH 1, 2021 25</w:t>
        <w:br/>
        <w:t>Access to exit markets for SIS's competing seed companies</w:t>
        <w:br/>
        <w:t>52. Similar considerations apply regarding the possibility that the new operator, integrating downstream in the distribution of seeds through the network of the Consortia, could deny access to distribution channels to SIS's competitors (and, to a limited extent, the agricultural consortia) in the production of seeds. In fact, as seen, seeds can also be purchased by farmers directly from seed companies or, in any case, using distribution channels other than those represented by the "physical" retail distribution points. In particular, for seed procurement, the online channel and that of traders/intermediaries are also available to the farmer. It is therefore not believed that the operation enables the new operator to deny access to the final customers to its competitors in the seed markets.</w:t>
        <w:br/>
        <w:t>53. In conclusion, it is not believed that the operation is suitable to produce significant vertical effects of restriction of competition in the relevant markets.</w:t>
        <w:br/>
        <w:t>CONSIDERED, therefore, that the operation in question does not result, pursuant to Article 6, paragraph 1, of Law No. 287/90, in the establishment or strengthening of a dominant position in the relevant markets such as to eliminate or substantially and durably reduce competition;</w:t>
        <w:br/>
        <w:t>RESOLVES</w:t>
        <w:br/>
        <w:t>not to initiate the investigation referred to in Article 16, paragraph 4, of Law No. 287/90.</w:t>
        <w:br/>
        <w:t>The above conclusions will be communicated, pursuant to Article 16, paragraph 4, of Law No. 287/90, to the interested companies and the Minister of Economic Development.</w:t>
        <w:br/>
        <w:t>This measure will be published in the Bulletin of the Competition and Market Authority.</w:t>
        <w:br/>
        <w:t>THE SECRETARY GENERAL THE PRESIDENT</w:t>
        <w:br/>
        <w:t>Filippo Arena Roberto Rustichelli</w:t>
      </w:r>
    </w:p>
    <w:p>
      <w:r>
        <w:t>26 BULLETIN NO. 9 OF MARCH 1, 2021</w:t>
        <w:br/>
        <w:t>C12360 - 2I RETE GAS/GAS DISTRIBUTION INFRASTRUCTURES</w:t>
        <w:br/>
        <w:t>Measure no. 28572</w:t>
        <w:br/>
        <w:t>THE COMPETITION AND MARKET AUTHORITY</w:t>
        <w:br/>
        <w:t>IN ITS MEETING of February 23, 2021;</w:t>
        <w:br/>
        <w:t>HEARD the Rapporteur Professor Michele Ainis;</w:t>
        <w:br/>
        <w:t>HAVING REGARD to Council Regulation (EC) No. 139/2004;</w:t>
        <w:br/>
        <w:t>HAVING REGARD to the law of October 10, 1990, No. 287;</w:t>
        <w:br/>
        <w:t>HAVING REGARD to the communication from the company 2i Rete Gas S.p.A., received on February 10, 2021;</w:t>
        <w:br/>
        <w:t>HAVING REGARD to the documentation on file;</w:t>
        <w:br/>
        <w:t>CONSIDERING the following:</w:t>
        <w:br/>
        <w:t>I. THE PARTIES</w:t>
        <w:br/>
        <w:t>1. 2i Rete Gas S.p.A. (hereinafter also "2iRG") is a company active, with the group of the same name formed together with its subsidiaries, in the management of the natural gas distribution service for civil and industrial uses and, to a lesser extent, of LPG throughout the national territory. In particular, with reference to the activity of natural gas distribution, 2iRG is the concessionaire of the gas distribution service in over 2,100 Italian municipalities. In 2019, 2iRG achieved, entirely in Italy, a turnover of over [1-2]* billion euros.</w:t>
        <w:br/>
        <w:t>2. Infrastrutture Distribuzione Gas S.p.A. (hereinafter also "IDG") is a company of the Edison group, primarily active in the management of the natural gas distribution service. In particular, in this sector, IDG operates in 5 regions (Abruzzo, Emilia-Romagna, Lombardy, Veneto, and Lazio) and about 60 municipalities. The turnover achieved by IDG in 2019, entirely in Italy, is approximately [31-100] million euros.</w:t>
        <w:br/>
        <w:t>II. DESCRIPTION OF THE OPERATION</w:t>
        <w:br/>
        <w:t>3. The notified concentration operation consists of the acquisition of exclusive control of IDG by 2iRG, through the purchase of 100% of its share capital.</w:t>
        <w:br/>
        <w:t>4. The operation is accompanied by a framework agreement for transitional services (hereinafter also AST) between IDG, Edison, and Edison Stoccaggio S.p.A1., pursuant to which the latter will continue to provide, for a transitional period from the date of closing - and in any case until March 31, 2022 -, a series of technical, IT, and administrative services in favor of IDG, functional to ensuring the continuity of its operations.</w:t>
        <w:br/>
        <w:t>* In this version, some data are omitted, as elements of confidentiality or secrecy of the information were deemed to exist.</w:t>
        <w:br/>
        <w:t>1 The involvement of Edison Stoccaggio is only foreseen for certain IT activities.</w:t>
      </w:r>
    </w:p>
    <w:p>
      <w:r>
        <w:rPr>
          <w:b/>
        </w:rPr>
        <w:t>[Pages 25–27]</w:t>
      </w:r>
    </w:p>
    <w:p>
      <w:r>
        <w:t>BULLETIN NO. 9 OF MARCH 1, 2021 27</w:t>
      </w:r>
    </w:p>
    <w:p>
      <w:r>
        <w:t>III. QUALIFICATION OF THE OPERATION</w:t>
        <w:br/>
        <w:t>5. The operation in question, as it involves the acquisition of exclusive control of a company, constitutes a concentration pursuant to Article 5, paragraph 1, letter b), of Law No. 287/90. It falls within the scope of application of Law No. 287/90, as the conditions set out in Article 1 of Council Regulation (EC) No. 139/04 do not apply, and is subject to the obligation of prior notification established by Article 16, paragraph 1, of the same law, as the total turnover achieved in the last financial year at the national level by the group of companies involved exceeded 504 million euros and the total turnover achieved individually in Italy in the last financial year by at least two of the companies involved exceeded 31 million euros.</w:t>
      </w:r>
    </w:p>
    <w:p>
      <w:r>
        <w:t>6. The provisions contained in the AST accompanying the operation can be considered directly related to it and therefore qualify as ancillary restrictions to the operation.</w:t>
      </w:r>
    </w:p>
    <w:p>
      <w:r>
        <w:t>IV. ASSESSMENT OF THE CONCENTRATION</w:t>
        <w:br/>
        <w:t>A) Relevant markets and positions of the parties</w:t>
        <w:br/>
        <w:t>7. The notified Operation concerns, due to the operations of the Parties, the sector of natural gas distribution. With reference to this sector, in particular, the Operation involves the following relevant markets:</w:t>
        <w:br/>
        <w:t>1) the markets for the distribution of natural gas in the respective concession areas;</w:t>
        <w:br/>
        <w:t>2) the markets for the area tenders for the awarding of natural gas distribution concessions.</w:t>
      </w:r>
    </w:p>
    <w:p>
      <w:r>
        <w:t>The markets for the distribution of natural gas</w:t>
        <w:br/>
        <w:t>8. As far as the markets for the distribution of natural gas are concerned, the related service is carried out under a legal monopoly in the respective concession areas, of municipal size. In this market, the Parties serve a total of approximately 2160 Italian municipalities, of which over 2100 are served by the purchaser 2iRG.</w:t>
      </w:r>
    </w:p>
    <w:p>
      <w:r>
        <w:t>9. Considering the service supply regime, the operation, with reference to the relevant markets in question, involves merely the replacement of one operator with another in each of these municipalities and does not result in any change to their structure.</w:t>
      </w:r>
    </w:p>
    <w:p>
      <w:r>
        <w:t>The markets for area tenders for the awarding of natural gas distribution services</w:t>
        <w:br/>
        <w:t>10. In light of the aforementioned legal monopoly regime in the provision of the natural gas distribution service, the only form of possible competition in the sector occurs during participation in the area tenders (hereinafter also "ATEM") for the awarding of expired concessions (so-called competition for the market).</w:t>
      </w:r>
    </w:p>
    <w:p>
      <w:r>
        <w:t>11. By virtue of the current regulatory framework - as already stated in numerous precedents of the Authority - the relevant market must be considered coincident with each ATEM tender. The effects of the operation in the (future) markets of the area tenders are assessed based on the impact of the operation on the expected level of competition in each affected tender. In summary, this assessment derives, firstly, from the current configuration of existing managements, given the significant advantage associated, in the tender, with the qualification of the prevailing outgoing manager. Secondly, the likelihood that other operators, even those currently not present in the ATEM, will participate in the tender must be taken into account. The main drivers influencing this interest are: the perceived contestability of the ATEM (in the first approximation dependent on the share of the total PDR of the ATEM held by the main outgoing manager), as well as some characteristics of the hypothetical competitor, such as its possible presence in the surrounding geographical area or - more generally - its size (financial capacity), which gives an important role to assumptions about the behavior of the two main national players (Italgas S.p.A. and 2i Rete Gas S.p.A.), as well as, on a macro-regional scale, of large multi-utilities (Hera S.p.A., Iren S.p.A. and A2A S.p.A.).</w:t>
      </w:r>
    </w:p>
    <w:p>
      <w:r>
        <w:t>12. Consistent with this approach, the notifying Party has provided an estimate of the share of gas delivery points ("PDR") held by the Parties within each of the ATEMs in which the acquired company is active and where, therefore, overlaps between the Parties in terms of such defined shares could occur. In particular, IDG is active in the following 17 ATEMs: Como 1, Como 2, Ferrara, L’Aquila 2, L’Aquila 3, Teramo, Monza Brianza 1, Padova 1, Padova 2, Pavia 3, Rimini, Roma 4, Rovigo, Varese 3, Venezia 1, Vicenza 1, and Vicenza 3.</w:t>
      </w:r>
    </w:p>
    <w:p>
      <w:r>
        <w:t>4 The assignment through tender of the concession for the natural gas distribution service has been provided for by the Legislator since D.Lgs. 164/2000. Subsequently, D.L. 159/2007 entrusted the Ministry of Economic Development ("MISE") with the task of defining minimum territorial areas (so-called "ATEM") for the conduct of tenders and the awarding of the gas distribution service and identifying tender criteria and evaluation of offers. Consequently, in 2011, MISE identified 177 ATEMs, defining their respective territorial boundaries, and also outlining the framework of reference rules for conducting tenders, particularly identifying the criteria for calling the tender procedure and determining the offer, as well as the deadlines by which the ATEMs were required to carry out the necessary steps to announce the tender (DM 226/2011).</w:t>
      </w:r>
    </w:p>
    <w:p>
      <w:r>
        <w:t>5 See, among others, C11878 - ITALGAS - ACEGAS-APS/ISONTINA RETI GAS, measure no. 24320 of April 17, 2013 in Bulletin 17/2013, C11990 - SEL- SOCIETÀ ELETTRICA ALTOATESINA/AZIENDA ENERGETICA, measure no. 25550 of July 15, 2015 in Bulletin 26/2015 and C12044 – A2A/LINEA GROUP HOLDING, measure no. 26012 of May 18, 2016 in Bulletin 17/2016, C12125 – 2I RETE GAS/NEDGIA, measure no. 26835 of January 25, 2018, C12258 - Ascopiave/Business units of ACEGASPSAMGA measure no. 27989, of November 19, 2019, C12294, A2A – AMBIENTE ENERGIA BRIANZA, measure no. 28434, of November 3, 2020.</w:t>
      </w:r>
    </w:p>
    <w:p>
      <w:r>
        <w:t>6 Recent investigations conducted by the Authority in these markets have clearly shown that the vast majority of operators consider being present in an ATEM an advantage capable of influencing companies' strategies in participating in tenders both positively (inducing them to focus on ATEM tenders in which they are already present) and negatively (inducing them to consider ATEMs with a strong outgoing manager as poorly contestable and, therefore, not to foresee participation in the related tenders). The importance of presence, and the consistency of that presence in the ATEM, is linked to the fact that it generates a financial barrier represented by the obligation, for the winner of the tender, to reimburse the so-called VIR (residual value of investments) to the outgoing managers. The financial effort required of the winning operator of the tender obviously decreases as the number of PDR served by it in the ATEM increases.</w:t>
      </w:r>
    </w:p>
    <w:p>
      <w:r>
        <w:t>BULLETIN NO. 9 OF MARCH 1, 2021 29</w:t>
      </w:r>
    </w:p>
    <w:p>
      <w:r>
        <w:t>13. Among the 17 ATEMs in which IDG is currently operational, 2iRG is not active in the ATEMs of Padova 2, Rimini, and Venezia 1, where therefore no overlaps between the Parties occur. For these ATEMs, it must therefore be considered that the operation does not produce any change in the dynamics of participation in future related tenders.</w:t>
      </w:r>
    </w:p>
    <w:p>
      <w:r>
        <w:t>14. With reference to the remaining 14 ATEMs, the respective positions of the outgoing managing operators, measured in terms of the share of gas delivery points managed (PdR) as a percentage of the infrastructure of the entire ATEM, are those indicated in the tables that follow (see Tables 1-14).</w:t>
      </w:r>
    </w:p>
    <w:p>
      <w:r>
        <w:t>Table 1 – ATEM of Como 1</w:t>
        <w:br/>
        <w:t>Como 1 Share of PDR</w:t>
        <w:br/>
        <w:t>2iRG [15-20%]</w:t>
        <w:br/>
        <w:t>IDG [1-5%]</w:t>
        <w:br/>
        <w:t>Multiutility del Nord S.p.A. [50-55%]</w:t>
        <w:br/>
        <w:t>Reti Più S.r.l. [5-10%]</w:t>
      </w:r>
    </w:p>
    <w:p>
      <w:r>
        <w:t>Table 2 – ATEM of Como 2</w:t>
        <w:br/>
        <w:t>Como 2 Share of PDR</w:t>
        <w:br/>
        <w:t>2iRG [70-75%]</w:t>
        <w:br/>
        <w:t>IDG [1-5%]</w:t>
        <w:br/>
        <w:t>Multiutility del Nord S.p.A. [25-30%]</w:t>
      </w:r>
    </w:p>
    <w:p>
      <w:r>
        <w:t>Table 3 – ATEM of Ferrara</w:t>
        <w:br/>
        <w:t>Ferrara Share of PDR</w:t>
        <w:br/>
        <w:t>2iRG [20-25%]</w:t>
        <w:br/>
        <w:t>IDG [5-10%]</w:t>
        <w:br/>
        <w:t>Inrete Distribuzione Gas S.p.A. [65-70%]</w:t>
        <w:br/>
        <w:t>Soelia S.p.A. [5-10%]</w:t>
      </w:r>
    </w:p>
    <w:p>
      <w:r>
        <w:t>Table 4 – ATEM of L’Aquila 2</w:t>
        <w:br/>
        <w:t>L’Aquila 2 Share of PDR</w:t>
        <w:br/>
        <w:t>2iRG [30-35%]</w:t>
        <w:br/>
        <w:t>IDG [1-5%]</w:t>
        <w:br/>
        <w:t>Italgas Reti S.p.A. [40-45%]</w:t>
        <w:br/>
        <w:t>Alto Sangro Distribuzione Gas S.p.A. [5-10%]</w:t>
      </w:r>
    </w:p>
    <w:p>
      <w:r>
        <w:rPr>
          <w:b/>
        </w:rPr>
        <w:t>[Pages 28–30]</w:t>
      </w:r>
    </w:p>
    <w:p>
      <w:r>
        <w:t>BULLETIN NO. 9 OF MARCH 1, 2021</w:t>
      </w:r>
    </w:p>
    <w:p>
      <w:r>
        <w:t>Table 5 – ATEM of L’Aquila 3</w:t>
        <w:br/>
        <w:t>L’Aquila 3 Share of PDR</w:t>
        <w:br/>
        <w:t>2iRG [5-10%]</w:t>
        <w:br/>
        <w:t>IDG [10-15%]</w:t>
        <w:br/>
        <w:t>Alto Sangro Distribuzione Gas S.p.A. [35-40%]</w:t>
        <w:br/>
        <w:t>Italgas Reti S.p.A. [25-30%]</w:t>
      </w:r>
    </w:p>
    <w:p>
      <w:r>
        <w:t>Table 6 – ATEM of Monza Brianza 1</w:t>
        <w:br/>
        <w:t>Monza Brianza 1 Share of PDR</w:t>
        <w:br/>
        <w:t>2iRG [10-15%]</w:t>
        <w:br/>
        <w:t>IDG [1-5%]</w:t>
        <w:br/>
        <w:t>Multiutility del Nord S.p.A. [45-50%]</w:t>
        <w:br/>
        <w:t>Italgas Reti S.p.A. [30-35%]</w:t>
      </w:r>
    </w:p>
    <w:p>
      <w:r>
        <w:t>Table 7 – ATEM of Padova 1</w:t>
        <w:br/>
        <w:t>Padova 1 Share of PDR</w:t>
        <w:br/>
        <w:t>2iRG [15-20%]</w:t>
        <w:br/>
        <w:t>IDG [1-5%]</w:t>
        <w:br/>
        <w:t>AP Reti Gas S.p.A. [70-75%]</w:t>
        <w:br/>
        <w:t>DIM Gas S.r.l. [1-5%]</w:t>
      </w:r>
    </w:p>
    <w:p>
      <w:r>
        <w:t>Table 8 – ATEM of Pavia 3</w:t>
        <w:br/>
        <w:t>Pavia 3 Share of PDR</w:t>
        <w:br/>
        <w:t>2iRG [70-75%]</w:t>
        <w:br/>
        <w:t>IDG [5-10%]</w:t>
        <w:br/>
        <w:t>Condotte Nord S.p.A. [15-20%]</w:t>
        <w:br/>
        <w:t>Società Impianti Metano S.r.l. [1-5%]</w:t>
      </w:r>
    </w:p>
    <w:p>
      <w:r>
        <w:t>Table 9 – ATEM of Roma 4</w:t>
        <w:br/>
        <w:t>Roma 4 Share of PDR</w:t>
        <w:br/>
        <w:t>2iRG [40-45%]</w:t>
        <w:br/>
        <w:t>IDG [20-25%]</w:t>
        <w:br/>
        <w:t>Italgas Reti S.p.A. [30-35%]</w:t>
      </w:r>
    </w:p>
    <w:p>
      <w:r>
        <w:t>BULLETIN NO. 9 OF MARCH 1, 2021</w:t>
      </w:r>
    </w:p>
    <w:p>
      <w:r>
        <w:t>Table 10 – ATEM of Rovigo</w:t>
        <w:br/>
        <w:t>Rovigo Share of PDR</w:t>
        <w:br/>
        <w:t>2iRG [30-35%]</w:t>
        <w:br/>
        <w:t>IDG [10-15%]</w:t>
        <w:br/>
        <w:t>AP Reti Gas S.p.A. [35-40%]</w:t>
        <w:br/>
        <w:t>Italgas Reti S.p.A. [15-20%]</w:t>
      </w:r>
    </w:p>
    <w:p>
      <w:r>
        <w:t>Table 11 – ATEM of Teramo</w:t>
        <w:br/>
        <w:t>Teramo Share of PDR</w:t>
        <w:br/>
        <w:t>2iRG [25-30%]</w:t>
        <w:br/>
        <w:t>IDG [5-10%]</w:t>
        <w:br/>
        <w:t>Italgas Reti S.p.A. [40-45%]</w:t>
        <w:br/>
        <w:t>Cosev Servizi S.p.A. [5-10%]</w:t>
      </w:r>
    </w:p>
    <w:p>
      <w:r>
        <w:t>Table 12 – ATEM of Varese 3</w:t>
        <w:br/>
        <w:t>Varese 3 Share of PDR</w:t>
        <w:br/>
        <w:t>2iRG [35-40%]</w:t>
        <w:br/>
        <w:t>IDG [less than 1%]</w:t>
        <w:br/>
        <w:t>Prealpi Distribuzione Gas S.p.A. [25-30%]</w:t>
        <w:br/>
        <w:t>GEI S.p.A. [5-10%]</w:t>
      </w:r>
    </w:p>
    <w:p>
      <w:r>
        <w:t>Table 13 – ATEM of Vicenza 1</w:t>
        <w:br/>
        <w:t>Vicenza 1 Share of PDR</w:t>
        <w:br/>
        <w:t>2iRG [5-10%]</w:t>
        <w:br/>
        <w:t>IDG [1-5%]</w:t>
        <w:br/>
        <w:t>Servizi a rete s.r.l. [70-75%]</w:t>
        <w:br/>
        <w:t>Italgas Reti S.p.A. [5-10%]</w:t>
      </w:r>
    </w:p>
    <w:p>
      <w:r>
        <w:t>Table 14 – ATEM of Vicenza 3</w:t>
        <w:br/>
        <w:t>Vicenza 3 Share of PDR</w:t>
        <w:br/>
        <w:t>2iRG [1-5%]</w:t>
        <w:br/>
        <w:t>IDG [5-10%]</w:t>
        <w:br/>
        <w:t>AP Reti Gas S.p.A. [75-80%]</w:t>
        <w:br/>
        <w:t>Multiutility del Nord S.p.A. [5-10%]</w:t>
      </w:r>
    </w:p>
    <w:p>
      <w:r>
        <w:t>B) Effects of the operation</w:t>
        <w:br/>
        <w:t>15. In assessing the effects of the concentration between the Parties in the markets of future tenders for the various affected ATEMs, reference must be made to the competitive pressure exerted by the companies that are likely to participate in the aforementioned tenders and the possibility that the operation may reduce it, resulting in the elimination of actual competitors or a disincentive effect on participation by third parties. According to this approach, the most relevant variable for evaluating the expected competition in the tender and the resulting competitive constraints is identified by the prior presence in the ATEM, which is linked to a competitive advantage both financially and organizationally capable of significantly impacting the incentive to participate in the tender and the ability to submit a competitive offer.</w:t>
      </w:r>
    </w:p>
    <w:p>
      <w:r>
        <w:t>16. An additional relevant element for the decision to participate or not in a specific ATEM tender is related to the prior presence in one or more neighboring ATEMs to the one subject to allocation (such proximity does not necessarily require that the ATEMs be contiguous). Finally, the competitive pressure in the area tenders will depend, in addition to the presence in them and, possibly, in neighboring ATEMs, also on further characteristics of hypothetical competitors, such as their size (and financial capacity), as well as their tender strategies.</w:t>
      </w:r>
    </w:p>
    <w:p>
      <w:r>
        <w:t>17. Examining the position of the Parties in the ATEMs affected by the operation, with reference to the ATEMs of Como 1, Monza Brianza 1, Varese 3, Vicenza 1, Vicenza 3, Padova 1, Ferrara, L’Aquila 2, L’Aquila 3, and Teramo, the notified operation does not appear likely to produce restrictive effects in the future market of the related area tenders, neither in terms of the elimination of an actual competitor nor in terms of reducing incentives to participate. In each of these ATEMs, in fact, the reduced prior position of the acquired company could not be considered sufficient to qualify it as a credible competitor in the tenders, and the joint position of the parties post-merger remains overall well below 50% of the managed PDRs, in a context where there are significant and qualified competitors capable of ensuring the necessary contestability of the ATEMs in question.</w:t>
      </w:r>
    </w:p>
    <w:p>
      <w:r>
        <w:t>18. Conversely, the concentration appears likely to produce restrictive effects on competition primarily concerning the market of the future tender for the ATEM Roma 4. In this regard, it is noted that in this ATEM the operation involves the reunification under a single decision-making center, with a post-merger presence in terms of PDR exceeding [65-70%], of the two main operators currently present therein, with rather symmetrical positions.</w:t>
      </w:r>
    </w:p>
    <w:p>
      <w:r>
        <w:t>19. Given the extent to which both 2IRG and IDG hold the qualification of outgoing operator, it seems reasonable to assume that, in the absence of the operation, the two companies would have independently participated in the tender for the ATEM Roma 4, and that the operation will therefore lead to the unification under the same control of two of the potential participants, eliminating one of the competitors in the tender and causing a substantial reduction in competition in the market for the tender for the allocation of the natural gas distribution service in the aforementioned ATEM. At the same time, it cannot be excluded that the operation may strengthen the main outgoing operator, already a primary national operator, to the point of discouraging the participation of third parties, further reducing the level of competition in the related market.</w:t>
      </w:r>
    </w:p>
    <w:p>
      <w:r>
        <w:rPr>
          <w:b/>
        </w:rPr>
        <w:t>[Pages 31–33]</w:t>
      </w:r>
    </w:p>
    <w:p>
      <w:r>
        <w:t>BULLETIN NO. 9 OF MARCH 1, 2021 33</w:t>
      </w:r>
    </w:p>
    <w:p>
      <w:r>
        <w:t>20. The effects of the operation on the future tender for the ATEM of Rovigo also deserve to be examined, the only one among those in which both companies are present where the party with the lesser presence still serves at least 10% of the total PDR. In this ATEM, in fact, IDG holds [10.9%] of the PDR and 2IRG [30-35%]. In the ATEM, there are two other operators with a significant share of the total PDR: AP Reti Gas S.p.A. with [35-40%] and Italgas Reti S.p.A. with [15-20%]. The relatively balanced structure of the previous presence in the ATEM suggests that all operators, including IDG, might consider participating in the tender with interest. For this reason, the operation, involving the acquisition of IDG by 2IRG, is likely to reduce the number of potential participants in the future tender and thus the level of competition in the relevant market.</w:t>
      </w:r>
    </w:p>
    <w:p>
      <w:r>
        <w:t>21. Finally, the effects of the operation on the future tenders for the ATEM of Como 2 and Pavia 3 are relevant, in which the acquired IDG holds [1-5%] and [5-10%] of the total PDR, respectively. Due to these shares, it can be excluded that in these ATEMs IDG's position is likely to qualify the company as a probable participant in the tenders. Consequently, the operation does not directly result in a decrease in the expected number of participants in the same. However, it should be noted that in these two ATEMs, the positions held by the acquired company add to a very strong presence of 2IRG as the incumbent operator (holding in both cases a share exceeding 70% of the total PDR). As mentioned earlier, the presence of a very strong incumbent in an ATEM can represent a disincentive for third-party operators to participate in the relevant tender. For this reason, a concentration operation that strengthens the position of the incumbent in an ATEM is, in principle, likely to reduce the level of competition in the future tender for the award of the ATEM itself. A verification therefore appears necessary to assess the expected effects of the operation in question regarding the future tenders of the ATEMs Como 2 and Pavia 3.</w:t>
      </w:r>
    </w:p>
    <w:p>
      <w:r>
        <w:t>CONSIDERING, therefore, that the operation under examination is likely to determine, pursuant to Article 6 of Law No. 287/90, the creation or strengthening of a dominant position, such as to eliminate or substantially and durably reduce competition in the future markets for the tenders for the natural gas distribution service in the ATEMs Roma 4, Rovigo, Como 2, and Pavia 3;</w:t>
      </w:r>
    </w:p>
    <w:p>
      <w:r>
        <w:t>RESOLVES</w:t>
      </w:r>
    </w:p>
    <w:p>
      <w:r>
        <w:t>a) to initiate the investigation, pursuant to Article 16, paragraph 4, of Law No. 287/90, against the companies 2i Rete Gas S.p.A. and Infrastrutture Distribuzione Gas S.p.A.;</w:t>
      </w:r>
    </w:p>
    <w:p>
      <w:r>
        <w:t>b) to set a deadline of ten days, starting from the date of notification of this measure, for the exercise by the legal representatives of the Parties, or by persons delegated by them, of the right to be heard, pursuant to Article 14, paragraph 1, of Law No. 287/90, specifying that the request for a hearing must be received by the Energy and Basic Industry Directorate of the Directorate General for Competition of this Authority at least three days before the expiration of the above-mentioned deadline;</w:t>
      </w:r>
    </w:p>
    <w:p>
      <w:r>
        <w:t>c) that the person responsible for the procedure is Dr. Claudia Caruso;</w:t>
      </w:r>
    </w:p>
    <w:p>
      <w:r>
        <w:t>34 BULLETIN NO. 9 OF MARCH 1, 2021</w:t>
      </w:r>
    </w:p>
    <w:p>
      <w:r>
        <w:t>d) that the documents of the procedure can be viewed at the Energy and Basic Industry Directorate of the Directorate General for Competition of this Authority by the legal representatives of the Parties, as well as by persons with a legally relevant interest or by persons delegated by them;</w:t>
      </w:r>
    </w:p>
    <w:p>
      <w:r>
        <w:t>e) that the procedure must be concluded within forty-five days from the date of resolution of this measure.</w:t>
      </w:r>
    </w:p>
    <w:p>
      <w:r>
        <w:t>This measure will be notified to the interested parties and published in the Bulletin of the Competition and Market Authority.</w:t>
      </w:r>
    </w:p>
    <w:p>
      <w:r>
        <w:t>THE SECRETARY GENERAL for THE PRESIDENT</w:t>
        <w:br/>
        <w:t>Filippo Arena the Senior Member</w:t>
        <w:br/>
        <w:t>Gabriella Muscolo</w:t>
      </w:r>
    </w:p>
    <w:p>
      <w:r>
        <w:t>BULLETIN NO. 9 OF MARCH 1, 2021 35</w:t>
      </w:r>
    </w:p>
    <w:p>
      <w:r>
        <w:t>REPORTING AND CONSULTATIVE ACTIVITY</w:t>
      </w:r>
    </w:p>
    <w:p>
      <w:r>
        <w:t>AS1719 - MUNICIPALITY OF CASTELLABATE (SA) - EXTENSION OF MARITIME CONCESSIONS FOR TOURIST-RECREATIONAL PURPOSES</w:t>
      </w:r>
    </w:p>
    <w:p>
      <w:r>
        <w:t>Rome, December 9, 2020</w:t>
      </w:r>
    </w:p>
    <w:p>
      <w:r>
        <w:t>Municipality of Castellabate</w:t>
      </w:r>
    </w:p>
    <w:p>
      <w:r>
        <w:t>The Competition and Market Authority, in its meeting of December 1, 2020, resolved to express its opinion, pursuant to Article 21 bis of Law October 10, 1990, No. 287, regarding the resolution of the Municipal Council of October 16, 2020, No. 142, concerning "Application of the provisions of Law 145/2018 Article 1 paragraphs 675 to 685 and of Decree Law May 19, 2020 No. 34 converted with amendments by Law 77/2020 Article 182 paragraph 2 and of Decree Law August 14, 2020 No. 104 Article 100 regarding the ex lege extension of the duration of maritime concessions."</w:t>
      </w:r>
    </w:p>
    <w:p>
      <w:r>
        <w:t>In particular, through the aforementioned resolution, the Municipality of Castellabate has activated the procedure for the extension of the duration of maritime concessions for tourist-recreational purposes in favor of existing concessionaires, based on the provisions of Article 1, paragraphs 682, 683, and 684 of Law No. 145/2018 (which established a new expiration date for maritime concessions for tourist-recreational purposes on January 1, 20341), as well as Article 182, paragraph 2, of Decree Law May 19, 2020, No. 34, as converted by Law of July 17, 2020, No. 77, and Article 100, paragraph 1, of Decree Law August 14, 2020, No. 104, as converted by Law October 13, 2020, No. 126, in so far as these provisions refer to, confirming, the mechanism for the ex lege extension of maritime concessions.</w:t>
      </w:r>
    </w:p>
    <w:p>
      <w:r>
        <w:t>In general, the Authority recalls that in matters concerning the assignment of the use of public assets (falling within the state or local authorities' public domain or unavailable assets), the identification of the private contractor must occur through the conduct, by the Public Administration, of public evidence procedures2.</w:t>
      </w:r>
    </w:p>
    <w:p>
      <w:r>
        <w:t>1 It is also worth noting that the Regional Council of Campania – General Directorate for Cultural Policies and Tourism, with note prot. 237558 of April 11, 2019 concerning "Application Effects of Law 145/2018," has provided for the provisions regarding the extension of the validity of maritime concessions in force as of January 1, 2019.</w:t>
      </w:r>
    </w:p>
    <w:p>
      <w:r>
        <w:t>2 See, inter alia, Council of State, ruling of September 25, 2009, No. 5765; Council of State, Section VI, ruling of November 18, 2019, No. 7874. In this sense, ANAC has also recently expressed itself with resolution of January 17, 2019, No. 25.</w:t>
      </w:r>
    </w:p>
    <w:p>
      <w:r>
        <w:rPr>
          <w:b/>
        </w:rPr>
        <w:t>[Pages 34–36]</w:t>
      </w:r>
    </w:p>
    <w:p>
      <w:r>
        <w:t>BULLETIN NO. 9 OF MARCH 1, 2021</w:t>
      </w:r>
    </w:p>
    <w:p>
      <w:r>
        <w:t>In this regard, it is highlighted that Articles 49 and 56 of the TFEU impose on Member States the abolition of unjustified restrictions on the freedom of establishment and the free provision of services, that is, all measures that prohibit, hinder, or are otherwise capable of compressing the exercise of such freedoms. According to the Court of Justice, a national regulation that allows for the automatic extension of existing public domain concessions for tourist-recreational activities must be considered in violation of these provisions.</w:t>
      </w:r>
    </w:p>
    <w:p>
      <w:r>
        <w:t>Furthermore, Directive 2006/123/EC (the so-called Services Directive) provides in Article 12 that “where the number of authorizations available for a given activity is limited due to the scarcity of natural resources or usable technical capacities, Member States shall apply a selection procedure among potential candidates, which presents guarantees of impartiality and transparency and provides, in particular, adequate publicity for the initiation of the procedure and its conduct and completion” (paragraph 1) and that, in such cases, “the authorization is granted for a limited duration and may not provide for an automatic renewal procedure nor grant other advantages to the outgoing provider or to persons who have particular ties with that provider” (paragraph 2).</w:t>
      </w:r>
    </w:p>
    <w:p>
      <w:r>
        <w:t>As is well known, Member States are required to comply with the aforementioned EU principles and, where domestic legislation does not respect the provisions of the aforementioned directive, conflicting in turn with the principles of free movement and freedom of establishment, its relative disapplication is imposed.</w:t>
      </w:r>
    </w:p>
    <w:p>
      <w:r>
        <w:t>In this sense, the Authority, in previous advocacy interventions, has repeatedly expressed the need to proceed with the awarding of concessions – including those concerning public maritime domain assets and having tourist-recreational purposes – through the conduct of public evidence procedures. In particular, it has been observed that, in markets where, due to the specific objective characteristics of technical, economic, and financial activities, there is exclusivity, or a limited number of subjects are allowed to operate, the awarding of concessions must still take place through transparent and competitive tendering procedures, in order to mitigate the distorting effects of competition associated with the privileged position attributed to the concessionaire.</w:t>
      </w:r>
    </w:p>
    <w:p>
      <w:r>
        <w:t>It should be noted that, according to established European jurisprudence, all national administrations, in the exercise of their functions, are required to apply the provisions of European law, disapplying national rules that are not compliant, as seen in the judgments issued by the Court of Justice in case 103/88, Fratelli Costanzo v. Comune di Milano, as well as in case C-224/97, Ciola, and in case C-198/01, Consorzio Industrie Fiammiferi (CIF) v. Autorità Garante della Concorrenza e del Mercato.</w:t>
      </w:r>
    </w:p>
    <w:p>
      <w:r>
        <w:t>In this regard, the Court of Justice has reiterated, most recently in the judgment of December 4, 2018, case C-378/17, that “the principle of the primacy of Union law imposes not only on judicial bodies but also on all institutions of the Member State to give full effect to Union rules,” recalling that the obligation to disapply also concerns “all bodies of the State, including administrative authorities, tasked with applying, within their respective competences, Union law.” In this regard, see also, among others, the judgments issued by the Court of Justice in case 106/77, Amministrazione delle finanze dello Stato v. Simmenthal SpA, in case C-119/05, Lucchini, and in case C-614/14, Ognyanov.</w:t>
      </w:r>
    </w:p>
    <w:p>
      <w:r>
        <w:t>With specific reference to the procedures and measures for the extension of existing concessions, the Authority has repeatedly emphasized that it is in the interest of the market to carefully balance the short-term benefits and the possible costs that may manifest over a longer time horizon. The granting of extensions in favor of previous concessionaires, in fact, further postpones competitive confrontation for the market, thus preventing the benefits that would arise from periodic competition for the awarding through public evidence procedures. Therefore, any extensions of the awards should not exceed the actual needs of the administrations, to allow for the efficient allocation of public resources through competitive procedures as soon as possible.</w:t>
      </w:r>
    </w:p>
    <w:p>
      <w:r>
        <w:t>Consequently, the Authority believes that, for the reasons outlined above, this Municipality should have disapplied the legislation underlying the resolution of the Junta No. 142/2020 due to its contradiction with the principles and EU regulations mentioned above. The provisions regarding the extension of maritime domain concessions for tourist-recreational purposes contained in the administrative measure indeed constitute specific violations of competitive principles to the extent that they prevent the competitive confrontation that should be guaranteed in the awarding of services affecting scarce domain resources, in a market context where competitive dynamics are already particularly weakened due to the long duration of the currently existing concessions.</w:t>
      </w:r>
    </w:p>
    <w:p>
      <w:r>
        <w:t>In conclusion, the municipal resolution in question is in conflict with Articles 49 and 56 of the TFEU, as it is likely to unjustifiably limit the freedom of establishment and the free movement of services in the internal market, as well as with the EU regulatory provisions regarding public awards, with particular reference to Article 12 of the so-called Services Directive.</w:t>
      </w:r>
    </w:p>
    <w:p>
      <w:r>
        <w:t>Pursuant to Article 21 bis, paragraph 2, of Law No. 287/1990, the Municipality of Castellabate must communicate to the Authority, within 60 days from the receipt of this opinion, the initiatives taken to remove the aforementioned competition violations. If within the aforementioned period such initiatives do not prove to be compliant with the competitive principles expressed above, the Authority may file an appeal within the following thirty days.</w:t>
      </w:r>
    </w:p>
    <w:p>
      <w:r>
        <w:t>THE PRESIDENT</w:t>
        <w:br/>
        <w:t>Roberto Rustichelli</w:t>
      </w:r>
    </w:p>
    <w:p>
      <w:r>
        <w:t>Communication regarding the failure of the Municipality of Castellabate to comply with the reasoned opinion expressed by the Authority, pursuant to Article 21-bis of Law No. 287/1990, against the resolution of the Municipal Council of October 16, 2020, No. 142, concerning the extension of maritime domain concessions for tourist-recreational purposes, in execution of the legislative provisions for the extension of the deadline to January 1, 2034, pursuant to Law No. 30/12/2018, No. 145, Article 1, paragraphs 682, 683, 684.</w:t>
      </w:r>
    </w:p>
    <w:p>
      <w:r>
        <w:t>In its meeting of December 1, 2020, the Italian Competition Authority resolved to send a reasoned opinion pursuant to Article 21-bis of Law October 10, 1990, No. 287, published at the end of this communication, regarding the content of the resolution of the Municipal Council of October 16, 2020, No. 142, adopted by the Municipality of Castellabate and concerning the extension of maritime domain concessions for tourist-recreational purposes in execution of the legislative provisions contained in Law December 30, 2018, No. 145, Article 1, paragraphs 682, 683, 684, under which the automatic extension of all domain concessions until January 1, 2034, was ordered.</w:t>
      </w:r>
    </w:p>
    <w:p>
      <w:r>
        <w:t>In particular, with the resolution of the Municipal Council subject to the opinion pursuant to Article 21-bis of Law No. 287/90, the Municipality of Castellabate ordered the extension of all maritime domain concessions for tourist-recreational purposes, applying a national regulation (Law December 30, 2018, No. 145, Article 1, paragraphs 682, 683, 684) which, being in contrast with EU law, particularly with Articles 49 and 56 of the TFEU and with the principles of competition and public evidence in awards, should have been disapplied.</w:t>
      </w:r>
    </w:p>
    <w:p>
      <w:r>
        <w:t>Following the receipt of this reasoned opinion, the Municipality of Castellabate, with communication dated January 22, 2021, informed the Italian Competition Authority that it considers its actions legitimate, as the extension of the duration of maritime domain concessions for tourist-accommodation purposes in favor of existing concessionaires was carried out based on what is provided for in Article 1, paragraphs 682, 683, and 684 of Law No. 145/2018, as well as Article 182, paragraph 2 of Decree Law No. 34/2020, converted into Law No. 77/2020, and Article 100, paragraph 1, of Decree Law No. 104/2020, converted into Law No. 126/2020. The Municipality of Castellabate claims “to have adopted a management directive act in accordance with the current Italian and EU regulatory framework within the limits and competences of the local authority delegated to the administrative management of the maritime domain and that therefore, at present, there are no conditions or prerequisites to disapply what is provided by the Italian legislator.”</w:t>
      </w:r>
    </w:p>
    <w:p>
      <w:r>
        <w:rPr>
          <w:b/>
        </w:rPr>
        <w:t>[Pages 37–39]</w:t>
      </w:r>
    </w:p>
    <w:p>
      <w:r>
        <w:t>BULLETIN NO. 9 OF MARCH 1, 2021 39</w:t>
        <w:br/>
        <w:t>Therefore, having noted the failure of the administration to comply with the aforementioned reasoned opinion, the Competition and Market Authority, in its meeting of February 9, 2021, decided to challenge before the Regional Administrative Court for Campania the resolution of the Municipal Council of October 16, 2020, No. 142, adopted by the Municipality of Castellabate concerning the automatic extension of maritime state concessions for tourism and recreational purposes.</w:t>
      </w:r>
    </w:p>
    <w:p>
      <w:r>
        <w:t>40 BULLETIN NO. 9 OF MARCH 1, 2021</w:t>
        <w:br/>
        <w:t>AS1720 – MUNICIPALITY OF ROME - REGULATION OF PARKING SPACE CONCESSIONS</w:t>
        <w:br/>
        <w:t>FOR TRADE ON PUBLIC AREAS</w:t>
        <w:br/>
        <w:t>Rome, February 15, 2021</w:t>
        <w:br/>
        <w:t>Rome Capital</w:t>
        <w:br/>
        <w:t>With reference to the request for an opinion formulated by this Administration regarding the regulation for the issuance of parking space concessions for trade on public areas and the possibility that the application of current regulations may result in an undue alteration of competition, the Italian Competition Authority, in the meeting of February 2, 2021, has intended to make the following observations, pursuant to Article 22 of Law October 10, 1990, No. 287.</w:t>
        <w:br/>
        <w:t>With Article 1, paragraph 686, of Law No. 145/2018 (known as the 2019 Budget Law), which amended Legislative Decree No. 59/2010 implementing Directive 2006/123/EC (known as the Services Directive or Bolkestein), the entire sector of retail trade on public areas has been excluded from the application of this Directive. Although these are economic activities for which the number of authorizing titles is limited, based on the new wording of Articles 7, letter f-bis, and 16, paragraph 4-bis, of Legislative Decree No. 59/2010, the regulatory provisions that required the identification of providers following a selective procedure, according to transparent and non-discriminatory criteria, establishing a limited duration of the authorizing titles not subject to automatic renewal (Articles 7 and 16 of Legislative Decree No. 59/2010) no longer apply.</w:t>
        <w:br/>
        <w:t>Decree Law No. 34/2020 (the so-called Relaunch Decree), converted into Law No. 77/2020, has then extended until 2032 the parking space concessions for trade on public areas expiring (Article 181, paragraph 4-bis), as well as provided that any free, vacant, or newly established parking spaces should be assigned “as a priority and in derogation of any criteria” to those entitled, without the execution of any public evidence procedure (Article 181, paragraph 4-ter). These provisions have found further confirmation in points 6, 7, and 9 of Annex A to the Decree of the Ministry of Economic Development of November 25, 2020, containing the expected Guidelines.</w:t>
        <w:br/>
        <w:t>Finally, with Regional Council Resolution No. 1042 of December 22, 2020, the Lazio Region, acknowledging the Ministry's Guidelines, approved the operational modalities for the renewal, until December 31, 2032, of parking space concessions for the exercise of trade on public areas in the regional territory, expiring by December 31, 2020.</w:t>
        <w:br/>
        <w:t>In light of the national and regional regulatory framework described above, the sector of trade on public areas currently appears impenetrable to the application of competition principles, which the Authority has consistently invoked in numerous and converging interventions on the matter, in which the competitive criticalities related to the excessively long duration of concessions and their renewal without adequate public selection procedures or according to criteria favoring outgoing providers, capable of crystallizing market structures, have been repeatedly highlighted.</w:t>
        <w:br/>
        <w:t>In this regard, the Authority emphasizes that the aforementioned norms raise serious doubts about compatibility with European law.</w:t>
        <w:br/>
        <w:t>Firstly, the exclusion of the activity of trade on public areas from the scope of Legislative Decree No. 59/2010 contrasts with the precise identification of excluded sectors provided for by the Services Directive (see recitals 10 to 27 and Article 2) without leaving any margin of discretion to the Member States. This list, as it constitutes an exception to a recognized liberalization principle, must be interpreted strictly. It follows, therefore, that the amended provisions of Legislative Decree No. 59/2010 no longer appear consistent with the higher source, namely the Services Directive.</w:t>
        <w:br/>
        <w:t>Secondly, the necessity to provide for a limited duration of the concession and to follow transparent and non-discriminatory award criteria constitutes a general principle of the European legal order, aimed at avoiding barriers to market access and undue restrictions on competition. In this regard, Directive 2014/23 on the award of concession contracts states that for concessions lasting more than five years, it is necessary to justify the need for a duration exceeding that necessary for the recovery of investments made and return on invested capital under normal operating conditions (see recital 52 and Article 18 of the Directive). Furthermore, the same Directive establishes the general principle of equality and non-discrimination among competitors in access to concessions (see Article 3 of the Directive).</w:t>
        <w:br/>
        <w:t>Also, the adjacent jurisprudence, both European and national, regarding maritime state concessions has consistently reiterated the necessity to assign concessions following transparent and non-discriminatory selections and for a limited duration proportional to the investments.</w:t>
      </w:r>
    </w:p>
    <w:p>
      <w:r>
        <w:rPr>
          <w:b/>
        </w:rPr>
        <w:t>[Pages 40–42]</w:t>
      </w:r>
    </w:p>
    <w:p>
      <w:r>
        <w:t>42 BULLETIN NO. 9 OF MARCH 1, 2021</w:t>
      </w:r>
    </w:p>
    <w:p>
      <w:r>
        <w:t>The jurisprudence has also consistently reiterated the illegitimacy of provisions that provide for automatic extensions to the outgoing concessionaire, as they are inherently obstructive to any form of selection, necessary whenever it is required to assign a public asset for the exercise of activities that can be valued in economic terms. The Authority has already highlighted the competitive criticalities inherent in certain provisions of the Relaunch Decree that automatically extend the duration of concessions in various sectors, inviting the legislator to consider the long-term effects of market closure following extension measures that, by postponing competitive confrontation, should be strictly temporary and not exceed the actual needs of the administrations, in order to allow as soon as possible the use of suitable tools to promote an efficient use of public resources. Nor can an extension of such duration be considered in any way necessary and proportionate to the specific needs that the administration may find in the current health emergency situation.</w:t>
      </w:r>
    </w:p>
    <w:p>
      <w:r>
        <w:t>It is significant, finally, that the Constitutional Court declared, already in 2012, the illegitimacy of a regional regulation that, like that provided by the 2019 Budget Law, excluded the sector of trade on public areas from the scope of application of Article 16 of Legislative Decree No. 59/2010. The Constitutional Court stated that such regulation was in contrast with the Services Directive and European law, insofar as, for unspecified imperative reasons of general interest, it excluded any selection procedure in the assignment of parking concessions, whereas it should have chosen non-discriminatory selection criteria proportionate to the public interest objective to be pursued, balancing that objective with the one of liberalization. The latter is completely overlooked by the current regulation of the sector.</w:t>
      </w:r>
    </w:p>
    <w:p>
      <w:r>
        <w:t>These are principles whose application is imposed by virtue of the primacy of European law over incompatible national provisions. This principle has as a corollary the duty of cooperation of the Member States in achieving the objectives set out in the Treaty that obligate them not to adopt or maintain in force measures, including legislative and regulatory measures, aimed at eliminating the useful effect of the competition rules applicable to enterprises (Article 4 § 3 TEU and Protocol No. 27 TEU on the internal market and competition).</w:t>
      </w:r>
    </w:p>
    <w:p>
      <w:r>
        <w:t>Therefore, the Authority believes that the amendments made to Legislative Decree No. 59/2010, the provisions of the Relaunch Decree, and the consequent ministerial and regional determinations mentioned above violate the constitutional and EU provisions, which safeguard economic initiative and competition, as they are likely to unduly restrict access to and the exercise of an economic activity.</w:t>
      </w:r>
    </w:p>
    <w:p>
      <w:r>
        <w:t>In light of the reasons outlined above, in conclusion, the Authority believes that this Municipality must resort to the instrument of disapplication of national norms for contrariety with the regulation and principles of European law safeguarding competition, adopting a regulation of the procedures for assigning parking concessions consistent with the aforementioned principles regarding duration, selection criteria, and absence of automatic renewals.</w:t>
      </w:r>
    </w:p>
    <w:p>
      <w:r>
        <w:t>This opinion will be published in the bulletin of the Competition and Market Authority. Any confidentiality needs must be communicated to the Authority within thirty days of receiving this opinion, specifying the reasons.</w:t>
      </w:r>
    </w:p>
    <w:p>
      <w:r>
        <w:t>THE PRESIDENT</w:t>
        <w:br/>
        <w:t>Roberto Rustichelli</w:t>
      </w:r>
    </w:p>
    <w:p>
      <w:r>
        <w:t>44 BULLETIN NO. 9 OF MARCH 1, 2021</w:t>
      </w:r>
    </w:p>
    <w:p>
      <w:r>
        <w:t>AS1721 – REGULATION OF PARKING CONCESSIONS FOR TRADE ON PUBLIC AREAS</w:t>
      </w:r>
    </w:p>
    <w:p>
      <w:r>
        <w:t>Rome, February 15, 2021</w:t>
      </w:r>
    </w:p>
    <w:p>
      <w:r>
        <w:t>Senate of the Italian Republic</w:t>
        <w:br/>
        <w:t>Chamber of Deputies</w:t>
        <w:br/>
        <w:t>Presidency of the Council of Ministers</w:t>
        <w:br/>
        <w:t>Ministry of Economic Development</w:t>
      </w:r>
    </w:p>
    <w:p>
      <w:r>
        <w:t>The Competition and Market Authority, in exercising the powers conferred by Article 21 of Law No. 287/90, in the meeting of February 2, 2021, intended to formulate some observations regarding the current regulation of parking concessions for the exercise of trade on public areas.</w:t>
      </w:r>
    </w:p>
    <w:p>
      <w:r>
        <w:t>With Article 1, paragraph 686, of Law No. 145/2018 (known as the 2019 Budget Law), which amended Legislative Decree No. 59/2010 implementing Directive 2006/123/EC (known as the Services Directive or Bolkestein), the entire sector of retail trade on public areas has been exempted from the application of this Directive. Although these are economic activities for which the number of authorizing titles is limited, based on the new wording of Articles 7, letter f-bis, and 16, paragraph 4-bis, of Legislative Decree No. 59/2010, the regulatory provisions that required the identification of providers following a selective procedure, according to transparent and non-discriminatory criteria, establishing a limited duration of the authorizing titles not subject to automatic renewal (Articles 7 and 16 of Legislative Decree No. 59/2010) no longer apply.</w:t>
      </w:r>
    </w:p>
    <w:p>
      <w:r>
        <w:t>Legislative Decree No. 34/2020 (the so-called Relaunch Decree), converted into Law No. 77/2020, then extended the parking concessions for trade on public areas expiring until 2032 (Article 181 paragraph 4-bis), and also provided that any free, vacant, or newly established parking spaces should be assigned "as a priority and in derogation of any criteria" to those entitled, without the execution of any public evidence procedure (Article 181, paragraph 4-ter). These provisions have then found further...</w:t>
      </w:r>
    </w:p>
    <w:p>
      <w:r>
        <w:t>1 Article 70 of Legislative Decree No. 59/2010 is also repealed, which, in paragraph 5, entrusted the Agreement in the Unified Conference State – Regions to identify "also in derogation of Article 16 of this decree," the criteria for the issuance and renewal of the parking concession. With the State – Regions Agreement of 2012 "on the criteria to be applied in selection procedures for the assignment of parking spaces on public areas" (hereinafter also the 2012 Agreement), the Municipality sets the duration of the concession, which, "In any case, ... cannot be less than nine years, nor, in the case of ... significant material investments being necessary, more than twelve years." In tourist markets, the duration of the concessions must be "in any case not less than seven years" (point 1). Furthermore, the priority assignment criterion provided by the Agreement is that of "greater acquired professionalism," defined based on the length of operation of the enterprise, even in the specific parking space subject to selection, which can receive a specific evaluation within the limit of 40% of the overall score (point 2 of the 2012 Agreement).</w:t>
      </w:r>
    </w:p>
    <w:p>
      <w:r>
        <w:rPr>
          <w:b/>
        </w:rPr>
        <w:t>[Pages 43–45]</w:t>
      </w:r>
    </w:p>
    <w:p>
      <w:r>
        <w:t>BULLETIN NO. 9 OF MARCH 1, 2021</w:t>
      </w:r>
    </w:p>
    <w:p>
      <w:r>
        <w:t>confirms in points 6, 7, and 9 of Annex A to the Decree of the Ministry of Economic Development of November 25, 2020, containing the expected Guidelines. In light of the national regulatory framework described above, which provides the framework for the implementation of the regulation at the regional and local level, the sector of trade on public areas currently appears impenetrable to the application of competition principles, which are constantly invoked by the Authority in numerous and converging interventions on the matter, in which the competitive criticalities related to the excessively long duration of concessions and their renewal without adequate public selection procedures or according to criteria of preference for outgoing providers, suitable for crystallizing market structures, have been repeatedly highlighted.</w:t>
      </w:r>
    </w:p>
    <w:p>
      <w:r>
        <w:t>In this regard, the Authority emphasizes that the aforementioned norms raise serious doubts of compatibility with European law. First, the exclusion of the activity of trade on public areas from the scope of application of Legislative Decree No. 59/2010 contrasts with the precise identification of the excluded sectors provided for by the Services Directive (see recitals 10 to 27 and Article 2) without leaving any margin of discretion to the Member States. This list, as it constitutes an exception to a recognized liberalization principle, must be interpreted in a restrictive manner. It follows, therefore, that the amended provisions of Legislative Decree No. 59/2010 no longer appear consistent with the higher source, namely the Services Directive.</w:t>
      </w:r>
    </w:p>
    <w:p>
      <w:r>
        <w:t>Secondly, the necessity to provide for a limited duration of the concession and to follow transparent and non-discriminatory award criteria constitutes a general principle of the European legal order, aimed at avoiding barriers to market access and undue restrictions on competition. In this regard, Directive 2014/23 on the award of concession contracts states that for concessions lasting more than five years, it is necessary to justify the need for a duration exceeding the period for recovering the investments made and for returning on the invested capital under normal operating conditions (see recital 52 and Article 18 of the Directive). Furthermore, the same Directive establishes the general principle of equality and non-discrimination among competitors in access to concessions (see Article 3 of the Directive).</w:t>
      </w:r>
    </w:p>
    <w:p>
      <w:r>
        <w:t>Also, the adjacent jurisprudence, both European and national, regarding maritime state concessions has consistently reiterated the need to award concessions following transparent and non-discriminatory selections and for a limited duration proportional to the investments. The jurisprudence has also consistently reiterated the illegitimacy of provisions that provide for automatic extensions to the outgoing concessionaire, as they are inherently obstructive to any form of selection, necessary whenever it is necessary to assign a public asset for the exercise of activities susceptible to economic appreciation.</w:t>
      </w:r>
    </w:p>
    <w:p>
      <w:r>
        <w:t>The Authority has already highlighted the competitive criticalities inherent in some provisions of the Relaunch Decree that automatically extend the duration of concessions in various sectors, inviting the legislator to consider the long-term effects of market closure following extension measures that, by postponing competitive confrontation, should be rigorously temporary and not exceed the actual needs of the administrations, to allow as soon as possible the use of suitable tools to promote efficient use of public resources. Nor can an extension of such duration be considered in any way necessary and proportionate to the specific needs that the administration may find in the current health emergency situation.</w:t>
      </w:r>
    </w:p>
    <w:p>
      <w:r>
        <w:t>It is significant, finally, that the Constitutional Court already declared in 2012 the illegitimacy of a regional regulation that, like that provided for by the 2019 Budget Law, excluded the sector of trade on public areas from the scope of application of Article 16 of Legislative Decree No. 59/2010. The Constitutional Court stated that such regulation was in contrast with the Services Directive and European law, insofar as, for unspecified imperative reasons of general interest, it excluded any selection procedure in the assignment of parking concessions, whereas it should have chosen non-discriminatory and proportionate selection criteria to the public interest objective to be pursued, balancing this objective with that of liberalization. The latter is completely overlooked by the current regulation of the sector.</w:t>
      </w:r>
    </w:p>
    <w:p>
      <w:r>
        <w:t>These are principles whose application is imposed by virtue of the primacy of European law over incompatible national provisions. This principle has as a corollary the duty of cooperation of the Member States in achieving the objectives set out in the Treaty, which obliges them not to adopt or maintain in force measures, even of a legislative and regulatory nature, aimed at eliminating the useful effect of the competition rules applicable to enterprises.</w:t>
      </w:r>
    </w:p>
    <w:p>
      <w:r>
        <w:t>Therefore, the Authority believes that the amendments made to Legislative Decree No. 59/2010, the provisions of the Relaunch Decree, and the consequent ministerial determinations violate the constitutional and European Union provisions, which safeguard the freedom of economic initiative and protect competition, as they are likely to unduly restrict access to and the exercise of an economic activity.</w:t>
      </w:r>
    </w:p>
    <w:p>
      <w:r>
        <w:t>In conclusion, the Authority hopes that Parliament and the Government will duly consider the observations expressed above in order to arrive at a modification of the current legislation in line with the regulation and principles of European law safeguarding competition, in the path repeatedly traced by the Authority on the matter. In the absence of such modifications, in fact, the Authority believes that the subjects called to implement the current regulatory framework must proceed to disapply the national provisions, adopting a regulation of the procedures for assigning parking concessions consistent with the aforementioned principles safeguarding competition in terms of duration, selection criteria, and absence of automatic renewals.</w:t>
      </w:r>
    </w:p>
    <w:p>
      <w:r>
        <w:t>This report will be published in the Bulletin of the Competition and Market Authority.</w:t>
      </w:r>
    </w:p>
    <w:p>
      <w:r>
        <w:t>THE PRESIDENT</w:t>
        <w:br/>
        <w:t>Roberto Rustichelli</w:t>
      </w:r>
    </w:p>
    <w:p>
      <w:r>
        <w:rPr>
          <w:b/>
        </w:rPr>
        <w:t>[Pages 46–48]</w:t>
      </w:r>
    </w:p>
    <w:p>
      <w:r>
        <w:t xml:space="preserve">BULLETIN NO. 9 OF MARCH 1, 2021  </w:t>
        <w:br/>
        <w:t xml:space="preserve">UNFAIR TRADE PRACTICES  </w:t>
        <w:br/>
        <w:t xml:space="preserve">PS11592 - STARLIFE ITALIA  </w:t>
        <w:br/>
        <w:t xml:space="preserve">Measure no. 28426  </w:t>
        <w:br/>
        <w:t xml:space="preserve">THE COMPETITION AND MARKET AUTHORITY  </w:t>
        <w:br/>
        <w:t xml:space="preserve">IN ITS MEETING of October 20, 2020;  </w:t>
        <w:br/>
        <w:t xml:space="preserve">HEARD the Rapporteur, Professor Michele Ainis;  </w:t>
        <w:br/>
        <w:t xml:space="preserve">HAVING REGARD to Part II, Title III, of Legislative Decree No. 206 of September 6, 2005, and subsequent amendments (hereinafter, Consumer Code);  </w:t>
        <w:br/>
        <w:t xml:space="preserve">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No. 25411;  </w:t>
        <w:br/>
        <w:t xml:space="preserve">HAVING REGARD to the documents of the proceedings;  </w:t>
        <w:br/>
        <w:t xml:space="preserve">I. THE PARTIES  </w:t>
        <w:br/>
        <w:t xml:space="preserve">1. Starlife Italia S.r.l. (hereinafter, also Starlife) as a professional, pursuant to Article 18, paragraph 1, letter b), of the Consumer Code, has as its corporate purpose the retail trade of various products, through the intervention of a demonstrator or a sales representative. The company in question, at the time of the initiation of the proceedings, was 100% controlled by Starlife S.R.O., with its registered office in the Czech Republic. Starlife Italia subsequently changed its company name to Newcar Europe S.r.l. (hereinafter, also Newcar). In 2019, Starlife Italia achieved a turnover of 196,610 euros.  </w:t>
        <w:br/>
        <w:t xml:space="preserve">2. Starlife S.R.O., as a professional (hereinafter, also Starlife SRO), pursuant to Article 18, paragraph 1, letter b) of the Consumer Code, is a company based in Hostivice, Czech Republic, whose commercial activity consists of the online sale of various products, including dietary supplements, through its website www.starlife.eu.  </w:t>
        <w:br/>
        <w:t xml:space="preserve">3. Carabinieri Command for Health Protection - N.A.S. of Padua and a consumer, as complainants.  </w:t>
        <w:br/>
        <w:t xml:space="preserve">II. THE COMMERCIAL PRACTICE  </w:t>
        <w:br/>
        <w:t>4. The proceedings, initiated following complaints received during 2018 from the Carabinieri Command for Health Protection - N.A.S. of Padua and a consumer, concern the conduct carried out jointly by the companies Starlife Italia S.r.l. and Starlife SRO, consisting of the promotion, through a pyramid selling system, of various products, including dietary supplements that, at present, do not appear in the appropriate register of the Italian Ministry of Health, except for the supplement called "Oregano Star."</w:t>
      </w:r>
    </w:p>
    <w:p>
      <w:r>
        <w:t xml:space="preserve">BULLETIN NO. 9 OF MARCH 1, 2021  </w:t>
        <w:br/>
        <w:t xml:space="preserve">In particular, the aforementioned professionals, through the website www.starlifeitalia.net, have established in Italy a sales system for Starlife products based on the recruitment of consumers, incentivized to build their own network of customers. In exchange for recruiting new consumers of Starlife products, economic benefits were promised, including the possibility of renting cars at particularly convenient costs.  </w:t>
        <w:br/>
        <w:t xml:space="preserve">5. The Starlife program requires that the consumer who joins the network must purchase Starlife products worth 200 euros. If the consumer manages to enroll, within a certain period, three other people – each of whom must also purchase 200 euros worth of Starlife products – they will be reimbursed part of what was paid by these individuals, in order to almost entirely recover what was spent on their initial order. In turn, the three individuals can enroll other people in the network, recovering their initial expenditure. The consumer who has created their own group of Starlife buyers can request long-term rental, at convenient prices, of a sponsored car if, together with their affiliates, they achieve a certain purchasing goal for three consecutive months, set in terms of "volume points" and, furthermore, maintains a personal consumption of 100 volume points. This goal is higher the greater the value of the car they wish to request. In order to continue enjoying the car, the consumer must also ensure that the aforementioned purchasing goals are met by their group in the following months and maintain a minimum level of personal self-consumption.  </w:t>
        <w:br/>
        <w:t xml:space="preserve">III. THE OUTCOMES OF THE PROCEEDINGS  </w:t>
        <w:br/>
        <w:t xml:space="preserve">1) The course of the proceedings  </w:t>
        <w:br/>
        <w:t xml:space="preserve">6. In relation to the conduct described above, with act of January 9, 2020 (prot. No. 10959), the initiation of the PS11592 investigative proceedings was communicated to Starlife Italia S.r.l., the Carabinieri Command for Health Protection - N.A.S. of Padua, and the reporting consumer, aimed at verifying the existence of an alleged unfair commercial practice, in violation of Articles 20, 21, paragraph 1, letters b) and c), and Article 23, letters i) and p), of the Consumer Code, as the aforementioned company promoted, through its website www.starlifeItalia.net, a pyramid selling system concerning food and non-food products, including numerous dietary supplements not registered in the appropriate list of the Italian Ministry of Health (except for the supplement "Oregano Star").  </w:t>
        <w:br/>
        <w:t>7. From the information communicated by Starlife Italia S.r.l. with a memorandum received on January 29, 2020, it emerged that "the marketing of Starlife branded supplements is managed by the company Starlife s.r.o. in Prague, as is the network of networkers," as the Italian company "100% owned by Starlife s.r.o., functions as a call center to transmit communications from Italian networkers to the Czech s.r.o. (providing translation), to provide them with administrative assistance for the long-term rental contracts granted to them by Starlife s.r.o. and to be the subject of the ownership required by law towards the national Authorities." Therefore, the proceedings, with act of February 13, 2020 (prot. No. 19450), were subsequently extended subjectively against the Czech company Starlife SRO, based in Hostivice, Czech Republic, which wholly controls the aforementioned Italian company.</w:t>
      </w:r>
    </w:p>
    <w:p>
      <w:r>
        <w:t xml:space="preserve">50 BULLETIN NO. 9 OF MARCH 1, 2021  </w:t>
        <w:br/>
        <w:t xml:space="preserve">8. Starlife Italia submitted a defensive memorandum, received on January 29, 2020 (prot. No. 15397).  </w:t>
        <w:br/>
        <w:t xml:space="preserve">9. Starlife SRO submitted a defensive memorandum, received on March 24, 2020 (prot. No. 28817).  </w:t>
        <w:br/>
        <w:t xml:space="preserve">10. On July 22, 2020, the date of conclusion of the investigative phase was communicated to all parties, pursuant to Article 16, paragraph 1, of the Regulation, after which Starlife Italia submitted an additional memorandum, received on August 4, 2020 (prot. No. 61466).  </w:t>
        <w:br/>
        <w:t xml:space="preserve">11. Considering that the conduct in question was carried out via the internet, on August 11, 2020 (prot. No. 63347), a request for an opinion was made to the Authority for Guarantees in Communications (hereinafter, AGCom), which was received by the Authority on September 14, 2020 (prot. No. 68950).  </w:t>
        <w:br/>
        <w:t xml:space="preserve">2) The evidence acquired  </w:t>
        <w:br/>
        <w:t xml:space="preserve">The marketing system of Starlife products  </w:t>
        <w:br/>
        <w:t xml:space="preserve">12. From the documentation acquired, it appears that Starlife products are sold by Starlife SRO through a pyramid-type system, in which consumers register with Starlife SRO at the time of their first purchase and can access a series of benefits (discounts, rental of cars at very convenient costs, etc.) by committing to develop a network of purchasing consumers, with the support of Starlife Italia and Starlife SRO.  </w:t>
        <w:br/>
        <w:t xml:space="preserve">13. Membership in the system in question is promoted by Starlife Italia on the website www.starlifeitalia.net in these terms: "Sign up, join one of our programs and start building your network. It doesn't matter if your goal is to make a small profit working in your spare time, STARLIFE will support you anyway. Do you aspire to more substantial economic results? Would you like an independent business without too many initial costs? Become a professional networker, expand your network and help others grow like you."  </w:t>
        <w:br/>
        <w:t xml:space="preserve">On the page www.starlifeitalia.net/collabora, next to a form to be filled out and submitted to be contacted by a "STARLIFE manager," it specifies "STARLIFE supports you with a catalog of exclusive products, certified training, promotional material, a competitive compensation plan, the opportunity to use a car in exchange for a realistically achievable goal, trips to exotic locations, and much more."  </w:t>
        <w:br/>
        <w:t>14. Based on what was highlighted in the report submitted by the Carabinieri Command for Health Protection - N.A.S. of Padua, which also contains numerous testimonies from individuals affiliated with the Starlife system, it emerged that for the inclusion of new affiliates in the Starlife system "in a self-consumption regime without the purpose of sale (the latter not permitted since the supplements have not been notified), the purchase of an entry kit worth 200 euros and subsequent monthly purchases worth 100 euros is mandatory, or the recruitment of new individuals who in turn become active participating affiliates. For these latter individuals, a credit score is indeed awarded in the wallet of the person who introduced new affiliates, allowing them to obtain Starlife products for free. The affiliated consumer, therefore, provides a contribution in exchange for the possibility of receiving a compensation mainly derived from the entry of other consumers into the system rather than from the consumption of products for the purpose of achieving the aforementioned advantage, but particularly for the use of the car without limitations, at a very advantageous price."</w:t>
      </w:r>
    </w:p>
    <w:p>
      <w:r>
        <w:rPr>
          <w:b/>
        </w:rPr>
        <w:t>[Pages 49–51]</w:t>
      </w:r>
    </w:p>
    <w:p>
      <w:r>
        <w:t>BULLETIN NO. 9 OF MARCH 1, 2021 51</w:t>
      </w:r>
    </w:p>
    <w:p>
      <w:r>
        <w:t>15. The testimonies of individuals affiliated with the system established by Starlife SRO, attached in the form of minutes to the report from the Carabinieri Command of Padua, confirm what has been highlighted in the report itself. By way of example, in the testimony given by D.M. on January 8, 2019, it is stated that “since May 2018 I have joined the Starlife network marketing […]” through the website www.starlife.eu and the person who introduced me specified that “by acquiring new affiliates I would receive points in my wallet, which I could spend to purchase Starlife products and to maintain the car that was provided to me free of charge, including insurance. Every new affiliate I brought in had to purchase a package of at least 200 euros of Starlife products and in turn was invited by me to present new affiliates who also had to purchase packages of 200 euros. The new affiliates presented by those I identified still provided an increase in the points in my wallet, up to the seventh level of affiliation. […] In my case, I affiliated 4 people who purchased the Starlife package from which a group of about 200 people was generated, who every time they make a purchase supply me with points […]. This group, through the purchase of Starlife packages and new affiliations, allowed me to have the free use of the car from the company with full insurance […]. Through the points wallet, I also purchased Starlife products, but not only supplements, but also non-food products. In any case, I never sold them, although on some occasions I may have given them away for free to acquaintances, in the hope of convincing them […] and bringing them into my group, in order to create a network of consumer buyers. The products were ordered by me from Starlife” not only through the website www.starlife.eu, but “from November 2018 on www.starlifeitalia.net”.</w:t>
      </w:r>
    </w:p>
    <w:p>
      <w:r>
        <w:t>16. Similar statements are contained in the testimonies given by R.B., D.S., and M.G., respectively on January 9, 2018, January 8, and January 9, 2019, at the Carabinieri Command for Health Protection - NAS of Padua.</w:t>
      </w:r>
    </w:p>
    <w:p>
      <w:r>
        <w:t>17. The operational methods of the Starlife system described above are further confirmed by a report from “Striscia la notizia” dated April 5, 2019, brought to the attention of the Authority by the reporting consumer and acquired into the records of the proceeding on December 16, 2019.</w:t>
      </w:r>
    </w:p>
    <w:p>
      <w:r>
        <w:t>18. Further details on the functioning of the Starlife program emerge from the documentation attached by the NAS to its report. Firstly, in the screenshots from the website www.starlifeitalia.com, “created and managed by INDEPENDENT PARTNERS affiliated with Starlife,” the program and its advantages are described in the following terms:</w:t>
      </w:r>
    </w:p>
    <w:p>
      <w:r>
        <w:t>“I sign up with an initial order of products for about 135 pv (volume points) = 200€ + I involve three friends in this project, (the people do not necessarily have to be registered all together, but also at different times, for example; one person this week, two next month) who in turn will make an initial order of products of 200€ and thus obtain my same advantages. By doing this, I immediately earned 60€ x 3 = 180€ (registration bonus), so my products are free!!! This is the first step that will give me the right to reserve the car sponsored by the company!</w:t>
      </w:r>
    </w:p>
    <w:p>
      <w:r>
        <w:t>I will be able to pick up my new car upon reaching a total of 1000 pv in the month (of the group) and consolidating the structure by maintaining for three consecutive months 1000 pv of the group or at least three lines with 333 pv each. In any case, the pv (volume points) necessary for qualification do not have to be generated by me alone, but will be cumulative together with my group of collaborators, which in the meantime will begin to grow exponentially.”</w:t>
      </w:r>
    </w:p>
    <w:p>
      <w:r>
        <w:t>To maintain the car “it will be enough to insert a consultant in the month, make a personal self-consumption of 100 pv, plus 1000 pv together with your group, maintaining these minimum required requirements the car will cost you only 0.70 cents a day, with all expenses borne by the company = ZERO COST.”</w:t>
      </w:r>
    </w:p>
    <w:p>
      <w:r>
        <w:t>In the subsequent screenshots, the same scheme is graphically represented, with slightly different numbers, also emphasizing the presence of commissions on the purchase of products by the group that is linked to the “founding” consumer, which would allow such a consumer to earn over 700 euros a month, assuming that the 3 recruited consumers have in turn involved other consumers in the aforementioned system, creating a 4-level network made up of 120 consumers.</w:t>
      </w:r>
    </w:p>
    <w:p>
      <w:r>
        <w:t>19. The report was then accompanied by examples of the advertising material delivered or projected during Starlife meetings and events. In this material, the 7 different types of compensation that active consumers can access in promoting the Starlife system are described, including: (i) the “Registration Bonus” which provides for the retrocession to the “sponsor” consumer of part of the 200 euros spent by each of the new consumers convinced to join the Starlife system; (ii) bonuses on the purchases of goods made by members of their own network; (iii) the monthly “pool bonus” for which it is necessary to purchase for personal use products for at least 333 volume points or, alternatively, to register new paying consumers, in place of part of the expected personal purchases; (iv) the “leader bonus,” obtainable if one qualifies for the “pool bonus” and has a structure made up of at least 3 branches that produce more than 1000 volume points of purchases per month. The amount of the bonus is linked to the number of new registrations made, both personally and by one’s own structure.</w:t>
      </w:r>
    </w:p>
    <w:p>
      <w:r>
        <w:t>In the aforementioned material, the “Program Auto 333” is also described, which provides the possibility of long-term renting a car if certain purchase goals are reached, both personal and group (the higher the goals, the greater the commercial value of the car). The rental fee is inversely proportional to the purchase goals achieved: the lowest fees correspond to higher minimum group purchases. The fee that appears to be the most convenient (20 euros/month, corresponding to about 0.70 euros/day, for any type of car) can, however, only be obtained by meeting further conditions in terms of the number of new people recruited per month. If, however, this condition is not met, the minimum fee becomes equal to 110 euros/month for all cars.</w:t>
      </w:r>
    </w:p>
    <w:p>
      <w:r>
        <w:t>20. The setup and organization of the system established by Starlife SRO, as outlined in the aforementioned testimonies, are further supported by the documentation submitted by Starlife SRO with the memorandum of March 24, 2020. This documentation (“Business Manual”) confirms that the system established by Starlife SRO and disseminated also in Italy in conjunction with Starlife is based on a sophisticated mechanism for marketing various products, including numerous dietary supplements, comparable to a pyramid scheme, which provides for the affiliation of consumers to a structure that, with the prospect of alleged economic advantages and the assignment of a car for rent under supposedly advantageous conditions, incentivizes them, on one hand, to continuously purchase the products in question, and on the other, to seek and include other purchasing consumers in this structure. In this context, each affiliate is assigned a virtual wallet with points (so-called volume points, PV), structured in such a way as to credit these points for each new affiliation and for each individual order of Starlife products, proportioning these points (PV) to the individual affiliate and, as a percentage, to their reference group (BPGV).</w:t>
      </w:r>
    </w:p>
    <w:p>
      <w:r>
        <w:t>21. In particular, the Manual describes (pp. 33-43), in the terms already seen, the “pool bonus” and the “leader bonus,” as well as the mechanisms for the functioning of the bonuses on the purchases of goods made by members of their own network (so-called basic bonus). The “registration rewards” for new members are also indicated (p. 30 and p. 40): those intended for the “sponsor” (ranging from 42 to 168 euros) and those intended for the “presenter,” that is, a member of the Starlife system who, through an effective presentation of the system, facilitates the adhesion of consumers presented by sponsors (equal to 30% of the reward for the sponsor). The Manual also describes the Auto1,000 program, as reported below.</w:t>
      </w:r>
    </w:p>
    <w:p>
      <w:r>
        <w:t>22. Regarding the rental of “company” cars to networkers affiliated with the Starlife system, from the documentation attached by the Czech company (“Commercial conditions of the Starlife car program,” in effect from 1/1/2020), it can be inferred that the so-called “Starlife car program” provides for two different modalities: AUTO1.000 and AUTOLEASE. These modalities, chosen by the affiliate upon entering the program in question, can also be changed, at a cost of about 100 euros for each individual change of modality. The AUTO1.000 modality is essentially based on the volume of activity carried out by the interested party in favor of the Starlife company, in terms of the expansion of their network and the volume of purchases produced monthly; the AUTOLEASE modality is, instead, a true rental contract for a car for payment on a monthly basis, regardless of the purchases made by the affiliate and their group. To request a car with the AUTO1.000 modality, a personal purchase of Starlife products for a minimum amount of 100 PV/month, a turnover of their affiliate structure of at least 1,200 BPGV, and a network size of at least 3 branches, each with a turnover of “at least 333 BPGV” is required. To the affiliate who, based on the requirements established by the “Starlife car program,” according to the AUTO1.000 modality, is entitled to a rental car, it is delivered exclusively at the Czech headquarters of Starlife SRO, simultaneously with the payment of the aforementioned security deposit and a monthly fee. The amount of the fee starts from 110 euros/month and is inversely proportional to the volume of activity developed by the consumer and their group, which must be maintained throughout.</w:t>
      </w:r>
    </w:p>
    <w:p>
      <w:r>
        <w:rPr>
          <w:b/>
        </w:rPr>
        <w:t>[Pages 52–54]</w:t>
      </w:r>
    </w:p>
    <w:p>
      <w:r>
        <w:t>long-term rental granted to them by Starlife SRO and to be subject to the legal ownerships required by law towards the national Authorities.”</w:t>
      </w:r>
    </w:p>
    <w:p>
      <w:r>
        <w:t>39. Therefore, it is necessary to conclude that Starlife Italia S.r.l. (now New Car Europe S.r.l.) is indeed a party to the proceedings, given its active role in the distribution and management of the services related to the products marketed by Starlife SRO.</w:t>
      </w:r>
    </w:p>
    <w:p>
      <w:r>
        <w:t>40. In light of the above, the Authority must assess the implications of the activities carried out by Starlife Italia and Starlife SRO in relation to the applicable regulations governing the marketing of food supplements in Italy, as well as the compliance with the relevant consumer protection laws.</w:t>
      </w:r>
    </w:p>
    <w:p>
      <w:r>
        <w:t>41. The Authority will also need to consider the potential impact of the marketing strategies employed by Starlife SRO and Starlife Italia on the competitive landscape of the market for food supplements, particularly in terms of transparency and fairness in commercial communications directed at consumers.</w:t>
      </w:r>
    </w:p>
    <w:p>
      <w:r>
        <w:t>42. Finally, the Authority will issue its final decision based on the findings of this investigation, taking into account the legal framework and the evidence presented by both parties.</w:t>
      </w:r>
    </w:p>
    <w:p>
      <w:r>
        <w:rPr>
          <w:b/>
        </w:rPr>
        <w:t>[Pages 55–57]</w:t>
      </w:r>
    </w:p>
    <w:p>
      <w:r>
        <w:t>BULLETIN NO. 9 OF MARCH 1, 2021 57</w:t>
        <w:br/>
        <w:t>long-term rental contracts granted to them by Starlife s.r.o. and to be subject to the ownerships provided by law towards the national Authorities,” thus confirming its role as a fundamental link between national consumers and the Czech company. This role is further supported by Starlife SRO, which described the Italian company as “a company established for the administrative support of Starlife club members residing in the territory of the Italian Republic,” whose task “is to act as a point of contact between Starlife s.r.o. and Italian members of the Starlife club who have registered to receive products from Starlife s.r.o., or who have entered into a car rental contract with Starlife s.r.o.”</w:t>
      </w:r>
    </w:p>
    <w:p>
      <w:r>
        <w:t>It is therefore confirmed by the Czech company itself that, through the website of Starlife Italia S.r.l., individuals interested in joining the system in question and purchasing Starlife branded products are initially attracted and subsequently directed with a specific link to the Starlife SRO website.</w:t>
      </w:r>
    </w:p>
    <w:p>
      <w:r>
        <w:t>39. These considerations are further confirmed by the statements made on record on January 22, 2020, to the Carabinieri Command for Health Protection - NAS of Padua by the then special attorney of Starlife Italia, who stated that Starlife, “established by the sole member Starlife SRO Prague, provides assistance and consultancy services to networkers domiciled in Italy,” in order to “give concrete visibility of the company to the networkers,” clarifying in this regard that “the offices in Bergamo perform call center activities to receive service disruptions and reports that are forwarded to the Czech s.r.o., also performing a linguistic mediation function.”</w:t>
      </w:r>
    </w:p>
    <w:p>
      <w:r>
        <w:t>40. Therefore, based on the factual elements highlighted above, both of the aforementioned companies, namely Starlife Italia (now Newcar) and Starlife SRO, must be considered responsible for the commercial practice in question, as they are evidently economically interested in promoting the Starlife system within the Italian territory: the former, as the entity responsible for implementing and coordinating the system itself in Italy, performing “the function of call center to transmit communications from Italian networkers to the Czech s.r.o. (providing translation), as well as providing “administrative assistance to the fleet of company vehicles circulating in Italy and assigned to Networkers who have requested it through a long-term rental contract”; the latter, in its capacity as a company directly involved in the marketing of its products and in the rental of company cars through this system, relying on the collaboration of Starlife Italia.</w:t>
      </w:r>
    </w:p>
    <w:p>
      <w:r>
        <w:t>V.2 The unfairness of the commercial practice carried out by Starlife Italia and Starlife SRO</w:t>
      </w:r>
    </w:p>
    <w:p>
      <w:r>
        <w:t>41. The subject of this proceeding is the nature of the marketing system for Starlife products, characterized by the possibility of accessing various economic benefits based on achieving a minimum level of personal self-consumption and the volume of activity produced by the group of affiliates linked to the consumer itself.</w:t>
      </w:r>
    </w:p>
    <w:p>
      <w:r>
        <w:t>42. It is worth noting that all “multi-level” marketing systems are characterized by the fact that the individuals who join them (intermediating sales or purchasing for self-consumption) have the opportunity to recruit other individuals into the system, sponsoring their entry as new members who will intermediate sales or consume additional volumes of the product. The compensation, of any kind, received by a member is directly related, in addition to the purchases made or procured by them, also to the volumes of sales or purchases determined by the activity of the individuals they have sponsored.</w:t>
      </w:r>
    </w:p>
    <w:p>
      <w:r>
        <w:t>What distinguishes multi-level systems from pyramid schemes – which are absolutely prohibited under Law 173/2005 and included in the blacklist of commercial practices referred to in Article 23 of the Consumer Code – is the source of the compensation of the consumer acting as a “sponsor”: in pyramid selling schemes, the sponsor's earnings do not depend solely on the levels of sales or purchases made together with the individuals they have sponsored (to whom they are also not directly connected), but primarily derive from the entry of other individuals into the sales or promotion network.</w:t>
      </w:r>
    </w:p>
    <w:p>
      <w:r>
        <w:t>The mechanisms through which the professional secures a flow of resources sufficient to pay such earnings are quite diverse, but typically include high membership fees and/or mandatory purchases of products, as well as the fulfillment of minimum requirements related to the structure created by the sponsors and/or the volumes of sales or purchases generated. This is to ensure that the flow of new entrants into the system allows for the realization of the benefits promised to the sponsors. In fact, pyramid systems are sustainable in the long term only as long as the flow of new entrants remains at a sufficient level to ensure the payment of the promised rewards at all levels.</w:t>
      </w:r>
    </w:p>
    <w:p>
      <w:r>
        <w:t>43. The Starlife system, as implemented jointly by Starlife SRO and Starlife Italia, appears to be characterized by the typical elements of pyramid schemes.</w:t>
      </w:r>
    </w:p>
    <w:p>
      <w:r>
        <w:t>Firstly, it is noted that the membership in the system on the website www.starlifeitalia.net is promoted by making extensive reference to the earnings and other non-monetary benefits allegedly achievable, without explaining in any way the calculation mechanisms of the “competitive compensations” or the attainment of the other proposed benefits.</w:t>
      </w:r>
    </w:p>
    <w:p>
      <w:r>
        <w:t>Secondly, it is highlighted that the system is structured in such a way as to incentivize the recruitment of new consumers, as the promised compensations and the possibility of renting a car long-term at a competitive cost largely depend on the size of the network generated by the consumer-sponsor.</w:t>
      </w:r>
    </w:p>
    <w:p>
      <w:r>
        <w:t>44. In fact, membership entails the obligation of an initial order of Starlife products for a significant amount and the making of a minimum monthly order.</w:t>
      </w:r>
    </w:p>
    <w:p>
      <w:r>
        <w:t>The member has the opportunity to recover what they paid for the first purchase and to obtain substantial savings on subsequent purchases by becoming a sponsor of other consumers invited to join the network, thanks to the retrocession by Starlife of part of the revenues from the first purchase (the so-called “registration bonus”) and the accumulation of volume points for subsequent purchases made.</w:t>
      </w:r>
    </w:p>
    <w:p>
      <w:r>
        <w:t>New members will also have the incentive to sponsor the entry of new consumers and so on.</w:t>
      </w:r>
    </w:p>
    <w:p>
      <w:r>
        <w:t>Consumers who enter the system from time to time therefore have the incentive to sponsor new entries in order to recover part of the costs they themselves must bear to remain in the system. The compensations referred to as “Pool bonus” and “Leader bonus,” in fact, are closely related to the number of new registrations made.</w:t>
      </w:r>
    </w:p>
    <w:p>
      <w:r>
        <w:t>45. Relevant for the qualification of the Starlife system as pyramid-like are also the conditions of the Auto1.000 and Auto333 plans for car rental.</w:t>
      </w:r>
    </w:p>
    <w:p>
      <w:r>
        <w:t>Regarding the Auto1.000 plan, the conditions to be met for the request of the car and to obtain a seemingly advantageous rental fee compared to the “Pay per drive” offers available on the market, indeed, concern the size of the network (at least 3 branches, each capable of producing a minimum volume of purchases) and its overall minimum productivity. Given that there is evidently a physiological limit to the personal self-consumption of each participating consumer, the requirement related to the minimum purchases of the network also represents, in fact, an incentive for recruitment: the higher the number of consumers, the easier it is to reach the minimum number of purchases required.</w:t>
      </w:r>
    </w:p>
    <w:p>
      <w:r>
        <w:t>For example, in the case of the Auto333 Plan, it is evident that access to the most attractive rental fee (20 euros/month) is conditioned on a minimum number of registrations of new consumers in the month.</w:t>
      </w:r>
    </w:p>
    <w:p>
      <w:r>
        <w:t>Overall, therefore, the conditions for accessing rental and a competitive level of the fee appear to be more easily achievable the wider the network created by a consumer and thus the more effective the recruitment activity of new consumers.</w:t>
      </w:r>
    </w:p>
    <w:p>
      <w:r>
        <w:t>46. Starlife SRO and Starlife Italia thus appear to have established and promoted a marketing system for Starlife products with pyramid characteristics in which the professional earns primarily from the inclusion of new consumers and from the purchases of the product made directly by them and where the promotional effort is directed towards the continuous inclusion of new participating consumers capable of contributing to achieving the minimum objectives necessary to access the benefits promised by the professional.</w:t>
      </w:r>
    </w:p>
    <w:p>
      <w:r>
        <w:t>47. A synergistic role in increasing the effectiveness of the described pyramid scheme is played by the circumstance that professionals generate in consumers interested in joining the Starlife system the erroneous belief that the marketing and/or consumption of the supplements listed in the sheets titled “cellular harmonizers” and “sports nutrition” are lawful within the territory of Italy, while they are not currently included in the appropriate register of the Ministry of Health.</w:t>
      </w:r>
    </w:p>
    <w:p>
      <w:r>
        <w:t>The same Czech company Starlife SRO has confirmed that such supplements (with the exception of the one called “Oregano Star”) are not currently registered in the appropriate list of the Italian Ministry of Health.</w:t>
      </w:r>
    </w:p>
    <w:p>
      <w:r>
        <w:t>In this regard, it is noted that what Starlife SRO claims in its defense regarding the fact that in the context of the website www.starlife.eu, “it is not stated that the products offered by Starlife s.r.o. have been registered with the Ministry of Health of the Italian Republic” cannot be considered a legally adequate argument to remedy, for the purposes of marketing in Italy of such supplements, the failure to include them in the appropriate Register of the aforementioned Ministry.</w:t>
      </w:r>
    </w:p>
    <w:p>
      <w:r>
        <w:t>48. For the reasons previously outlined, the behaviors described above constitute an unfair commercial practice, in violation of Articles 20 and Article 23, letter i) and p), of the Consumer Code, as they are capable of appreciably distorting the economic behavior of consumers regarding i) the actual nature of the sales process of Starlife products, whose pyramid structure requires the consumer to provide a contribution in exchange for the possibility of receiving a compensation derived exclusively from the entry of other consumers into the system rather than from the sale of such products; ii) the main characteristics of the advertised dietary supplements, generating the impression that their sale and/or consumption are lawful within the territory of Italy.</w:t>
      </w:r>
    </w:p>
    <w:p>
      <w:r>
        <w:rPr>
          <w:b/>
        </w:rPr>
        <w:t>[Pages 58–60]</w:t>
      </w:r>
    </w:p>
    <w:p>
      <w:r>
        <w:t>BULLETIN NO. 9 OF MARCH 1, 2021</w:t>
      </w:r>
    </w:p>
    <w:p>
      <w:r>
        <w:t>VI. QUANTIFICATION OF THE SANCTION</w:t>
        <w:br/>
        <w:t xml:space="preserve">49. Pursuant to Article 27, paragraph 9, of the Consumer Code, with the measure that prohibits the unfair commercial practice, the Authority imposes an administrative pecuniary sanction from €5,000 to €5,000,000, taking into account the severity and duration of the violation. </w:t>
        <w:br/>
        <w:t xml:space="preserve">In determining the amount of the sanction, the criteria identified by Article 11 of Law No. 689/81 must be considered, as applicable, by virtue of the reference provided in Article 27, paragraph 13, of the Consumer Code: in particular, the severity of the violation, the actions taken by the company to eliminate or mitigate the infringement, the personality of the agent, as well as the economic conditions of the company itself. </w:t>
        <w:br/>
        <w:t xml:space="preserve">50. Regarding the severity of the practice, account is taken of the economic size of the professionals. From the information provided by the Guardia di Finanza, it has emerged that Starlife Italia has a turnover of approximately €200,000. As for Starlife SRO, the company states on its website that it has 100 employees, thus it is certainly a company of significant size. </w:t>
        <w:br/>
        <w:t xml:space="preserve">51. The severity is also appreciated in consideration of the breadth of the practice, which involved over 9,000 consumers in Italy, the consequent economic harm caused, its widespread dissemination through the internet, as well as due to the particular nature of the violations found, related to the adoption of a pyramid distribution scheme and the misleading nature of the messages aimed at suggesting that the sale of the advertised supplements in Italy is lawful. </w:t>
        <w:br/>
        <w:t xml:space="preserve">52. Regarding the duration of the violation, from the elements acquired in the records, it appears that the conduct in question has been carried out at least since 2018 (the period to which the facts reported by the Carabinieri Command for Health Protection – NAS of Padua refer) and that it is still ongoing. </w:t>
        <w:br/>
        <w:t xml:space="preserve">53. Based on these elements, it is deemed appropriate to determine the amount of the administrative pecuniary sanction applicable jointly to the company Starlife Italia S.r.l. (which changed its name to Newcar Europe srl, maintaining the same VAT number) and to the company Starlife SRO in the amount of €850,000 (eight hundred fifty thousand euros). </w:t>
        <w:br/>
        <w:t xml:space="preserve">THEREFORE, it is deemed, based on the above considerations, that the conduct in question constitutes an unfair commercial practice, pursuant to Articles 20 and 23, letters i) and p), of the Consumer Code, as it is capable of appreciably distorting the economic behavior of consumers regarding i) the actual nature of the sales process of Starlife products, whose pyramid structure requires the consumer to provide a contribution in exchange for the possibility of receiving a return derived exclusively from the entry of other consumers into the system rather than from the sale or consumption of products; ii) the main characteristics of the advertised food supplements, generating the impression that their sale and/or consumption is lawful; </w:t>
        <w:br/>
        <w:t>RESOLVES</w:t>
        <w:br/>
        <w:t xml:space="preserve">a) that the conduct described in point II of this measure, carried out in concert by the companies Starlife Italia S.r.l. (now Newcar Europe S.r.l.) and Starlife S.R.O., constitutes, for the reasons and within the limits stated in the motivation, an unfair commercial practice pursuant to Articles 20 and 23, letters i) and p), and therefore prohibits its continuation; </w:t>
        <w:br/>
        <w:t xml:space="preserve">b) to impose, jointly, on the company Starlife Italia S.r.l. (now Newcar Europe S.r.l.) and the Czech company Starlife S.R.O. the administrative pecuniary sanction of €850,000 (eight hundred fifty thousand euros); </w:t>
        <w:br/>
        <w:t xml:space="preserve">c) that the professionals communicate to the Authority, within sixty days from the notification of this measure, the initiatives taken in compliance with the injunction referred to in point a). </w:t>
        <w:br/>
        <w:t xml:space="preserve">For professionals with legal headquarters in Italy, the imposed administrative sanction must be paid within thirty days from the notification of this measure, using the tax codes indicated in the attached F24 model with identifying elements, pursuant to Legislative Decree No. 241/1997. Payment must be made electronically with a debit from their bank or postal account, through the home banking and CBI services provided by banks or Poste Italiane S.p.A., or by using the telematic services of the Revenue Agency, available on the website www.agenziaentrate.gov.it. For professionals with legal headquarters in a foreign state, the imposed administrative sanction must be paid within thirty days, via bank transfer (in euros) in favor of the State Budget, using the IBAN code IT04A0100003245348018359214 (BIC code: BITAITRRENT), which corresponds to the accounting triplet 18/3592/14. </w:t>
        <w:br/>
        <w:t xml:space="preserve">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concessionaire for collection; in this case, the increase absorbs the late interest accrued in the same period. </w:t>
        <w:br/>
        <w:t xml:space="preserve">Immediate communication of the payment must be given to the Authority by sending the documentation certifying the payment made. </w:t>
        <w:br/>
        <w:t xml:space="preserve">This measure will be notified to the interested parties and published in the Bulletin of the Competition and Market Authority. </w:t>
        <w:br/>
        <w:t xml:space="preserve">Pursuant to Article 27, paragraph 12, of the Consumer Code, in case of non-compliance with the measure, the Authority applies an administrative pecuniary sanction from €10,000 to €5,000,000. In cases of repeated non-compliance, the Authority may order the suspension of business activity for a period not exceeding thirty days. </w:t>
        <w:br/>
        <w:t xml:space="preserve">Against this measure, an appeal may be submitted to the TAR of Lazio, pursuant to Article 135, paragraph 1, letter b), of the Administrative Procedure Code (Legislative Decree of July 2, 2010, No. 104), within sixty days from the date of notification of the measure itself, without prejudice to the longer terms referred to in Article 41, paragraph 5, of the Administrative Procedure Code, or an extraordinary appeal may be proposed to the President of the Republic, pursuant to Article 8 of the Decree of the President of the Republic of November 24, 1971, No. 1199, within one hundred twenty days from the date of notification of the measure itself. </w:t>
        <w:br/>
        <w:t xml:space="preserve">THE SECRETARY GENERAL THE PRESIDENT </w:t>
        <w:br/>
        <w:t>Filippo Arena Roberto Rustichelli</w:t>
      </w:r>
    </w:p>
    <w:p>
      <w:r>
        <w:rPr>
          <w:b/>
        </w:rPr>
        <w:t>[Pages 61–61]</w:t>
      </w:r>
    </w:p>
    <w:p>
      <w:r>
        <w:t>Competition Authority Weekly Bulletin</w:t>
        <w:br/>
        <w:t>of the competition and market Year XXXI - No. 9 - 2021</w:t>
        <w:br/>
        <w:t>Editorial Coordination Giulia Antenucci</w:t>
        <w:br/>
        <w:t>Editorial Team Valerio Ruocco, Simonetta Schettini, Manuela Villani</w:t>
        <w:br/>
        <w:t>Italian Competition Authority</w:t>
        <w:br/>
        <w:t>Statistics and IT Applications Office</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