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https://www.agcm.it/dotcmsdoc/bollettini/2022/9-22.pdf</w:t>
      </w:r>
    </w:p>
    <w:p>
      <w:r>
        <w:t>Pages translated : 121</w:t>
      </w:r>
    </w:p>
    <w:p/>
    <w:p>
      <w:r>
        <w:rPr>
          <w:b/>
        </w:rPr>
        <w:t>[Pages 1–3]</w:t>
      </w:r>
    </w:p>
    <w:p>
      <w:r>
        <w:t>Bulletin</w:t>
        <w:br/>
        <w:t>Weekly</w:t>
        <w:br/>
        <w:t>Year XXXII - No. 9</w:t>
        <w:br/>
        <w:t>Published on the website www.agcm.it</w:t>
        <w:br/>
        <w:t>March 14, 2022</w:t>
      </w:r>
    </w:p>
    <w:p>
      <w:r>
        <w:t>SUMMARY</w:t>
        <w:br/>
        <w:t>CONCENTRATION OPERATIONS 5</w:t>
        <w:br/>
        <w:t>C12207B - SKY ITALIA/R2 - MEASURES REVIEW</w:t>
        <w:br/>
        <w:t>Decision No. 30036 5</w:t>
        <w:br/>
        <w:t>C12410B - CINVEN CAPITAL MANAGEMENT-FRESSNAPF BETEILIGUNGS/AGRIFARMA - MAXI</w:t>
        <w:br/>
        <w:t>ZOO ITALIA</w:t>
        <w:br/>
        <w:t>Decision No. 30037 6</w:t>
        <w:br/>
        <w:t>C12414 - PROJECT INFORMATICA/CONVERGE</w:t>
        <w:br/>
        <w:t>Decision No. 30038 84</w:t>
        <w:br/>
        <w:t>C12427 - VEGETA/BIOFARMA</w:t>
        <w:br/>
        <w:t>Decision No. 30040 88</w:t>
        <w:br/>
        <w:t>C12428 - ARNOLDO MONDADORI EDITORE/DEA PLANETA-LIBROMANIA</w:t>
        <w:br/>
        <w:t>Decision No. 30041 92</w:t>
        <w:br/>
        <w:t>C12430 - DEA CAPITAL ALTERNATIVE FUNDS SGR/CALVI HOLDING</w:t>
        <w:br/>
        <w:t>Decision No. 30042 101</w:t>
        <w:br/>
        <w:t>C12430B - DEA CAPITAL ALTERNATIVE FUNDS SGR/CALVI HOLDING</w:t>
        <w:br/>
        <w:t>Decision No. 30043 105</w:t>
        <w:br/>
        <w:t>ACTIVITIES OF REPORTING AND CONSULTATION 109</w:t>
        <w:br/>
        <w:t>AS1820 - CALL FOR TENDER FOR THE ASSIGNMENT OF THE SERVICE OF SENDING AND DELIVERING</w:t>
        <w:br/>
        <w:t>ENVELOPES CONTAINING DRIVER'S LICENSES AND VEHICLE REGISTRATIONS 109</w:t>
        <w:br/>
        <w:t>UNFAIR TRADE PRACTICES 113</w:t>
        <w:br/>
        <w:t>PS12073 - SKY-FOOTBALL PROMOTION</w:t>
        <w:br/>
        <w:t>Decision No. 30046 113</w:t>
      </w:r>
    </w:p>
    <w:p>
      <w:r>
        <w:t>BULLETIN NO. 9 OF MARCH 14, 2022 5</w:t>
        <w:br/>
        <w:t>CONCENTRATION OPERATIONS</w:t>
        <w:br/>
        <w:t>C12207B - SKY ITALIA/R2 - MEASURES REVIEW</w:t>
        <w:br/>
        <w:t>Decision No. 30036</w:t>
        <w:br/>
        <w:t>THE ANTITRUST AUTHORITY</w:t>
        <w:br/>
        <w:t>IN ITS MEETING of February 22, 2022;</w:t>
        <w:br/>
        <w:t>HEARD the Rapporteur Professor Michele Ainis;</w:t>
        <w:br/>
        <w:t>HAVING REGARD to Law No. 287 of October 10, 1990;</w:t>
        <w:br/>
        <w:t>HAVING REGARD to Presidential Decree No. 217 of April 30, 1998;</w:t>
        <w:br/>
        <w:t>HAVING REGARD to its resolution No. 27784 of May 20, 2019, with which, following the implementation</w:t>
        <w:br/>
        <w:t>of the concentration between Sky Italia S.r.l., Sky Italian Holdings S.p.A. and R2 S.r.l., measures were imposed</w:t>
        <w:br/>
        <w:t>on Sky Italia S.r.l. and Sky Italian Holdings S.p.A., pursuant to Article 18, paragraph 3, of Law No. 287 of</w:t>
        <w:br/>
        <w:t>October 10, 1990, necessary to restore effective competition conditions, eliminating</w:t>
        <w:br/>
        <w:t>the distorting effects of the operation already carried out, valid until May 21, 2022;</w:t>
        <w:br/>
        <w:t>HAVING REGARD to its resolution No. 29958 of December 21, 2021, with which a</w:t>
        <w:br/>
        <w:t>proceeding was initiated against Sky Italia S.r.l. and Sky Italian Holdings S.p.A., to assess whether</w:t>
        <w:br/>
        <w:t>the evolution of the overall context of the pay television services market and the vertically related</w:t>
        <w:br/>
        <w:t>markets justifies the total or partial revocation of the measures prescribed by the resolution of May 20, 2019, No. 27784;</w:t>
        <w:br/>
        <w:t>HAVING REGARD to the documents of the proceeding;</w:t>
        <w:br/>
        <w:t>CONSIDERING it necessary to replace the person responsible for the proceeding due to</w:t>
        <w:br/>
        <w:t>organizational needs that have arisen;</w:t>
        <w:br/>
        <w:t>RESOLVES</w:t>
        <w:br/>
        <w:t>to replace Dr. Luigi Di Gaetano with Dr. Carlo Piazza as the person responsible for the proceeding.</w:t>
        <w:br/>
        <w:t>This decision will be notified to the interested parties and published in the bulletin</w:t>
        <w:br/>
        <w:t>of the Antitrust Authority.</w:t>
        <w:br/>
        <w:t>THE DEPUTY SECRETARY GENERAL THE PRESIDENT</w:t>
        <w:br/>
        <w:t>Serena Stella Roberto Rustichelli</w:t>
      </w:r>
    </w:p>
    <w:p>
      <w:r>
        <w:rPr>
          <w:b/>
        </w:rPr>
        <w:t>[Pages 4–6]</w:t>
      </w:r>
    </w:p>
    <w:p>
      <w:r>
        <w:t>6 BULLETIN NO. 9 OF MARCH 14, 2022</w:t>
        <w:br/>
        <w:t>C12410B - CINVEN CAPITAL MANAGEMENT-FRESSNAPF</w:t>
        <w:br/>
        <w:t>BETEILIGUNGS/AGRIFARMA - MAXI ZOO ITALIA</w:t>
        <w:br/>
        <w:t>Provision No. 30037</w:t>
        <w:br/>
        <w:t>THE ANTITRUST AUTHORITY</w:t>
        <w:br/>
        <w:t>IN ITS MEETING of February 22, 2022;</w:t>
        <w:br/>
        <w:t>HEARD the Rapporteur Professor Elisabetta Iossa;</w:t>
        <w:br/>
        <w:t>HAVING REGARD TO Regulation (EC) No. 139/2004;</w:t>
        <w:br/>
        <w:t>HAVING REGARD TO Law No. 287 of October 10, 1990;</w:t>
        <w:br/>
        <w:t>HAVING REGARD TO the Presidential Decree No. 217 of April 30, 1998;</w:t>
        <w:br/>
        <w:t>HAVING REGARD TO the document received on August 23, 2021 from the European Commission (hereinafter "Commission"), concerning the request made to it on the same date by the companies Cinven Capital Management (VII) General Partner Limited and Fressnapf Beteiligungs GmbH pursuant to Article 4, paragraph 4, of Regulation (EC) No. 139/2004;</w:t>
        <w:br/>
        <w:t>HAVING REGARD TO the document sent by the Authority to the Commission on September 9, 2021, in which the Authority expressed its consent to refer the operation to Italy for evaluation based on national competition legislation, in application of Article 4, paragraph 4 of Regulation (EC) No. 139/2004;</w:t>
        <w:br/>
        <w:t>HAVING REGARD TO the document from the European Commission sent on September 20, 2021, in which the Commission decided to refer, pursuant to the same article, the examination of the operation in its entirety to Italy;</w:t>
        <w:br/>
        <w:t>HAVING REGARD TO the communication from the companies Cinven Capital Management (VII) General Partner Limited and Fressnapf Beteiligungs GmbH, received on December 24, 2021;</w:t>
        <w:br/>
        <w:t>HAVING REGARD TO its resolution of January 11, 2022, No. 29966, with which it initiated, pursuant to Article 16, paragraph 4, of Law No. 287/90, the proceedings against the companies Cinven Capital Management (VII) General Partner Limited and Fressnapf Beteiligungs GmbH;</w:t>
        <w:br/>
        <w:t>HAVING REGARD TO the Communication of the Investigative Findings transmitted on February 9, 2022;</w:t>
        <w:br/>
        <w:t>HAVING REGARD TO the final submissions presented by the companies Cinven Capital Management (VII) General Partner Limited and Fressnapf Beteiligungs GmbH and the final hearing before the College held on February 16, 2022;</w:t>
        <w:br/>
        <w:t>HAVING REGARD TO the communication of January 31, 2022, in which Cinven Capital Management (VII) General Partner Limited and Fressnapf Beteiligungs GmbH submitted corrective measures, supplemented on February 14, 2022, aimed at addressing the competition concerns highlighted in the Communication of the Investigative Findings;</w:t>
        <w:br/>
        <w:t>HAVING REGARD TO the documents of the proceedings and the documentation acquired during the investigation;</w:t>
        <w:br/>
        <w:t>CONSIDERING the following:</w:t>
        <w:br/>
        <w:t>I. THE PARTIES</w:t>
        <w:br/>
        <w:t>1. Cinven Capital Management (VII) General Partner Limited is a private equity company of the Cinven group (hereinafter also "Cinven"), which provides management and advisory services regarding investments to numerous investment funds.</w:t>
      </w:r>
    </w:p>
    <w:p>
      <w:r>
        <w:t>BULLETIN NO. 9 OF MARCH 14, 2022 7</w:t>
        <w:br/>
        <w:t>The funds managed by Cinven hold controlling stakes in various companies active in a wide range of sectors, including commercial services, consumer goods, financial services, healthcare, industry, and technology, media, and telecommunications. In particular, Cinven is active in the production and sale of pet food and snacks, both private label (hereinafter also "PL") and branded, in Italy through the Hungarian company Partner in Pet Food and the recently acquired Italian company Landini Giuntini S.p.A.1.</w:t>
        <w:br/>
        <w:t>In 2020, Cinven generated revenue in Italy of approximately [2-3]* billion euros.</w:t>
        <w:br/>
        <w:t>2. Fressnapf Beteiligungs GmbH is a company controlled by Fressnapf Holding SE, the holding company of the Fressnapf group (hereinafter also "Fressnapf"), which is exclusively controlled by a natural person.</w:t>
        <w:br/>
        <w:t>The group is active in the retail distribution of products for the feeding, care, hygiene, and entertainment of pets (hereinafter also "pet products") in several European countries; in Italy, Fressnapf is present with the subsidiary Maxi Zoo Italia S.p.A. The group is also active in the production of private label pet food and accessories, which are sold in its network of stores and online platforms.</w:t>
        <w:br/>
        <w:t>Fressnapf generated revenue in Italy in 2020 of approximately [100-511] million euros.</w:t>
        <w:br/>
        <w:t>3. Agrifarma S.p.A. (hereinafter also "Arcaplanet") is a company indirectly controlled by the private equity firm Permira; it is active in the retail distribution of pet products through a chain of approximately 390 specialized retail outlets (hereinafter also "pv") under the Arcaplanet brand present in 17 Italian regions.</w:t>
        <w:br/>
        <w:t>In the last three years, Arcaplanet has acquired four specialized retail chains in the same sector, which previously held a total of over 100 stores, branded Fortesan, Zoodom, Fauna Food, and La Città degli Animali.</w:t>
        <w:br/>
        <w:t>Arcaplanet controls three companies active, respectively, in the retail distribution of pet products in Lombardy, Veneto, and Piedmont (Arcawip S.r.l.), in Switzerland (Arcaplanet S.A.), and in consulting in the pet food sector (First One S.r.l.).</w:t>
        <w:br/>
        <w:t>The revenue generated by Arcaplanet in 2020 in Italy amounts to approximately [100-511] million euros.</w:t>
        <w:br/>
        <w:t>4. Maxi Zoo Italia S.p.A. (hereinafter also "Maxi Zoo") is a company active in the retail distribution of pet products through a chain of approximately 135 specialized stores under the Maxi Zoo brand, spread across the national territory.</w:t>
        <w:br/>
        <w:t>Maxi Zoo is wholly owned by Fressnapf. The company's revenue was approximately [100-511] million euros in 2020.</w:t>
        <w:br/>
        <w:t>II. DESCRIPTION OF THE OPERATION</w:t>
        <w:br/>
        <w:t>5. The operation in question (hereinafter also the "Operation") consists of the joint acquisition of control by Cinven and Fressnapf, through the newly established company Shiba Bidco S.p.A., over Arcaplanet and Maxi Zoo.</w:t>
        <w:br/>
        <w:t>1 See C12332 – ARTEMIS ACQUISITIONS/LANDINI GIUNTINI, provision No. 28472 of December 1, 2020, in Bulletin No. 50/2020.</w:t>
        <w:br/>
        <w:t>* In this version, some data are omitted, as elements of confidentiality or secrecy of the information were deemed to exist.</w:t>
      </w:r>
    </w:p>
    <w:p>
      <w:r>
        <w:t>8 BULLETIN NO. 9 OF MARCH 14, 2022</w:t>
        <w:br/>
        <w:t>6. The Operation will be implemented pursuant to two share purchase agreements, under which Cinven will hold [65-70%] and Fressnapf [30-35%] of the shares of the newly established company Shiba Bidco S.p.A., which in turn will hold the entire share capital of Arcaplanet and Maxi Zoo.</w:t>
        <w:br/>
        <w:t>7. Based on the governance agreements between the Parties, Cinven will be able to appoint and remove the majority of the Board of Directors for each acquired company, which will have full power to direct and control the affairs and activities of the company. The agreements also provide that both Cinven and Fressnapf must approve the initial business plan of the post-merger entity before the closing of the Operation. Finally, Fressnapf will have veto rights over certain essential decisions to determine the strategic directions of the business.</w:t>
        <w:br/>
        <w:t>8. In light of the governance mechanisms described above, following the Operation, Cinven and Fressnapf will jointly control Arcaplanet and Maxi Zoo2.</w:t>
        <w:br/>
        <w:t>III. QUALIFICATION OF THE OPERATION</w:t>
        <w:br/>
        <w:t>9. The Operation, as it involves the acquisition of joint control over multiple companies, constitutes a concentration pursuant to Article 3, paragraph 1, letter b), of Regulation (EC) No. 139/04 and falls within the scope of application of that Regulation, as it meets the conditions set out in Article 1, paragraph 2, thereof. Based on the referral decision of the Commission adopted pursuant to Article 4, paragraph 4, of the aforementioned Regulation, received by the Authority on September 20, 2021, Law No. 287/90 is applicable to the concentration.</w:t>
        <w:br/>
        <w:t>IV. INITIATION OF THE PROCEEDING AND INVESTIGATIVE ACTIVITY</w:t>
        <w:br/>
        <w:t>10. Following the decision not to proceed of December 21, 2021, regarding case C124103, on December 24, 2021, a new communication from the Parties regarding the operation described in paragraph II was received.</w:t>
        <w:br/>
        <w:t>11. On January 11, 2022, the present investigation was initiated, pursuant to Article 16, paragraph 4, of Law No. 287/90, against the companies Cinven and Fressnapf, considering that the concentration operation is likely to create or strengthen a dominant position in the markets for the supply and retail sale of pet products, such as to eliminate or substantially and durably reduce competition in those markets.</w:t>
        <w:br/>
        <w:t>12. The documentation in the C12410 file has been fully acquired in the C12410B file. During the proceedings, requests for information were sent, in addition to the Parties, to the main operators of the GDO (Bennet, Carrefour, Conad, Coop, Esselunga, Eurospin, Il Gigante, Iper, Lidl, and Selex)4, to certain chains of stores specialized in the sale of pet products (Isola dei Tesori, Azzurra Pet, Agri Zoo 2, Petmark, ZooPlanet)5, to the main pet food manufacturing companies (Affinity, Hill’s, Life Pet Care, Mars, Nestlé, and Royal Canin)6 as well as to an operator active exclusively in the online sale of such products (Zooplus7). The requests for information were addressed to:</w:t>
        <w:br/>
        <w:t>2 See Consolidated Communication of the Commission on the criteria for jurisdictional competence under Regulation (EC) No. 139/2004 of the Council concerning the control of concentrations between undertakings (2008/C 95/01).</w:t>
        <w:br/>
        <w:t>3 See C12410 - CINVEN CAPITAL MANAGEMENT-FRESSNAPF BETEILIGUNGS/AGRIFARMA - MAXI ZOO ITALIA, provision No. 29960 of December 21, 2021 in Bulletin No. 2/2022.</w:t>
        <w:br/>
        <w:t>4 Docs. 2 to 9, 11, and 15.</w:t>
        <w:br/>
        <w:t>5 Docs. 10, 12, 13, 14, 16, 93, and 94.</w:t>
        <w:br/>
        <w:t>6 Docs. 87 to 92.</w:t>
        <w:br/>
        <w:t>7 Doc. 23.</w:t>
      </w:r>
    </w:p>
    <w:p>
      <w:r>
        <w:rPr>
          <w:b/>
        </w:rPr>
        <w:t>[Pages 7–9]</w:t>
      </w:r>
    </w:p>
    <w:p>
      <w:r>
        <w:t>BULLETIN NO. 9 OF MARCH 14, 2022 9</w:t>
        <w:br/>
        <w:t>the information was primarily aimed at acquiring useful knowledge elements to assess the degree of competitive pressure exerted by the GDO channel and the online channel on the chains of stores specialized in the sale of pet products, as well as to acquire information regarding the evolving trends in the relevant sector. Almost all the operators consulted responded to the requests sent.</w:t>
        <w:br/>
        <w:t>13. Furthermore, in order to better understand consumer spending habits and the dynamics of demand in the sector under examination, the Authority conducted a sample market research (hereinafter, briefly, the “survey”) aimed at verifying the definition of the relevant markets and, more generally, at collecting useful elements for the assessment of concentrations in the pet products sector, carried out through a questionnaire administered by the company SWG S.p.A. (hereinafter “SWG”) to a nationally representative sample of consumers8.</w:t>
        <w:br/>
        <w:t>14. The Parties to the proceedings were heard in hearings on November 29, 2021, January 13 and 21, 2022, and had access to the documents on November 18, 2021, and January 25, 2022. On February 9 and 10, 2022, the Parties made an additional access according to the so-called data room modalities.</w:t>
        <w:br/>
        <w:t>15. On February 9, 2022, the Communication of the Investigative Findings (hereinafter also “CRI”) was sent to the Parties9 and on February 16, 2022, the final hearing was held before the College10.</w:t>
        <w:br/>
        <w:t>16. By communication dated January 31, 202211, supplemented by the communication of February 14, 202212, the Parties proposed some structural corrective measures.</w:t>
        <w:br/>
        <w:t>V. THE INVESTIGATIVE FINDINGS</w:t>
        <w:br/>
        <w:t>A) Premise</w:t>
        <w:br/>
        <w:t>17. The present operation consists of the acquisition by Cinven and Fressnapf of joint control of Arcaplanet and Maxi Zoo, the first and third chain specialized in the retail distribution of pet products at the national level.</w:t>
        <w:br/>
        <w:t>18. In the decision to initiate the investigation, in line with national and community precedents, as well as considering the activities carried out by the Parties, the following markets affected by the operation were identified: i) the retail distribution of pet food and care items; ii) the procurement of pet food and care items.</w:t>
        <w:br/>
        <w:t>19. Regarding the markets for the retail sale of pet products, in the initiation decision, based on the definition of relevant markets adopted in a recent investigation within the framework of a concentration assessment procedure in the sector under examination13, a relevant commodity market for the retail sale of pet food and care items was identified, consisting solely of specialized physical retail outlets (traditional stores and chains).</w:t>
        <w:br/>
        <w:t>20. The investigation conducted in the cited case had, in fact, highlighted the existence of rather limited substitutability between specialized stores and GDO retail outlets. Within this latter channel, only the hypermarket segment (retail outlets with areas equal to or greater than 2,500 square meters) was found to exert a certain competitive pressure on specialized surfaces entirely dedicated to pet products. However, this was not sufficient to consider the two types of channels as part of the same relevant market. Nevertheless, from a precautionary perspective, the effects of this operation were also assessed taking into account the competitive pressure exerted by hypermarkets, as a future greater substitutability between the latter and pet shops could not be excluded. The online channel, which at the time represented a relatively insignificant share of sales, was also not considered part of the relevant market.</w:t>
        <w:br/>
        <w:t>21. Considering the high dynamism of the sector in question, the existing substitutability relationship between specialized stores and retail outlets of these different types (GDO and online) was further investigated in the present inquiry.</w:t>
        <w:br/>
        <w:t>22. Regarding the geographical extension, the markets for pet products have a local dimension, considering consumer purchasing behaviors and the importance they attribute to the proximity of retail outlets. In the initiation decision, in line with the aforementioned precedent of the Authority, the geographical dimension of the relevant market was identified in the area delimited by isochrone curves of 20 minutes of driving, constructed around the affected retail outlets. The geographical definition of the relevant market was also subject to new in-depth analysis during the investigation.</w:t>
        <w:br/>
        <w:t>23. Based on the data provided by the Parties and the aforementioned commodity and geographical definitions, significant horizontal overlaps were identified in the initiation decision, with post-merger market shares exceeding 25%14 and increases attributable to the concentration under examination deemed non-negligible15, in almost all the local retail markets considered (123 out of 136).</w:t>
        <w:br/>
        <w:t>24. With reference to the markets for the procurement of pet products, at the initiation stage, it was deemed that the commodity definition should, in abstract, mirror the definition of the markets for the production of such items, outlined based on the type of animal and the specific need they are intended to satisfy.</w:t>
        <w:br/>
        <w:t>25. From a geographical perspective, the procurement markets were considered to be at least national in size, considering the breadth of the operational scope of suppliers and the uniformity of purchasing conditions across the entire national territory.</w:t>
        <w:br/>
        <w:t>26. In the initiation decision, the operation under examination was deemed likely to raise competitive concerns also in the procurement markets, due to the leadership position acquired by the new operator post-merger at the national level in sales and, consequently, in purchases of pet items. Furthermore, it was deemed necessary to assess the market power of the new entity in the procurement markets also taking into account the distribution of market shares it holds in the local retail markets, which substantially influences the bargaining power held during the purchasing phase. This is because a producing company that wants to ensure a widespread presence in all geographical areas could be somewhat “obliged” to engage with the main national distribution companies, especially where these hold, downstream, significant positions of strength in numerous local markets.</w:t>
        <w:br/>
        <w:t>14 See Council Regulation (EC) No. 139/2004 of January 20, 2004, on the control of concentrations between undertakings, para 32: “Concentrations may be presumed compatible with the common market where, given the modest market share of the undertakings concerned, they are not such as to impede effective competition. Subject to Articles 81 [101 TFEU] and 82 [102 TFEU] of the Treaty, an indication in this sense exists where the market share of the undertakings concerned does not exceed 25% either in the common market or in a substantial part thereof.”</w:t>
        <w:br/>
        <w:t>15 Increases below 2% were deemed negligible.</w:t>
      </w:r>
    </w:p>
    <w:p>
      <w:r>
        <w:t>BULLETIN NO. 9 OF MARCH 14, 2022 11</w:t>
        <w:br/>
        <w:t>27. Based on these premises, the Authority on January 11, 2022, initiated an investigation pursuant to Article 16, paragraph 4, of Law No. 287/90 to verify whether the operation under examination would create or strengthen a dominant position in the retail and procurement markets for pet products.</w:t>
        <w:br/>
        <w:t>28. Below are the investigative findings, articulated in the characteristics of the sector, the results of the survey on consumer habits, the other elements acquired in the case file, and the evidence presented by the Parties.</w:t>
        <w:br/>
        <w:t>B) The characteristics of the affected sector</w:t>
        <w:br/>
        <w:t>29. The sector affected by the Operation is that of the retail distribution of products for the feeding, care, hygiene, and entertainment of pets, collectively also referred to as “pet products.” These products can be divided based on the type of animal they are intended for (dogs, cats, fish, reptiles, rodents, and birds) and the specific need they aim to satisfy (feeding, play, hygiene, and care); furthermore, with reference to the specific organoleptic and nutritional characteristics, pet food for dogs and cats can be further divided into dry food and wet food.</w:t>
        <w:br/>
        <w:t>30. In the sector of pet product distribution, various categories of operators operate, differing in relation to the breadth and depth of the assortment, price positioning, number, and quality of services offered to consumers: i) large specialized surfaces organized in chains (“pet shop chains”16), such as those managed by the Parties, which channel – based on estimates provided by the Parties themselves – about [15-20%] of national sales in value; ii) traditional specialized stores (also called “Mom&amp;Pops”), with a national share of [25-30%]; iii) retail outlets of the large organized distribution (GDO), with a share of approximately [30-35%] at the national level; iv) online operators, with a share of about [5-10%]. Other types of operators specialized in different commodity categories (household hygiene, health and beauty, gardening, etc.) also operate in the sector, albeit marginally.</w:t>
        <w:br/>
        <w:t>31. Arcaplanet and Maxi Zoo represent the first and third pet shop chain at the national level, with a share, in the chain segment alone, of [45-50%] and [15-20%]17, respectively. Both Parties are particularly present in Northern Italy. The main competitor, the specialized chain Isola dei Tesori, second at the national level with a share of [15-20%], has its retail outlets mainly located in the Central part of the country, as shown in Figure 1.</w:t>
        <w:br/>
        <w:t>16 For pet shop chains, consistently with the definition adopted by the trade association Assalco, we mean groups of stores specialized in the sale of food and items for animals with an organized structure of at least 7 owned retail outlets.</w:t>
        <w:br/>
        <w:t>17 Source: AGCM elaborations on data provided by the Parties and competitors.</w:t>
      </w:r>
    </w:p>
    <w:p>
      <w:r>
        <w:rPr>
          <w:b/>
        </w:rPr>
        <w:t>[Pages 10–12]</w:t>
      </w:r>
    </w:p>
    <w:p>
      <w:r>
        <w:t>12 BULLETIN NO. 9 OF MARCH 14, 2022</w:t>
        <w:br/>
        <w:t>Figure 1 – Territorial distribution of the points of sale of the three main national chains</w:t>
        <w:br/>
        <w:t>Source: elaboration by Isola dei Tesori on public data, updated as of August 2020 (doc 46.1).</w:t>
        <w:br/>
        <w:t>32. Among the pet shop chains, there are also specialized points of sale attributable to various GDO operators (e.g., Amici di Casa Coop, Petstore Conad, Animali Che Passione, Joe Zampetti, Pet Elite of Selex, and Ayoka of Végé), which, aware of the development potential of the specialized chain formula, have recently opened numerous stores exclusively dedicated to pet products, distinguished by a specific brand (hereinafter also referred to as "GDO pet shops"). These are specialized points of sale that, just like pet shop chains not attributable to the GDO, have their strength in the assortment (wide, with the presence of premium, functional, dietary products) and in the service (qualified staff, grooming services, and sometimes veterinary services). In terms of assortment (number of references, distribution of product categories, weight of therapeutic products, etc.) and price, they present a profile in line with that of other pet shop chains18.</w:t>
        <w:br/>
        <w:t>33. According to the Parties' estimates, total sales in Italy of pet products were approximately 3.4 billion euros (including VAT) in 2020, with a constant growth over the years. The pet food segment accounts for about 80% of the total, with an estimated value of approximately 2.7 billion euros, of which almost all relates to products for the feeding of dogs and cats. Euromonitor19 estimates an annual growth rate of the sector of 2.7% for the period 2020-25.</w:t>
        <w:br/>
        <w:t>34. The trend of the various sales channels is extremely differentiated: specialized chains show the most marked development, confirming the double-digit growth dynamics that have characterized them in recent years (+19.7% in value and +13.8% in volume in the period July 2020-June 2021); the GDO shows a decent overall growth (+6.2% in value and +4.5% in volume)20; traditional pet stores register only a slight increase in sales (+1.3% in volume and +0.3% in value)21. Furthermore, there is a strong acceleration in the growth of the online channel, also driven by the restrictions on movement that occurred during the Covid-19 health emergency; in e-commerce, there are both operators specialized in the sale of pet products (active only online or also brick &amp; mortar) and generalist operators (GDO and marketplaces like Amazon).</w:t>
        <w:br/>
        <w:t>35. The described dynamics confirm the ongoing trend, already noted during the investigation carried out in 201822, towards a reduction in the weight of Mom&amp;Pops in the sales of pet products and the expansion of the pet shop chain formula at the expense of small independent points of sale. In particular, Assalco data highlight a decrease in the incidence of sales from traditional points of sale on the turnover of the entire sector of over 3 percentage points in less than two years23.</w:t>
        <w:br/>
        <w:t>36. These points of sale, in particular, are strongly affected by the growth of large chains as they, on the one hand, are increasingly able to guarantee consumers the presence in-store of qualified and specialized staff (a strong point of traditional pet shops), and on the other hand, can leverage managerial economies of scale, especially in product purchases, which small points of sale cannot achieve. In this regard, it is worth noting that, based on interviews conducted by the Guardia di Finanza with a sample of traditional stores in the aforementioned proceeding, several traditional points of sale reported "a significant loss of turnover following the opening, in their area, of specialized stores belonging to large chains. Some traditional points of sale are therefore trying to react to the competitive pressure from the chains by primarily focusing their offer on grooming and animal care services"24.</w:t>
        <w:br/>
        <w:t>37. All the different types of points of sale described have an assortment that covers various categories of food (pet food) and care products (pet care) for domestic animals, although there are significant differences between the various channels. As stated in the Assalco 2021 Report, Grocery25 and specialized stores (both Mom&amp;Pops and chains) "have different management methods for the offer and propose diversified assortments that correspond to the specific needs and priorities of consumers"26.</w:t>
        <w:br/>
        <w:t>38. Table 1 highlights some characteristics of the aforementioned categories of points of sale (average number of references, average turnover, average price per kg), with exclusive reference to the sector of dog and cat food, for which there are official measurements from IRI.</w:t>
        <w:br/>
        <w:t>22 See C12139 - NOAH 2/MONDIAL PET DISTRIBUTION, cited.</w:t>
        <w:br/>
        <w:t>23 See Assalco Report 2020 and 2021.</w:t>
        <w:br/>
        <w:t>24 C12139 - NOAH 2/MONDIAL PET DISTRIBUTION, cited. § 32.</w:t>
        <w:br/>
        <w:t>25 In the "Grocery" aggregate, Assalco includes the GDO (hypermarkets, supermarkets, small supermarkets, discount stores) and also traditional points of sale under 100 sqm.</w:t>
        <w:br/>
        <w:t>26 In particular, Grocery – and specifically the GDO - offers consumers "the typical convenience of the channel composed of promotions, practicality, speed, and ease of purchase"; the offer is focused on the mid-price range, although with an increasing presence in the premium range. Specialized stores present "greater breadth of range in the premium/superpremium segment, specific and functional products that meet differentiated needs such as dietary foods or foods 'for particular nutritional purposes' designed to meet specific nutritional needs, often related to certain pathologies, which must be administered on the veterinarian's advice." The strength of the channel, in addition to proximity, is the high specialization and the consulting service offered, both on nutrition and on other products for animal care. Pet shop chains combine the high specialization of traditional stores with a management and display format closer to that of the GDO. From this, according to Assalco, "inevitable key competitive advantages of success that the channel has had in recent years derive."</w:t>
        <w:br/>
        <w:t xml:space="preserve">  </w:t>
        <w:br/>
        <w:t>14 BULLETIN NO. 9 OF MARCH 14, 2022</w:t>
        <w:br/>
        <w:t>Table 1 - Characteristics of the main distribution channels</w:t>
        <w:br/>
        <w:t>Stores</w:t>
        <w:br/>
        <w:t>Chains Hypermarkets Supermarkets</w:t>
        <w:br/>
        <w:t>traditional</w:t>
        <w:br/>
        <w:t>specialized</w:t>
        <w:br/>
        <w:t>specialized</w:t>
        <w:br/>
        <w:t>Average No.</w:t>
        <w:br/>
        <w:t>2,601 1,850 871 322</w:t>
        <w:br/>
        <w:t>of references</w:t>
        <w:br/>
        <w:t>Average turnover per</w:t>
        <w:br/>
        <w:t>756 135 390 76</w:t>
        <w:br/>
        <w:t>store (000 euros)*</w:t>
        <w:br/>
        <w:t>Average price</w:t>
        <w:br/>
        <w:t>6.7 6.9 2.7**</w:t>
        <w:br/>
        <w:t>per unit (€/kg)</w:t>
        <w:br/>
        <w:t>* The data refers only to sales of dog and cat food.</w:t>
        <w:br/>
        <w:t>** The data refers to the entire grocery sector.</w:t>
        <w:br/>
        <w:t>Source: AGCM elaborations on data from the Assalco Report 2021.</w:t>
        <w:br/>
        <w:t>39. As emerges from Table 1, specialized stores (both independent and organized in chains27) offer a much wider and deeper assortment compared to that of the GDO, especially with reference to supermarkets, which represent the predominant part of sales in this channel. The assortment of specialized points of sale, in particular, also includes niche products and/or aimed at meeting specific nutritional and care needs of animals (dietary, aimed at animals with pathologies, etc.) and shows a greater incidence of innovation compared to the GDO.</w:t>
        <w:br/>
        <w:t>40. Furthermore, specialized stores appear to be more focused on the premium and superpremium product ranges, which have a higher unit value. The average price of a kilogram of food sold by pet shops is more than double that of the GDO. The assortment of the GDO, on the other hand, appears predominantly oriented towards the mid-low price range, with an offer mainly aimed at ensuring greater convenience, in economic terms and speed of purchase.</w:t>
        <w:br/>
        <w:t>41. The composition of the channel's turnover also shows marked differences between specialized points of sale and the GDO. Firstly, the share attributable to the food segment for dogs and cats is much higher for the GDO and is on average equal to 92%28 compared to the [65-70%] of the specialized channel29. Secondly, even in the aforementioned segment, there are significant differences in the product mix between pet shops (including GDO pet shops) and GDO points of sale, as highlighted in Figure 2. In particular, there is a greater incidence on the turnover of the GDO of cat food, specifically wet food; conversely, the specialized channel is more oriented towards dog food, especially dry food.</w:t>
        <w:br/>
        <w:t>27 GDO pet shops offer an assortment comparable to that of non-GDO pet shop chains: the average number of references of the former is, in fact, equal to 2,332, compared to the 2,601 average references of the other pet shop chains. GDO pet shops also have a distribution of product categories and a price positioning aligned with that of other chains. Source: Assalco Report 2021.</w:t>
        <w:br/>
        <w:t>28 Source: AGCM elaborations on data from the Assalco Report 2021.</w:t>
        <w:br/>
        <w:t>29 Source: weighted average data provided by Arcaplanet and MaxiZoo (see doc. 51), consistent with the data from the main competitor Isola dei Tesori (doc. 46.1) and that of Amici di Casa Coop (doc. 42.2).</w:t>
      </w:r>
    </w:p>
    <w:p>
      <w:r>
        <w:rPr>
          <w:b/>
        </w:rPr>
        <w:t>[Pages 13–15]</w:t>
      </w:r>
    </w:p>
    <w:p>
      <w:r>
        <w:t>BULLETIN NO. 9 OF MARCH 14, 2022 15</w:t>
        <w:br/>
        <w:t>Figure 2 – Distribution of revenue in dog and cat food across different channels</w:t>
        <w:br/>
        <w:t>Source: Assalco Report 2021.</w:t>
        <w:br/>
        <w:t>42. Furthermore, the offering of specialized retail points, and especially that of traditional stores, is not limited to the sale of pet products, often extending to the sale of live animals and, almost always, to the provision of additional services related to the care and management of the animal (grooming, dog/cat sitting, boarding, consultations for nutrition and the choice of veterinarian, etc.).</w:t>
        <w:br/>
        <w:t>43. Another element of differentiation between the channels is given by the presence and quality of the sales assistance service offered to the consumer. In this regard, the traditional store is the channel where the trust relationship of the customer with the retail point is most significant: in most cases, it is the store owner who provides a qualified sales assistance service, interfacing directly with the end consumer. This allows for the easier transfer of the added value of higher-end products, justifying the price positioning of certain items.</w:t>
        <w:br/>
        <w:t>44. From the analysis of promotional campaigns, the Assalco Report 2021 also notes a different trend between specialized chains and GDO. While the former "are increasingly centralizing the offering with fewer differences in terms of assortments and/or prices at the local level," GDO operators are localizing it more, diversifying in terms of assortments and/or prices.</w:t>
        <w:br/>
        <w:t>C) The survey on consumer habits</w:t>
        <w:br/>
        <w:t>45. In light of the rapid and marked evolutionary trends occurring in the sector, it was deemed necessary to deepen the current spending habits of consumers purchasing pet products (hereinafter also referred to as "consumers") and the dynamics of demand in the pet products sector. To this end, a sample market research was conducted to define the relevant markets and, more generally, to collect useful elements for assessing concentrations in the sector in question. As mentioned, the survey was conducted through a questionnaire administered by the company SWG to a nationally representative sample of consumers30.</w:t>
        <w:br/>
        <w:t>30 See doc. 50 and attachments. The population of interest for the survey consisted of all households residing in Italy that have at least one pet. The survey was conducted between October 25 and November 3, 2021, through the administration of a structured questionnaire consisting of 27 questions. A sample of 2,504 subjects was reached, using a mixed technique, namely through CATI (Computer Aided Telephone Interview) interviews on both fixed and mobile devices, and through CAWI (Computer Aided Web Interview) online interviews. The data were statistically weighted according to the most recent demographic data published by ISTAT.</w:t>
        <w:br/>
        <w:t>31 Question 12 of the survey "Which purchase channels have you used, even occasionally, to buy pet products in the last year? Multiple answers possible."</w:t>
      </w:r>
    </w:p>
    <w:p>
      <w:r>
        <w:t>BULLETIN NO. 9 OF MARCH 14, 2022 17</w:t>
        <w:br/>
        <w:t>49. As can be seen from Table 2, the main supply channels for pet owners are represented by GDO retail points (hypermarkets, supermarkets, superettes and/or discount stores) and pet shops (specialized chains or independent stores).</w:t>
        <w:br/>
        <w:t>50. The use of the online channel has significantly increased compared to a few years ago. Those who use e-commerce primarily turn to specialized sites for pet products such as Zooplus (55%) or generalist marketplaces like Amazon (54%), while they use the websites of specialized chains (29%) or GDO (7%) to a lesser extent32.</w:t>
        <w:br/>
        <w:t>51. The survey particularly investigated the relationship between the two main channels, namely GDO and specialized retail points, for which there is a certain degree of overlap: 31% of consumers, in fact, use both types of channels33.</w:t>
        <w:br/>
        <w:t>52. In order to better understand the nature of the overlap in the use of these types of retail points, those who turn to both specialized retail points and GDO were asked to specify how they are used: 62% (which represents 67% in terms of spending) stated that they do so "complementarily, to purchase different items in terms of type/quality/format," while 38% (33% in terms of spending) use them "indifferently, to purchase similar items in terms of type/quality/format"34.</w:t>
        <w:br/>
        <w:t>53. A distinction between GDO customers and those of specialized stores also emerges from the relevance attributed to different factors in choosing the retail point (see Figure 3 below). Those who prefer to go to pet shops – particularly chains – attribute significantly greater importance than average to elements such as product quality, wide assortment, sales assistance from knowledgeable staff, and the availability of additional services. Conversely, those who turn to GDO place greater importance on the ability to combine pet product purchases with family food purchases and the location of the retail point in a commercial area. Customers who primarily shop online are those most attentive to factors such as quality and wide product selection, brand, but also price convenience and the presence of promotions and offers, in addition – of course – to home delivery.</w:t>
        <w:br/>
        <w:t>32 Question 19 of the survey "D19 Where do you make your online purchases of your PET products? Multiple answers possible."</w:t>
        <w:br/>
        <w:t>33 On the other hand, large groups of consumers use either one channel or the other: 35% of consumers rely on GDO retail points and do not use the specialized channel, while 29% turn to the specialized channel and not to GDO.</w:t>
        <w:br/>
        <w:t>34 Question 20 "You mentioned using both specialized retail points for pet products (small independent stores or chains) and retail points of the Large Distribution (hypermarkets, supermarkets, discount stores, etc.). Can you indicate which of the following statements best describes your purchasing behavior?"</w:t>
      </w:r>
    </w:p>
    <w:p>
      <w:r>
        <w:rPr>
          <w:b/>
        </w:rPr>
        <w:t>[Pages 16–18]</w:t>
      </w:r>
    </w:p>
    <w:p>
      <w:r>
        <w:t>18 BULLETIN NO. 9 OF MARCH 14, 2022</w:t>
        <w:br/>
        <w:t>Figure 3 – Importance of factors in choosing the point of sale (% of consumers who responded "essential")35</w:t>
        <w:br/>
        <w:t>Source: AGCM elaborations on SWG survey data.</w:t>
        <w:br/>
        <w:t>54. In order to verify which types of points of sale can be considered, from the demand perspective, substitutable for the points of sale of specialized chains, the survey also investigated consumers' reactions to a hypothetical 10% price increase at the points of sale in question (so-called SSNIP test). In particular, consumers were first asked whether their reaction would consist of turning to another type of point of sale for at least part of their purchases and, secondly, those who responded affirmatively were asked to indicate which type of point of sale they would turn to instead, specifying the portion of spending they would redirect.</w:t>
        <w:br/>
        <w:t>55. The investigation allowed for the implementation of two versions of the test. On one hand, the reaction of consumers to a price increase of only the specialized chains was evaluated ("SSNIP test 1"), while on the other hand, this reaction was examined considering the price increase of all pet shops, including independent stores ("SSNIP test 2").</w:t>
        <w:br/>
        <w:t>56. In both cases, the test was implemented through the so-called critical loss analysis, which allows verifying whether, following a price increase (in this case of 10%), the effect of expanding the unit margin on the quantities that are still sold (margin effect) prevails or the effect of reducing these quantities due to the loss of demand that is redirected to other points of sale (quantity effect). According to this approach, a so-called critical loss is identified that makes the two effects equivalent. Consequently, any actual loss greater than the critical loss (CL*) – which depends both on the percentage of price increase and the margins achieved by the hypothetical monopolist before the increase36 – does not make the price increase profitable and thus leads to identifying a broader market than initially considered.</w:t>
        <w:br/>
        <w:t>57. The outcome of the survey highlighted that, in the face of a 10% price increase practiced by specialized chains (SSNIP test 1), the percentage of spending that would be redirected to other channels would be 22%, a value lower than the critical loss ([25-30%]) calculated based on the margins provided by the Parties during the proceedings37.</w:t>
        <w:br/>
        <w:t>58. Among the alternative channels to which spending made at the chains would be redirected, online constitutes the first in order of importance. This channel would indeed receive about 38% of the spending made at the chains, while the second choice in order of importance consists of specialized independent stores (24%)38. GDO points of sale, namely hypermarkets and supermarkets, would channel a more limited percentage of spending, amounting to 16% and 15%, respectively.</w:t>
        <w:br/>
        <w:t>59. As mentioned, the test was repeated assuming a 10% price increase of all points of sale in the specialized channel, both chains and Mom&amp;Pops (SSNIP test 2). In this context, it emerged that the total spending at all pet shops that would shift to other sales channels, following their price increase, amounts to 19%. This implies that the actual loss would be far lower than the critical value of [25-30%], with a demand reaction less than proportional to the magnitude of the price change.</w:t>
        <w:br/>
        <w:t>60. Finally, in line with SSNIP test 1, online constitutes the main channel to which spending made at specialized stores would shift, followed by supermarkets and hypermarkets.</w:t>
        <w:br/>
        <w:t>C.2) The results of the survey regarding the geographic market</w:t>
        <w:br/>
        <w:t>61. Through the survey, the behavior of customers was also investigated to estimate their mobility. From the consumer's perspective, in fact, competition occurs at the local level, among the various points of sale located in the territory.</w:t>
        <w:br/>
        <w:t>62. Regarding consumers' shopping habits for pet products, the survey shows that private transport is by far the most used means to reach the usual point of sale (78%), while 19% walk to the store (a significantly higher percentage - 30% - for small specialized stores, which make neighborhood presence one of their main strengths)39.</w:t>
        <w:br/>
        <w:t>63. As for consumers' willingness to travel to make purchases of pet products at different types of physical points of sale, the responses to the survey highlighted the distribution of travel times reported in Table 340.</w:t>
        <w:br/>
        <w:t>37 See doc. 51.</w:t>
        <w:br/>
        <w:t>38 To determine where spending made at the chains has shifted, responses to question D.23 "What other type of channel would you turn to, for at least part of your purchases?" were considered, with possible response options being: 1 "small independent store specialized in pet products"; 2. "online store"; 3. "Hypermarket"; 4. "Supermarket"; 5. "Small supermarket or minimarket"; 6. "Discount"; 7. "Other non-specialized point of sale"; 8. "I don't know". The values reported in the text were obtained by not considering the responses of those who indicated "I don't know".</w:t>
        <w:br/>
        <w:t>39 Question 15 "What type of point of sale do you prefer and/or usually go to?" and question 17 "How do you reach that point of sale?" from the survey (the latter asked only to consumers who do not usually prefer to go to an online store).</w:t>
        <w:br/>
        <w:t>40 Question 15 ("What type of point of sale do you prefer and/or usually go to?") and question 16 ("Approximately, how long does it take you to reach that point of sale (starting from your home, workplace, or elsewhere)?") from the survey; the latter asked only to consumers who do not usually prefer to go to an online store.</w:t>
      </w:r>
    </w:p>
    <w:p>
      <w:r>
        <w:t>20 BULLETIN NO. 9 OF MARCH 14, 2022</w:t>
        <w:br/>
        <w:t>Table 3 - Consumer mobility by type of point of sale.</w:t>
        <w:br/>
        <w:t>Small store</w:t>
        <w:br/>
        <w:t>Chain</w:t>
        <w:br/>
        <w:t>Driving time independent Hypermarket Supermarket</w:t>
        <w:br/>
        <w:t>specialized</w:t>
        <w:br/>
        <w:t>specialized</w:t>
        <w:br/>
        <w:t>Up to 10 minutes 49% 60% 40% 61%</w:t>
        <w:br/>
        <w:t>Up to 15 minutes 77% 84% 72% 84%</w:t>
        <w:br/>
        <w:t>Up to 20 minutes 92% 95% 88% 95%</w:t>
        <w:br/>
        <w:t>Source and elaborations: AGCM elaboration on SWG survey data</w:t>
        <w:br/>
        <w:t>64. In particular, the results of the survey summarized above show that about 77% of regular customers of the chains travel a maximum of 15 minutes by car to reach their reference point of sale, and 92% reach the point of sale within 20 minutes. Customers of small neighborhood stores are, as expected, those who travel the least to reach the point of sale: 84% travel within 15 minutes and 95% within 20. Regarding hypermarkets, 72% of customers report travel times within 15 minutes and 88% within 20 minutes. Finally, 84% of regular customers of supermarkets stated that they travel no more than 15 minutes by car to reach the point of sale, while 95% travel no more than 20.</w:t>
        <w:br/>
        <w:t>D) Other elements in the case file</w:t>
        <w:br/>
        <w:t>65. During the investigation, the perspective of the supply side was also explored through requests for information to the main competing chains41, to the main online operator specialized in the sale of pet products42, to the main GDO operators43, and to the main producers of pet food supplying the Parties44. Furthermore, information was obtained from the Parties45 and, in particular, they were asked to produce internal documents prepared in the last two years as part of the ordinary management of the business, regarding, among other things, the main actual and potential competitors in the sector under examination at the national and local level.</w:t>
        <w:br/>
        <w:t>D.1) Requests for information to competing chains</w:t>
        <w:br/>
        <w:t>66. In the responses to the requests for information, regarding the substitutability of specialized points of sale with those of GDO, all competing chains of the Parties represented that there are significant differences between the two types of channels. In particular, the main competitor of the Parties, namely the Isola dei Tesori chain, stated that its overall assortment consists of about 15,000 references, divided into 3 different store formats (about 3-4,000 references for the smaller format stores, over 10,000 for the larger ones). The qualitative-quantitative overlap with the offer from GDO "is on average very low. It can be estimated that the overlapping assortment is no more than 20-30%. The typical assortment of the pet department in GDO is indeed characterized by a wide prevalence of food products only for dogs and cats, concentrated on a few leading brands and many private label products. The assortment for other pets (birds, fish) is very limited and, in general, the non-food assortment is relatively focused mainly on accessories, fabric, and parapharmacy. There are no services dedicated to pets"46. The GDO channel is characterized by a "composition of products aimed primarily at the middle segments</w:t>
        <w:br/>
        <w:t>41 Docs. 10, 12, 13, 14, 16, 54, 93, and 94. For responses see docs. 46, 52, 53, 55, 70, 71, 72, and 97.</w:t>
        <w:br/>
        <w:t>42 Zooplus, doc. 23.</w:t>
        <w:br/>
        <w:t>43 Docs. 2 to 9, 11, 15, and 44. For responses see docs. 25-33, 35-42, 45, 48, and 56.</w:t>
        <w:br/>
        <w:t>44 Docs. 87 to 92. For responses see docs. 96, 98, 99, 101, and 107.</w:t>
        <w:br/>
        <w:t>45 Docs. 34, 100.1. For responses see docs. 51 and 105.</w:t>
        <w:br/>
        <w:t>46 Doc. 71.1.</w:t>
      </w:r>
    </w:p>
    <w:p>
      <w:r>
        <w:rPr>
          <w:b/>
        </w:rPr>
        <w:t>[Pages 19–21]</w:t>
      </w:r>
    </w:p>
    <w:p>
      <w:r>
        <w:t>BULLETIN NO. 9 OF MARCH 14, 2022 21</w:t>
      </w:r>
    </w:p>
    <w:p>
      <w:r>
        <w:t>and low market presence and an almost total absence of specialized products and brands. The price lever, unlike what is practiced by Isola, is the most incisive element of the marketing mix to attract customers. Sales to customers are in self-service... For the consumer, the greatest advantage of purchasing from GDO pet departments lies in the convenience of combining personal shopping with that for their PET"47 (emphasis added). Similarly, the Zooplanet chain has noted that its assortment consists of about 6,000 references, almost all of which are present only in the specialized channel: only 20% of sales are attributable to items also available at the GDO. Furthermore, "the types of customers are different and the products present in the specialized channel are completely different from those in the GDO; they are more specific and higher quality products. Sales in the specialized channel are referred to as 'assisted' and this makes a significant difference in the service offered. Also in the specialized channel, there are services that are fundamental in completing the Pdv [Point of Sale, ed.]. In this way, the customer will have a unique hub that will be able to respond to all needs for their pet"48 (emphasis added). The Croce Azzurra chain has stated that the products it markets, compared to those on the shelves of the GDO, are of a higher tier in terms of both quality and price. Its food assortment also includes mass market products, but solely for the purpose of "completing the range"49; the pet departments of the GDO "offer convenience, quantity, and price service. Specialized stores offer consulting service, reliability, exclusivity, quality, and assistance"50. Finally, the Petmark chain has represented that the overlap with the GDO is limited to certain brands and that "the common Pet products with the GDO represent 40% of the company's revenue"51.</w:t>
      </w:r>
    </w:p>
    <w:p>
      <w:r>
        <w:t>67. A greater overlap is found with small independent stores, whose assortment and pricing policies are considered much more similar to those of specialized chains, although with a narrower range justified by the smaller size of the points of sale ("The specialized store offers in small what specialized chains offer, namely a rich assortment but not so wide (especially in terms of brands)"52). Accessory services such as grooming and/or the sale of animals are also typically present in traditional stores. A strong point of the traditional store, compared to specialized chains, is proximity, understood both as physical closeness (typically a neighborhood store) and as greater flexibility in applying commercial policies tailored to the individual customer53.</w:t>
      </w:r>
    </w:p>
    <w:p>
      <w:r>
        <w:t>D.2) Requests for information from GDO operators</w:t>
      </w:r>
    </w:p>
    <w:p>
      <w:r>
        <w:t>68. The GDO operators heard during the investigation unanimously confirmed the existence of significant differences between the two channels, highlighting a relationship of complementarity rather than substitutability. Conad, the main national operator of the GDO, stated that the main differences are as follows: "a) the number of references handled in the points of sale is lower compared to the average of references handled in specialized food + accessories stores; b) shallower assortments compared to Petstores, types of products and flavors for references lower than those of specialized competitors; c) average price Euro/kg lower than the average price of the range of products handled in specialized stores, both for cat food and for dog food, as well as for small animals (rodents, birds, fish); d) in the accessories sector, very limited handling in the supermarket and city channel compared to a deep and complete assortment handled in the specialized channel; e) in the Hyper channel, the accessories offered are slightly more numerous but still fewer than those handled in specialized points of sale... The two channels are complementary as they satisfy different needs. The GDO guarantees the convenience typical of the channel, practicality, speed, and ease of purchase. The specialized Petstore presents a greater range in the premium/superpremium segment, specific and functional products such as dietary foods or foods "for specific nutritional purposes" related to certain pathologies. The added value of the channel, in addition to specialization, is the services: for example, product consulting or professional grooming"54 (emphasis added).</w:t>
      </w:r>
    </w:p>
    <w:p>
      <w:r>
        <w:t>69. Of similar tenor are the responses from the cooperatives of the Coop system, the second national operator, which also highlights significant differences in assortment, positioning, and services offered and believes that, from the consumer's point of view, "the degree of substitutability between the two channels (GDO and Specialized) is rather low"55.</w:t>
      </w:r>
    </w:p>
    <w:p>
      <w:r>
        <w:t>70. The low substitutability of the two channels is confirmed in the responses of other GDO operators; for example, Selex believes that the "degree of substitutability of the two channels by the consumer is very limited/almost nil:</w:t>
        <w:br/>
        <w:t>− the branded industry follows a vertical approach and not a transversal one, choosing to serve the specialized channel (chains and independent stores) with dedicated brands and products, not purchasable by the GDO, except in the parallel channel through wholesalers at prices usually higher than a direct purchase from the manufacturer.</w:t>
        <w:br/>
        <w:t>− By way of example and not exhaustive</w:t>
        <w:br/>
        <w:t>a. Some players - such as Royal Canin, Hill's - do not serve the GDO for their commercial policy</w:t>
        <w:br/>
        <w:t>b. Other players - such as Monge, Agras, Affinity - have different brands that operate with very different assortment depths depending on the sales channel.</w:t>
        <w:br/>
        <w:t>− Consequently, not all the needs of the animal can be covered by the assortment of the GDO... This drives the shopper to turn exclusively to the specialized channel.</w:t>
        <w:br/>
        <w:t>54 Doc. 29.</w:t>
        <w:br/>
        <w:t>55 Doc. 42.2. See also "All assortment categories are covered, the difference with specialized stores is given by the depth of their assortment and therefore by a much wider number handled by this type of point of sale, particularly in some categories such as accessories and specialized foods (for example diets)" (doc. 42.1) "the Pet assortment of GDO points of sale is predominantly made up of dog and cat foods (and in particular, wet cat foods). Regarding the food sector, the assortment consists of 'basic' products, suitable for meeting the needs of healthy animals. The segmentation is reduced, and often limited to main age ranges (puppy/adult), and to a few flavors... In the non-food assortment, we find an essential assortment of some hygiene and absorbent products (cat litter and absorbent pads for dogs, cleaning wipes, etc.) and some accessories for dogs including a few leashes, toys, a minimum of padded bedding... In general, consumer purchasing behavior in the GDO is more opportunistic (while doing grocery shopping for the family, they also buy pet food), while purchasing in the specialized channel is predetermined" (doc. 42.2); "unlike specialized points of sale, it does not handle high-end specialized products. Such products are generally not supplied to the GDO by the specialized industry for its strategic policies" (doc. 42.3). Emphasis added.</w:t>
      </w:r>
    </w:p>
    <w:p>
      <w:r>
        <w:t>BULLETIN NO. 9 OF MARCH 14, 2022 23</w:t>
      </w:r>
    </w:p>
    <w:p>
      <w:r>
        <w:t>− The result is that the overlap between the EAN codes [the references, ed.] sold both in GDO and in specialized chains represents only 1.6% in number and 9.6% of the revenue generated by the latter56” (emphasis added)57. Esselunga and Bennet state that for industrial products and accessories, specialized chains are "irreplaceable"; there may be a certain degree of substitutability between the few industrial products present in both sales channels58.</w:t>
      </w:r>
    </w:p>
    <w:p>
      <w:r>
        <w:t>71. As mentioned, some GDO operators in recent years have started specialized stores for the sale of pet articles (GDO pet shops), under a dedicated brand. This trend has been explored in the requests for information. All operators consulted agreed on the existence of a significant commercial opportunity, which could not have been seized within traditional GDO points of sale, due to space constraints, but especially due to a different positioning of the specialized channel. Operators who entered the GDO pet shop segment have also highlighted that, although specialized points of sale have been opened near or even within GDO premises (the so-called "shop in shop" mode, maintaining the characteristics of a specialized point of sale with dedicated checkouts, dedicated staff, and sometimes independent entrances), this has not led to the elimination of the pet department of the supermarket/hypermarket nor changes in the assortment. Nevertheless, it does not appear that the specialized point of sale has taken revenue from the adjacent GDO point of sale, except to a marginal extent. In general, there is very limited overlap between the assortment of the pet shop and that of the GDO points of sale of the same chain.</w:t>
      </w:r>
    </w:p>
    <w:p>
      <w:r>
        <w:t>72. In particular, Conad stated that the Conad Petstore project was launched to meet "the needs of its customers for a wide and deep offer of pet food and accessories for companion animals as well as for services and consulting. The spaces available in the GDO and the dynamics of this channel do not lend themselves to meeting such needs"59 (emphasis added). One of the Conad cooperatives, Conad Nord Ovest, stated that "All GDO Conad points of sale that are part of the network associated with CNO with a Conad Petstore in their proximity have maintained the dedicated PET department as the two channels are complementary and satisfy different consumer needs. To date, examining the overall revenues developed by the network associated with this Cooperative, the specialized Petstore Conad points of sale have not taken revenue from the Conad-branded GDO points of sale"60 (emphasis added). Even in cooperatives where there has been a reduction in revenue of GDO points of sale following the opening of specialized points of sale, it does not appear that the specialized points of sale have significantly impacted the GDO points of sale.</w:t>
      </w:r>
    </w:p>
    <w:p>
      <w:r>
        <w:rPr>
          <w:b/>
        </w:rPr>
        <w:t>[Pages 22–24]</w:t>
      </w:r>
    </w:p>
    <w:p>
      <w:r>
        <w:t>24 BULLETIN NO. 9 OF MARCH 14, 2022</w:t>
        <w:br/>
        <w:t>of the opening of Petstore Conad sales points, it has been quantified at 10%61 or at most at [15-20%]62.</w:t>
        <w:br/>
        <w:t>73. Similar considerations are made by Coop regarding the GDO pet shop chain Amici di Casa Coop. In particular, Coop Alleanza 3.0 stated that the opening by the cooperative of shop-in-shop specialized within hypermarkets "has not resulted in significant impacts on Pet Grocery sales" (emphasis added). This is because "consumer expectations regarding the assortment are different: while in GDO one expects to find mainly everyday products (basic food, cat litter, and generally consumer products), in the specialized channel one goes to purchase high-end food (for functional properties and/or quality of ingredients), as well as clothing, accessories, health and hygiene products, which are much more specific than those found in GDO stores"63.</w:t>
        <w:br/>
        <w:t>74. The Selex group stated that the GDO pet shop chain Animali che Passione was created to "capture the growth of the specialized pet channel, among the most dynamic and valuable within the sector. The depth of assortment, the demand for verticality from the vast majority of industry players, assisted sales, and the presence of ancillary services (e.g., grooming, laundry, accessories for dogs and cats, etc.) are elements incompatible with sales in GDO... the stores have been opened near a GDO store and in other locations. The GDO stores have maintained the assortment of PET products, not recording any loss of revenue"64 (emphasis added).</w:t>
        <w:br/>
        <w:t>75. The Iper chain has also created independent and autonomous corners, dedicated exclusively to hygiene and care products for animals (under the Pet Food Store banner), with a more complete assortment also integrated with functional and para-pharmaceutical products, a very wide range of accessories and toys, with pricing positioned more towards premium segments. Furthermore, the staff present in the Pet Food Store is trained and experienced, capable of providing more precise assistance to customer needs. Despite the opening of such corners in the immediate vicinity of hypermarkets, the pet department has been maintained within the hypermarkets65.</w:t>
        <w:br/>
        <w:t>76. Finally, it is highlighted that the average level of assortment of discount operators is far lower than the GDO offer66. Furthermore, it should be noted that no GDO operator has indicated that they have significant projects underway to strengthen/invest in the pet department of their stores.</w:t>
        <w:br/>
        <w:t>D.3) Requests for information to pet food producers</w:t>
        <w:br/>
        <w:t>77. During the investigation, requests for information were sent to the main brand pet food producers supplying the Parties67. Some of them, notably Royal Canin68, Hill’s69, and Life Pet Care70, confirmed what was stated by GDO operators regarding the choice to serve exclusively the specialized channel and online; for example, Hill’s stated that it sells "only to specialized distributors in order to ensure that the animals receiving our products do so only after specialized consultation and sufficient information provided to the animal owner"71. Other producers (Nestlé Purina72 and Mars73) stated that they also serve GDO. In particular, in the case of Nestlé, the two channels (specialized and GDO) are managed separately from an operational and commercial point of view and present differentiated assortments: only 28% of items are common between the two channels. Mars appears to be more focused on GDO, while holding a very small share in the specialized channel, amounting to just 4%.</w:t>
        <w:br/>
        <w:t>78. Pet product producers who are the main suppliers of the Parties were also asked to assess the effects of the concentration operation in question, also with reference to the degree of competition existing in the markets for the supply of pet products. In this regard, of the three suppliers who felt they could provide the requested assessment, two emphasized the strong impact that the merger in question would have on upstream competition among producers, due to the considerable market power achieved by the new purchasing and selling hub, capable of influencing the shelf presence of multiple brands and their related costs.</w:t>
        <w:br/>
        <w:t>D.4) The request for information to the main online operator</w:t>
        <w:br/>
        <w:t>79. Regarding the substitutability between pet shops and the online channel, Zooplus, the main specialized operator active exclusively online, believes that there is a high degree of substitutability, considering the acceleration of e-commerce growth following mobility restrictions due to the pandemic emergency and the high overlap between consumers who purchase on both channels74. Zooplus also noted that the operation in question will increase the level of market concentration considering the high territorial overlap between the Parties' sales points in Northern Italy.</w:t>
        <w:br/>
        <w:t>D.5) The information acquired from the Parties</w:t>
        <w:br/>
        <w:t>80. The Parties provided relevant information for this operation both in the Form that communicated it75 and in response to specific requests from the Offices76.</w:t>
        <w:br/>
        <w:t>81. With particular regard to the pricing strategy of Arcaplanet and Maxi Zoo Italia, the Parties specified that [omitted]77.</w:t>
        <w:br/>
        <w:t>82. Based on the information provided by the Parties78, both for Arcaplanet and for Maxi Zoo, the products sold under the distributor's brand (private label - PL) have a very significant impact on their sales. In particular, this impact was recorded in 2021 at [45-50%] for Arcaplanet (a significant increase compared to [40-45%] in 2020) and at [45-50%] for Maxi Zoo. While branded products are purchased almost exclusively in Italy ([95-100%] Arcaplanet and [95-100%] Maxi Zoo), for the purchase of PL products, the Parties also significantly use foreign suppliers, which account for [15-20%] of Arcaplanet's purchases and [95-100%] of those of Maxi Zoo.</w:t>
        <w:br/>
        <w:t>83. From the analysis of internal documents prepared by the Parties in the years preceding the operation in question79, further evidence is obtained regarding, on the one hand, the limited substitutability of specialized sales points with traditional GDO sales points and, on the other hand, the greater competitive pressure exerted by online channel players. Indeed, numerous documents reveal [omitted].</w:t>
        <w:br/>
        <w:t>VI. EVALUATIONS</w:t>
        <w:br/>
        <w:t>A) The relevant markets</w:t>
        <w:br/>
        <w:t>A.1) The retail markets for pet products</w:t>
        <w:br/>
        <w:t>A.1.1) The product market</w:t>
        <w:br/>
        <w:t>84. As previously mentioned, in the Authority's precedents, a relevant product market was identified in the retail sale of pet products composed solely of specialized physical sales points, both traditional stores and chains. GDO sales points and the online channel were found to be external to the relevant market.</w:t>
        <w:br/>
        <w:t>85. This definition has been the subject of in-depth analysis in this investigation, both from the demand and supply perspectives, for the necessary update.</w:t>
        <w:br/>
        <w:t>86. From the demand perspective, the investigation has allowed for the determination of the low substitutability for consumers between specialized sales points and those of GDO. In particular, the survey shows that 29% of consumers exclusively use specialized sales points, while 31% use both the specialized channel and GDO. However, 62% of those who use both channels (which represents 67% in terms of spending) stated that they use them "complementarily, to purchase different items in terms of type/quality/format" supporting the conclusion, already reached in the Authority's precedent, of a relationship of complementarity, rather than substitutability, between the two channels.</w:t>
        <w:br/>
        <w:t>87. This conclusion is corroborated by the results of the SSNIP test developed on the survey data, which, as is known, constitutes the most accredited test in the literature and is most used by competition authorities for defining the relevant market. In particular, the reaction of consumers to a 10% price increase by only specialized chains (SSNIP test 1) and by all specialized sales points (SSNIP test 2)80 was studied.</w:t>
        <w:br/>
        <w:t>88. In SSNIP test 1, the percentage of spending that would be redirected to other channels (22%) is lower than the critical loss ([25-30%]), making the price increase by specialized chains profitable. The online channel would capture most of the spending previously made at the chains, followed by independent specialized sales points. This result, which must be read together with all other elements acquired in the investigation that will be discussed below, would support a definition of the product market restricted to specialized chains only.</w:t>
        <w:br/>
        <w:t>89. Assuming a 10% price increase of all pet shops (SSNIP test 2), the total spending that would shift is 19%, far below the critical value of [25-30%], making</w:t>
      </w:r>
    </w:p>
    <w:p>
      <w:r>
        <w:rPr>
          <w:b/>
        </w:rPr>
        <w:t>[Pages 25–27]</w:t>
      </w:r>
    </w:p>
    <w:p>
      <w:r>
        <w:t>BULLETIN NO. 9 OF MARCH 14, 2022 27</w:t>
        <w:br/>
        <w:t>the increase is increasingly profitable81. In this case, the online channel is the one towards which most of the spending would shift.</w:t>
        <w:br/>
        <w:t>90. The results of the new survey, therefore, confirm the evidence already emerged in the investigation conducted in 2018: the GDO sales points are not included in the examined commodity market82.</w:t>
        <w:br/>
        <w:t>91. Moreover, all other elements collected during the investigation support the exclusion of the GDO from the product market. Firstly, as indicated in the Assalco Report (see Table 1 above) and from the information obtained from competing chains and GDO operators, specialized stores (both independent and organized in chains) offer a significantly wider and deeper assortment compared to that of the GDO. The assortment of specialized sales points is also more focused on premium and superpremium product ranges and includes niche products and/or those aimed at meeting specific nutritional and care needs for animals (dietary, aimed at animals with diseases, etc.), in addition to presenting a higher incidence of innovation compared to the GDO. To quote a specialized chain, "the types of customers are different and the products available in the specialized channel are completely different from those in the GDO"83. This is also reflected in the wide price differential between the two channels: the average price of a kilogram of food sold by pet shops is more than double that of the GDO.</w:t>
        <w:br/>
        <w:t>92. Furthermore, specialized sales points give ample space to food for animals other than dogs and cats as well as to non-food items, product categories that the GDO treats marginally: while dog and cat food represents 92% of the GDO's turnover, it constitutes only [65-70%] of sales in the specialized channel. Significant differences also exist within the same dog and cat food category: the GDO is particularly focused on wet food for cats, while specialized sales points focus on dry food for dogs (see Figure 2 above).</w:t>
        <w:br/>
        <w:t>93. The assortment difference is confirmed by the responses from competing chains, for which the overlap between the qualitative-quantitative assortment of the specialized channel and that of the GDO is limited (quantified between 20 and 40%84).</w:t>
        <w:br/>
        <w:t>94. Moreover, as stated by GDO operators85 and confirmed by the producers themselves, major brand industry operators (such as Royal Canin, Hill’s, Life Pet Care, among the main suppliers of the Parties) have adopted exclusive sales policies through the specialized channel, "in order to ensure that the animals receiving our products do so only after specialized advice and sufficient information is provided to the animal owner"86; consequently, it is not possible to find their products on the shelves of the GDO.</w:t>
        <w:br/>
        <w:t>95. All operators interviewed have also emphasized another difference regarding the high level of service offered by the specialized channel, both in terms of sales assistance and advice provided by knowledgeable staff and in the availability of additional services (e.g. grooming, laundry, etc.), defined as "essential in completing the Pdv"87 and "added value of the channel"88.</w:t>
        <w:br/>
        <w:t>96. A decisive argument to reinforce the conclusions reached regarding the exclusion of the GDO from the market in question is constituted by the choice of major GDO operators, such as Conad, Coop, Selex, and Iper, to enter the examined market by creating chains of specialized stores (GDO pet shops). This decision has been unanimously motivated by the circumstance that "the depth of assortment, the demand for verticality from the vast majority of players in the industry, assisted sales, and the presence of ancillary services (e.g. grooming, laundry, accessories for dogs and cats, etc.) are elements incompatible with sales in the GDO"89. Although these specialized sales points have been opened in close proximity to a hypermarket or supermarket – or even within it, in a shop-in-shop format – for the majority of operators consulted, this has not resulted in either a reduction in the assortment of pet products in the GDO sales point or a cannibalization of its turnover. This is because "the two channels are complementary and satisfy different consumer needs"90. In other words, GDO sales points do not constitute a significant competitive constraint for specialized sales points.</w:t>
        <w:br/>
        <w:t>97. Regarding the relationship between specialized chains and small independent specialized stores, the elements in the file suggest that there is substantial substitutability between the two types of sales points, although the competitive pressure exerted by Mom &amp; Pops on large organized chain stores is rather weak. In this regard, the data on the number of references marketed, on price positioning, and on product mix (Table 1 and Figure 2 above) highlight a substantial alignment between the two types of specialized sales points. As stated by one of the pet shop chains consulted, "the specialized store offers on a smaller scale what the specialized chains offer, namely a rich assortment but not as extensive (especially in terms of brands)"91. Furthermore, in traditional stores, the level of sales assistance is very high, equal to or greater than that offered by the chains, and ancillary services such as grooming and/or the sale of animals are normally present.</w:t>
        <w:br/>
        <w:t>98. Based on the evidence described, despite the results of the SSNIP test 1 suggesting a definition of the commodity market limited to specialized chains only, it is deemed appropriate to include small independent specialized stores in the relevant market, thus adopting a more favorable approach for the Parties.</w:t>
        <w:br/>
        <w:t>99. Finally, regarding the online channel, numerous pieces of evidence on file attest to significant growth in this channel, which has reached a relevant position in consumer preferences, combining economic convenience with a wide and deep assortment across all price ranges, and support its inclusion in the relevant market.</w:t>
        <w:br/>
        <w:t>100. Firstly, the survey highlighted that, in the event of a 10% price increase for either the chains alone or all pet shops, online would be the main channel where spending would be diverted. Furthermore, as confirmed by the Parties92, the ranges of products offered offline by specialized stores and online by both specialized operators and "pure" online operators are substantially identical; in particular, the latter also market brands from the industry that are not sold in the GDO93. The pricing policies of the various market players also tend to converge, due to the necessary alignment of physical store prices with the prices practiced on websites and particularly by players specialized in online sales, such as Zooplus and Amazon.</w:t>
        <w:br/>
        <w:t>101. The main specialized online operator, Zooplus, developed in Italy in 2020 a turnover comparable to that of Isola dei Tesori and Maxi Zoo [omitted]94. Zooplus itself believes that there is a high degree of substitutability between the specialized channel and the online channel95.</w:t>
        <w:br/>
        <w:t>102. Ultimately, it is believed that online sales by "pure" online operators as well as by specialized chains should be included in the commodity market. For the reasons stated above, online sales made by GDO operators are instead excluded, which, however, constitute only [5-10%] of pet product sales made via the Internet.</w:t>
        <w:br/>
        <w:t>103. In conclusion, based on the findings from the investigation, the assessment of the present concentration operation will be carried out with reference to a commodity market for the retail sale of pet products composed of specialized chains, small independent specialized stores, and the online channel (the latter net of GDO sales).</w:t>
        <w:br/>
        <w:t>A.1.2) The geographical market</w:t>
        <w:br/>
        <w:t>104. Also regarding the geographical profile, the results of the survey allow for a precise delineation of the extent of the relevant market.</w:t>
        <w:br/>
        <w:t>105. The survey first highlighted that the vast majority (78%) of consumers travel to their usual sales point by car or motorcycle. Furthermore, the data reported in Table 3 above indicate that 79% of customers in the specialized channel reach the sales point within 15 minutes (77% if considering only pet shop chains), while almost all demand directed at the specialized channel (93%) makes its trips to reach the sales points within 20 minutes of travel.</w:t>
        <w:br/>
        <w:t>106. The responses provided by consumers in the survey thus allow us to state that the distance – expressed in driving minutes – that best represents the spending habits of demand is 20 minutes. This conclusion is shared by the Parties.</w:t>
        <w:br/>
        <w:t>107. Therefore, the size of the local markets hypothesized in the initiation provision of the case in question, identified in the area bounded by isochrone curves of 20 minutes of driving, is confirmed.</w:t>
        <w:br/>
        <w:t>A.1.3) On the retail markets: arguments of the Parties and counterarguments</w:t>
        <w:br/>
        <w:t>108. According to the Parties96, regarding the definition adopted in the CRI, a correct definition of the relevant markets from a commodity perspective should also include GDO sales points, or at least hypermarkets and supermarkets larger than 1,500 square meters, and online sales.</w:t>
        <w:br/>
        <w:t>109. The fact that GDO sales points represent a non-negligible, current, and effective competitive constraint in the retail markets for pet products would be confirmed both by the results of the survey, which would provide a clear indication of how demand evaluates the substitutability relationship of the GDO with specialized sales points, and by the responses to requests for information from GDO operators, which in any case reflect positions from the supply side.</w:t>
      </w:r>
    </w:p>
    <w:p>
      <w:r>
        <w:rPr>
          <w:b/>
        </w:rPr>
        <w:t>[Pages 28–30]</w:t>
      </w:r>
    </w:p>
    <w:p>
      <w:r>
        <w:t>30 BULLETIN NO. 9 OF MARCH 14, 2022</w:t>
        <w:br/>
        <w:t>that have a lesser impact in defining the relevant market. Furthermore, the conclusions of the CRI would contradict both the precedents of the European Commission and the previously cited precedent of the Authority. Not considering at all the competitive pressure exerted at least by hypermarkets in the assessment of the Operation would therefore represent a serious flaw in the analysis.</w:t>
        <w:br/>
        <w:t>110. With particular reference to the survey commissioned by the Authority, and the high degree of substitutability perceived by consumers between GDO chains and pet shop/independent store chains, the Parties have specifically highlighted the following elements:</w:t>
        <w:br/>
        <w:t>- about 35% of consumers turn to the GDO as their preferred and/or usual channel for purchasing pet products, while approximately 32% turn to specialized chains and only 17% to independent stores;</w:t>
        <w:br/>
        <w:t>- in the event of unavailability of their preferred pet shop chain, 28% of consumers would turn to the GDO (hypermarkets 11.5%; supermarkets 16.6%), which is more than double the consumers who would turn to an independent specialized store (13%);</w:t>
        <w:br/>
        <w:t>- the majority of consumers (about 52%) who use specialized chains also purchase pet products at the GDO, and of these, nearly 40% use both channels interchangeably (an increase compared to the survey conducted in case C12139). It would therefore be particularly easy for these customers to switch to the GDO if the post-merger entity attempted to raise prices;</w:t>
        <w:br/>
        <w:t>- the importance attributed to the various factors in choosing the point of sale is not significantly different between customers of specialized chains and those of hypermarkets.</w:t>
        <w:br/>
        <w:t>111. The Parties also see some methodological flaws in the methods used in the CRI to conduct the two SSNIP tests. In particular:</w:t>
        <w:br/>
        <w:t>i. it would not correctly account for the diverted spending by consumers who, in the survey, answered "I don't know" to the question about the percentage of spending they would shift from chains and/or pet shops to other sales channels, underestimating the actual loss that would occur following a price increase and, consequently, overestimating the profitability of such hypothetical increase;</w:t>
        <w:br/>
        <w:t>ii. the margin estimate of the Parties used for the calculation of the critical loss in the SSNIP tests would not have been calculated correctly, as, on one hand, this value represents a simple average rather than a weighted average of the margins of Arcaplanet and Maxi Zoo, and, on the other hand, the margins realized by the two companies in the years 2019-2020 were considered and not also that realized during 2021;</w:t>
        <w:br/>
        <w:t>iii. the question about the diversion of spending following a price increase of all specialized stores (SSNIP2 test) would not have been posed to customers of chain and independent stores who, following a price increase of the chains (SSNIP1 test), would transfer part of their spending to other channels. This methodological error would be particularly serious because the consumers who, in responding to the questions related to the first SSNIP test, had shown greater price elasticity were excluded from the second SSNIP test.</w:t>
        <w:br/>
        <w:t>Applying the appropriate corrections to the alleged methodological errors described above, the SSNIP tests would not confirm the definition of the product market adopted in the CRI, as the loss of demand would come very close to the critical loss, making the result of the test uncertain.</w:t>
        <w:br/>
        <w:t>112. Furthermore, with specific reference to what was stated by GDO operators, the Parties represented the following:</w:t>
        <w:br/>
        <w:t>- although some GDO chains have indicated limited substitutability with the specialized channel on the supply side, some of them would still have stated that they offer a wide and deep assortment. In particular, Iper stated that of the nearly 9,000 products sold in its hypermarkets, 65% overlaps with the products offered in its pet shops, while Coop stated that approximately 40% of the sales of its specialized pet shops consist of products also offered in its hypermarkets. Furthermore, the responses from Esselunga, Carrefour, and Coop would attest to a wide assortment coverage, although less deep than that of specialized stores;</w:t>
        <w:br/>
        <w:t>- the degree of overlap of assortments between GDO points of sale and specialized chains would be underestimated, as it would not take into account the overlap existing between private label products;</w:t>
        <w:br/>
        <w:t>- several operators would also have stated that they are expanding their assortment to respond to market growth and the trend towards premium products;</w:t>
        <w:br/>
        <w:t>- the fact that some pet food suppliers reserve the sale of certain products to the specialized channel would not preclude GDO operators from accessing such products, which can be purchased from other sources of supply (e.g., regional wholesalers), as has occurred in some cases;</w:t>
        <w:br/>
        <w:t>- the fact that GDO pet shop points of sale have not taken revenue from adjacent GDO points of sale would not be significant, as the GDO operator, with a view to maximizing profits, would aim to achieve the least possible overlap between the assortments of the two stores.</w:t>
        <w:br/>
        <w:t>113. Contrary to what was concluded by the Offices in the CRI, the Parties believe that there would be competitive pressure exerted directly by the GDO on the specialized channel, both with respect to other branded products not present in the GDO and to the private labels (PL) of the specialized channel. For example, based on its own survey, Maxi Zoo quantified that approximately [60-65%] of its total food revenue, corresponding to [1,700-2,000] branded references, is influenced by the prices of [a GDO operator]. Furthermore, [5-10%] of its total food revenue, corresponding to [300-600] private label references, is influenced by the prices of [a GDO operator]. Therefore, [70-75%] of Maxi Zoo's pet food revenue consists of products both branded and PL whose price would be directly influenced by the pricing policy of [a GDO operator].</w:t>
        <w:br/>
        <w:t>114. Finally, in the opinion of the Parties, another element indicating substitutability between the two channels is the fact that pet products available in hypermarkets would represent about 20% of the products offered by a chain such as Maxi Zoo (33% when referencing the Assalco data cited in the initiation provision). This would allow consumers to choose to purchase each of these references either in a specialized chain or in a hypermarket.</w:t>
        <w:br/>
        <w:t>115. The Parties finally believe that the online channel should also be included in the definition of the relevant market, due to the high degree of penetration it has achieved, the substantial uniformity of assortments between specialized stores and online stores, as well as the substantial convergence of prices between the physical channel and the online channel. The results of the survey and other documents in the file would also confirm this conclusion.</w:t>
        <w:br/>
        <w:t>116. Regarding the geographical extent of the relevant market, the Parties have instead represented that they consider its delimitation to a 20-minute driving radius to be correct, already taken into consideration in the aforementioned precedent. This is due to the results of the survey, which indicate that 93% of customers reach their trusted point of sale within 20 minutes.</w:t>
        <w:br/>
        <w:t>117. With regard to the Parties' arguments on the relevant market, the following observations are made. Firstly, the considerations regarding the inclusion of the online channel, which has indeed been considered part of the relevant product market, appear to be shareable. Similarly, the Parties' conclusions on the geographical market are in line with what emerged during the investigation.</w:t>
        <w:br/>
        <w:t>118. Conversely, it is believed that the Parties' conclusions regarding the necessity to include GDO points of sale, or at least those of larger dimensions, in the product market do not hit the mark.</w:t>
        <w:br/>
        <w:t>119. It is worth noting preliminarily that references to community and national precedents do not appear to be relevant. The community cases cited by the Parties97 are about 20 years old, from a period when specialized chains in pet products were still in their infancy. As for the repeatedly mentioned precedent of the Authority (C12139), as recalled in section V.A), in that case hypermarkets were also considered external to the relevant market; their competitive pressure was taken into account cautiously, considering the high dynamism of the sector and the plans to strengthen the pet departments of some GDO operators, which – from a prospective point of view – could have increased their substitutability with specialized points of sale. However, four years after that investigation, the new survey has not highlighted significant changes in consumer perception. Additionally, in the present investigation – unlike the investigation of the case in question – the GDO has stated that there are no significant projects in the pipeline. In any case, as will be seen further below, the – albeit limited – competitive pressure from hypermarkets, and in general from all points of sale external to the relevant market, has been considered in the indicators of competitive proximity (see par. VI.b.1.2).</w:t>
        <w:br/>
        <w:t>120. Regarding the results of the survey, it is noted that, for the purposes of defining the market, it is not relevant to ascertain the degree of use of the GDO channel, but rather to verify whether, and to what extent, this channel is used as an alternative to the specialized channel. In this regard, the investigative evidence has clearly revealed a complementary relationship between the two channels, as expressly represented by 62% of respondents (representing 67% in terms of spending) who stated that they use both channels. This data is not comparable with that obtained in the consumer survey conducted in case C12139, as the question posed in the survey conducted during the present investigation is significantly different98. As for the Parties' observation regarding the presence, nonetheless, of a significant percentage of consumers who use the two sales channels interchangeably, it should be reiterated that this percentage (which constitutes only 12% of the overall sample) is not sufficient to alter the outcomes of the SNIPP test: in fact, in the event of a price increase, both by the pet shop chains alone and by all specialized points of sale, the share of spending that would be diverted to GDO points of sale is very limited and such as to make the hypothesized increase profitable.</w:t>
        <w:br/>
        <w:t>121. Regarding the alleged methodological errors in conducting the SSNIP tests, it is observed that:</w:t>
        <w:br/>
        <w:t>i. while accepting the Parties' objection, and thus excluding from the spending made at specialized stores that of those who answered "I don't know" to the questions aimed at quantifying the percentage of diverted spending, the evaluations on the results of the SSNIP tests do not change. In particular, in the case of the SSNIP test 1, the percentage of spending in chains that would transfer to other channels</w:t>
        <w:br/>
        <w:t>97 Commission Decisions of July 27, 2001 Case COMP/M2337, Nestlé/Ralston Purina and February 15, 2002 Case COMP/M.2544 Masterfoods/Royal Canin.</w:t>
        <w:br/>
        <w:t>98 In particular, while in the survey consumers who use both channels were asked to explicitly indicate whether they use them "indifferently, to purchase similar items in terms of type/quality/format" or "complementarily to purchase different items in each in terms of type/quality/format," in the C12139 investigation the question provided for 5 possible answers and the percentage of those who used the channels complementarily was derived by summing the response percentages to 3 of them.</w:t>
      </w:r>
    </w:p>
    <w:p>
      <w:r>
        <w:rPr>
          <w:b/>
        </w:rPr>
        <w:t>[Pages 31–33]</w:t>
      </w:r>
    </w:p>
    <w:p>
      <w:r>
        <w:t>BULLETIN NO. 9 OF MARCH 14, 2022 33</w:t>
        <w:br/>
        <w:t xml:space="preserve">would amount to 23.5% instead of 22%, and in the case of the SSNIP test 2, the actual loss would remain at 19%. In both tests, therefore, the actual loss remains below the critical loss; </w:t>
        <w:br/>
        <w:t xml:space="preserve">ii. regarding the calculation of margins, the observation concerning the exclusion of the value for 2021 is of no merit, as it is a figure that does not pertain to the entire year in question, having been transmitted in the first half of November. Regarding the use of a weighted average instead of a simple average, it is noted that, even using the former, the critical loss is reduced by only one percentage point; </w:t>
        <w:br/>
        <w:t xml:space="preserve">iii. concerning the erroneous exclusion of some respondents from the SSNIP test 2, the Parties' observation is unfounded. Of the 203 respondents who were customers of both chains and independent stores, 116 stated that they would transfer at least part of their spending to other channels following a price increase by the chains: all of these individuals – except for the 3 who could not indicate which channel they would divert their spending to – were asked what their reaction would be to a price increase of all specialized stores (SSNIP test 2). </w:t>
        <w:br/>
        <w:t xml:space="preserve">122. The absence of substitutability is also supported by the non-comparability and low degree of overlap of the product assortments in the two channels, supported – contrary to what the Parties argued – by the majority of operators, both in the specialized channel and in the GDO. Regarding the examples cited by the Parties, it is noted that the Coop cooperative, which declared a 40% overlap in value – and 22% in volume – with the assortment of an average hypermarket, operates a single pet store; more representative appears to be the data from another Coop cooperative, Alleanza 3.0, which holds [15-20] specialized sales points and declared an overlap of [5-10%] in volume and [5-10%] in value compared to GDO sales points99. Esselunga, in particular, stated that for a large part of their assortment (industrial brand products and accessories), specialized chains are "irreplaceable"100. Carrefour noted that the assortment of the specialized channel is "much broader and deeper," particularly in high-end food products and non-food items. In this context, the case of Iper cited by the Parties for its high degree of overlap between the assortment of Pet Food Stores and that of hypermarkets constitutes an exception, which is not particularly relevant given Iper's share of national GDO sales (less than 2%). </w:t>
        <w:br/>
        <w:t xml:space="preserve">123. The Parties also err when calculating the degree of overlap between the two channels based on the average number of references marketed in each of them. In fact, if a hypermarket offers, on average, in numerical terms, one-third of the products sold at a specialized chain, this does not mean that the two points of sale have one-third of the assortment in common, as the assortment can differ significantly even in terms of brands and types of references: the GDO is primarily focused on mass market and private label products, while pet shop chains deal more with mid-high range products. Consequently, the percentage of overlapping references is much more limited, as evidenced by the examples provided above. Nor can the alleged comparability between the private label products of specialized chains and those of the GDO be considered, since, even if comparable from the supply perspective, they are difficult for consumers to compare. As for the presence, on the shelves of certain GDO operators, of products whose sale is reserved by the same producers for the specialized channel, it appears limited to a few isolated cases, given that procurement, as hypothesized by the Parties themselves, can only occur through local wholesalers. </w:t>
        <w:br/>
        <w:t xml:space="preserve">99 See doc. 42.2. </w:t>
        <w:br/>
        <w:t>100 Doc. 28.</w:t>
      </w:r>
    </w:p>
    <w:p>
      <w:r>
        <w:t xml:space="preserve">34 BULLETIN NO. 9 OF MARCH 14, 2022 </w:t>
        <w:br/>
        <w:t xml:space="preserve">124. The circumstance, put forth by the Parties, that the pricing policies of [a specific GDO operator] extensively influence the pricing of Maxi Zoo, even on references that the same GDO operator does not handle, lacks any demonstration. Moreover, [omitted]. </w:t>
        <w:br/>
        <w:t xml:space="preserve">125. Lastly, regarding the explanation provided by the Parties on the absence of cannibalization of GDO revenues by GDO pet shop sales points, it is contradicted by the responses of the operators themselves, who stated that they have not modified the assortment of pet products in supermarkets/hypermarkets following the new opening of the specialized store in the immediate vicinity, as "the two channels are complementary and satisfy different consumer needs"101. </w:t>
        <w:br/>
        <w:t xml:space="preserve">A.2) The markets for the procurement of pet products </w:t>
        <w:br/>
        <w:t xml:space="preserve">126. The procurement markets pertain to the purchases made by operators active in the retail distribution of pet products, representing the demand side, from the producing companies of pet products, which constitute the supply side. </w:t>
        <w:br/>
        <w:t xml:space="preserve">127. As seen, the commodity definition of the procurement markets for pet products can be considered, prima facie, substantially overlapping with that of the production markets for such items. However, for the purposes of this investigation, considering that the main producers interviewed are generally present in all possible market segments identified by animal types and the specific needs they are intended for, it does not seem necessary to arrive at a more precise identification and articulation of the relevant markets based on such product characteristics. </w:t>
        <w:br/>
        <w:t xml:space="preserve">128. Given the observed differences between the various distribution channels – which have led to the identification of a specific market for the retail sale of pet care products in the specialized channel (including online sales) – it is deemed necessary to restrict the assessment of the effects of the present operation, also with reference to the procurement markets, to the only specialized sales channels, that is, to the only purchases made by sales points (physical and online) that belong to the relevant markets identified downstream in the distribution of products. In this regard, the following circumstances are indeed relevant: i) the average assortment of grocery and generalist channels is substantially different from that of specialized sales channels, in terms of composition, price range, and qualitative characteristics of the products; ii) different producers supply either only the specialized channel or only the GDO, making the characteristics of the demand substantially dissimilar, as well as the structure of the supply destined for the specialized channel compared to that destined for the GDO or other generalist channels. </w:t>
        <w:br/>
        <w:t xml:space="preserve">129. Within the relevant market identified above, there may also exist a further subdivision between private label pet products and branded products, categories that the Commission, in its previous decisions, has considered to be part of the same relevant market, with reference to retail distribution, and belonging to separate commodity markets at the wholesale stage102. However, this distinction, if it exists, does not appear relevant for the purposes of the present assessment, which does not change significantly in the two formulated hypotheses. </w:t>
        <w:br/>
        <w:t xml:space="preserve">130. It is therefore believed that the effects of the operation in the upstream sector of the procurement of pet products should be assessed on a market that includes exclusively supplies to sales points of the specialized channels for the sale of such products, as well as to online sales channels, possibly subdivided between industrial brand products and distributor private label products (PL). This market can be considered of national dimension as, on the one hand, none of the suppliers from whom information was requested appears to supply foreign markets significantly, nor do the distribution chains source significantly from foreign producers, and on the other hand, the negotiation with the chains and customer sales points is not differentiated or modulated based on local competition conditions, ensuring a substantial uniformity of sales and purchase conditions throughout the national territory. </w:t>
        <w:br/>
        <w:t xml:space="preserve">131. Although, with specific reference to distributor PLs, there is a greater reliance on foreign producers by specialized chains, the considerations expressed above regarding the size of the relevant market seem to apply also with respect to the supplies of PL products, should it be deemed that such activity constitutes a distinct relevant market. In fact, even in this case, the production characteristics and the consequent negotiation with suppliers are calibrated based on the specific characteristics of the national markets to which the items are destined, which therefore geographically delimit, at least from the demand perspective, the potential relevant market for the procurement of pet products sold under distributor brands. </w:t>
        <w:br/>
        <w:t xml:space="preserve">A.2.1) On the procurement markets: arguments of the Parties and counterarguments </w:t>
        <w:br/>
        <w:t xml:space="preserve">132. The Parties contest the commodity delimitation of the procurement market for pet products based on the distribution channel, as the same products, or products with similar characteristics, would also be sold in specialized stores. This definition would contradict the numerous previously cited precedents of the Commission. </w:t>
        <w:br/>
        <w:t xml:space="preserve">133. According to the Parties, the market would also be incorrectly defined from a geographical perspective. The delimitation to the national territory, in fact, would not take into account the circumstance that the Parties, for the purchase of private label products, also significantly use foreign suppliers (which represent [15-20%] of Arcaplanet's purchases and [95-100%] of those of Maxi Zoo). This limitation would also be in contrast with the established decision-making practice of both the Authority and the Commission, which has often qualified the geographical market for the private label segment as supranational in numerous sectors. </w:t>
        <w:br/>
        <w:t xml:space="preserve">134. Regarding the commodity definition of the relevant market, it is noted that the identification of markets based on distribution channels appears consistent with the practice used by the Authority and the Commission (also with reference to other commodity sectors), where, as in this case, the channels identify separate relevant markets in the downstream phase of sales. </w:t>
        <w:br/>
        <w:t xml:space="preserve">135. From a geographical perspective, the Parties' considerations do not appear decisive. Even in the face of a significant presence of foreign producers in the supply of PL, in fact, the supplies of products specifically intended for sales under the distributor brand in the Italian territory present different commodity and commercial characteristics compared to those intended for foreign markets. Therefore, even assuming a separate market for PL, the demand would still be characterized by the clear predominance of the operator that would be established as a result of the present operation. </w:t>
        <w:br/>
        <w:t xml:space="preserve">B) The effects of the operation </w:t>
        <w:br/>
        <w:t xml:space="preserve">136. The present operation concerns the concentration between the first and the third specialized chain in the marketing of pet products at the national level, respectively with 388 and 136 sales points. </w:t>
        <w:br/>
        <w:t>137. In the context of the distribution of pet products through specialized sales points (including, based on the definition adopted above, both large surface chains and traditional pet shops as well as the online channel), Arcaplanet holds a national share</w:t>
      </w:r>
    </w:p>
    <w:p>
      <w:r>
        <w:rPr>
          <w:b/>
        </w:rPr>
        <w:t>[Pages 34–36]</w:t>
      </w:r>
    </w:p>
    <w:p>
      <w:r>
        <w:t>36 BULLETIN NO. 9 OF MARCH 14, 2022</w:t>
        <w:br/>
        <w:t>of [20-25%] and Maxi Zoo [of 5-10%]: the new operator would therefore reach, at the national level, a share of specialized sales of approximately [30-35%].</w:t>
        <w:br/>
        <w:t>138. In the specific segment of pet shop chains (including their online sales), the post-merger entity would hold a share of approximately [60-65%] at the national level103, more than triple that of the main competing chain, Isola dei Tesori. Other chains hold extremely small shares and are predominantly subnational in nature (see Table 4).</w:t>
        <w:br/>
        <w:t>Table 4 – National shares of the Parties and competitors in the specialized chain segment</w:t>
        <w:br/>
        <w:t>Specialized chain Share of sales</w:t>
        <w:br/>
        <w:t>Arcaplanet [45-50%]</w:t>
        <w:br/>
        <w:t>Isola dei Tesori [15-20%]</w:t>
        <w:br/>
        <w:t>Maxi Zoo [15-20%]</w:t>
        <w:br/>
        <w:t>Petstore Conad [5-10%]</w:t>
        <w:br/>
        <w:t>Animali che Passione [1-5%]</w:t>
        <w:br/>
        <w:t>Petmark [1-5%]</w:t>
        <w:br/>
        <w:t>Moby Dick [1-5%]</w:t>
        <w:br/>
        <w:t>Pet Food Store [1-5%]</w:t>
        <w:br/>
        <w:t>Amici di Casa Coop [1-5%]</w:t>
        <w:br/>
        <w:t>Zooplanet [1-5%]</w:t>
        <w:br/>
        <w:t>Dog &amp; Company [1-5%]</w:t>
        <w:br/>
        <w:t>Source: AGCM elaborations based on data provided by the Parties and competitors.</w:t>
        <w:br/>
        <w:t>139. However, the impact of the operation must be assessed with regard to the territorial overlap of the Parties. In fact, Arcaplanet and Maxi Zoo are two chains whose presence is particularly significant in the North of the Country, while the main competitor, Isola dei Tesori, is more focused on Central Italy (see Figure 1 above).</w:t>
        <w:br/>
        <w:t>140. At the local level, the operation indeed creates horizontal overlaps between the activities of the Parties in almost all retail markets where they are present (129 out of the 136 where Maxi Zoo operates), as shown in Figure 4.</w:t>
        <w:br/>
        <w:t>103 Source: AGCM elaborations based on data provided by the Parties and competitors.</w:t>
      </w:r>
    </w:p>
    <w:p>
      <w:r>
        <w:t>BULLETIN NO. 9 OF MARCH 14, 2022 37</w:t>
        <w:br/>
        <w:t>Figure 4 – Local markets where horizontal overlaps between the Parties occur</w:t>
        <w:br/>
        <w:t>Source: AGCM elaborations based on data provided by the Parties.</w:t>
        <w:br/>
        <w:t>141. As will be further explained below, in a large number of these areas, the post-merger entity would hold a dominant position. Such a pervasive effect at the local level, however, necessitates an assessment of the competitive impact of the Operation also from a unitary perspective, taking into account the overall strengthening of the leading pet shop chain that it brings about in a wide area of the national territory. This is for several reasons.</w:t>
        <w:br/>
        <w:t>142. Firstly, in fact, the competitive dynamics of the sector of selling pet products through specialized stores are strongly influenced by the “multimarket contact” nature of local markets, that is to say, the circumstance that the same operators face each other, albeit with extremely differentiated positions, in different markets. This can act as a disincentive for smaller chains to engage in fierce price competition against the market leader, for fear of facing retaliation in other markets where they hold stronger positions.</w:t>
        <w:br/>
        <w:t>143. Secondly, chains with extensive national coverage have the ability to implement uniform commercial policies, both in the procurement phase – where negotiations occur at a centralized level, allowing the new entity to enhance its ability to negotiate purchasing conditions – and in the retail sales phase. At this level, due to the increase in the breadth and capillarity of the distribution network, the operation undoubtedly allows the new entity to increase its financial and promotional capacity, as well as the strength and unity of its brands, which are key distinguishing elements of the chain in the eyes of consumers.</w:t>
      </w:r>
    </w:p>
    <w:p>
      <w:r>
        <w:t>38 BULLETIN NO. 9 OF MARCH 14, 2022</w:t>
        <w:br/>
        <w:t>144. In this sense, it is noteworthy that, as represented by the Parties themselves, [omitted]104 and that, in general, for specialized chains there is a trend towards centralizing pricing and assortment strategies105, complementing the competition plan in individual local markets with a plan for comparison on strategies and positioning adopted at the national level.</w:t>
        <w:br/>
        <w:t>145. The assessment of the effects of the operation in each of the markets defined above will be illustrated below.</w:t>
        <w:br/>
        <w:t>B.1) Effects on the retail markets for pet products</w:t>
        <w:br/>
        <w:t>B.1.1) Premise</w:t>
        <w:br/>
        <w:t>146. In its application practice regarding the control of concentrations in the retail distribution sectors of goods or services, the Authority has for a long time conducted its assessments using quantitative evidence related to the market shares held by the Parties and competitors in the relevant markets.</w:t>
        <w:br/>
        <w:t>147. Recently, the Authority has supplemented this type of analysis with other economic analyses aimed at appreciating, beyond the specific weight of the parties involved in the merger, the unilateral effects in terms of incentives for price increases and/or quality reductions resulting from the elimination of one or more competitive constraints in the relevant market(s)106.</w:t>
        <w:br/>
        <w:t>148. The necessity for an evaluative approach not limited to market shares is all the more necessary in local retail distribution contexts, where the ability of each point of sale to exert competitive pressure on a specific target point of sale depends on factors such as distance or type of store, which are difficult to capture through a dimensional analysis of shares.</w:t>
        <w:br/>
        <w:t>149. The assessment of the effects of this operation in local markets has therefore been carried out both by conducting a structural analysis of the competitive context that would arise as a result of the concentration, and by analyzing the competitive proximity between the Parties within each isochrone. The combined use of these methodologies appears to be in line with European best practices.</w:t>
        <w:br/>
        <w:t>150. The indicators used for the structural analysis include, in addition to the joint market share of the Parties, other indicators widely used in community and national practice, such as the distance of the post-merger entity from the second operator in terms of market share and the Herfindahl-Hirschmann Index (“HHI”)107.</w:t>
        <w:br/>
        <w:t>151. Regarding the competitive proximity between the Parties in individual local markets, it has been estimated using the so-called diversion ratio (“DR”), an index capable of capturing the actual substitutability (and mutual competition) relationships between points of sale within the same relevant market.</w:t>
        <w:br/>
        <w:t>104 See doc. 81.</w:t>
        <w:br/>
        <w:t>105 See Assalco Report 2021.</w:t>
        <w:br/>
        <w:t>106 See: C12279 - DIPERDÌ/BRANCHES OF SMA AND SOCIETÀ GENERALE DISTRIBUZIONE, decision no. 28326 of August 4, 2020, in Bulletin no. 34/20; C12247B - BDC ITALIA-CONAD/AUCHAN, decision no. 28163 of February 25, 2020, in Bulletin no. 10/20; C12246 – FRATELLI ARENA/BRANCHES OF SMA-DISTRIBUZIONE CAMBRIA-ROBERTO ABATE, decision no. 28038 of December 20, 2019, in Bulletin no. 52/2019. Note that in the previous C12139 - NOAH 2/MONDIAL PET DISTRIBUTION, cited, a critical loss analysis was also conducted based on survey data.</w:t>
        <w:br/>
        <w:t>107 See Appendix for more details on the calculation methods of these structural indices and on the inclusion of online sales in the calculation of market shares.</w:t>
      </w:r>
    </w:p>
    <w:p>
      <w:r>
        <w:rPr>
          <w:b/>
        </w:rPr>
        <w:t>[Pages 37–39]</w:t>
      </w:r>
    </w:p>
    <w:p>
      <w:r>
        <w:t xml:space="preserve">BULLETIN NO. 9 OF MARCH 14, 2022 39  </w:t>
        <w:br/>
        <w:t xml:space="preserve">B.1.2) Analysis of the unilateral effects of the operation  </w:t>
        <w:br/>
        <w:t xml:space="preserve">152. As mentioned, the horizontal overlaps between the Parties as a result of this operation are numerous and significant. In fact, out of a total of 136 local markets, overlaps occur in 129 isochrones (see Table A.3 in the Appendix).  </w:t>
        <w:br/>
        <w:t xml:space="preserve">153. Figure 5 below shows the frequency distribution of the post-merger share in the isochrones where an overlap occurs between the Parties.  </w:t>
        <w:br/>
        <w:t xml:space="preserve">Figure 5 - Distribution of the joint shares of the Parties in local markets where horizontal overlaps occur  </w:t>
        <w:br/>
        <w:t xml:space="preserve">Source: AGCM elaborations.  </w:t>
        <w:br/>
        <w:t xml:space="preserve">154. In fact, in the territories where overlaps occur, the operation involves the top two market operators. In all the affected markets where both Parties are active, the joint market share is on average 46%, with an average share of Arcaplanet of 26% and of Maxi Zoo of 21%, compared to an average share of the first competitor with a physical store network108 of 13% (see Table 5). Furthermore, the market share of the Parties is on average 34 percentage points higher than that of the second operator, which in most of the examined local markets is Isola dei Tesori.  </w:t>
        <w:br/>
        <w:t xml:space="preserve">155. The values of the HHI and the corresponding increase attributable to concentration are also relevant in indicating a highly concentrated competitive context (see Figure 6). In particular, an average post-merger HHI of approximately 2,600 is recorded, and an average delta HHI of approximately 950.  </w:t>
        <w:br/>
        <w:t>108 Hereinafter, the second operator refers to the main competitor present with a network of physical stores. In other words, the positioning of pure online operators is not considered.</w:t>
      </w:r>
    </w:p>
    <w:p>
      <w:r>
        <w:t xml:space="preserve">40 BULLETIN NO. 9 OF MARCH 14, 2022  </w:t>
        <w:br/>
        <w:t xml:space="preserve">Figure 6 - Distribution of the delta HHI in local markets where horizontal overlaps occur  </w:t>
        <w:br/>
        <w:t xml:space="preserve">Source: AGCM elaborations.  </w:t>
        <w:br/>
        <w:t xml:space="preserve">156. The average data of the structural indicators, summarized in Table 5, constitute an index of the significant impact of the operation as a whole, capable of determining, among other things, a substantially uniform competitive situation over a wide portion of the national territory.  </w:t>
        <w:br/>
        <w:t xml:space="preserve">Table 5 – Average data of the structural indicators in local markets where horizontal overlaps occur  </w:t>
        <w:br/>
        <w:t xml:space="preserve">Share Share Share Share 2nd distance Parties from HHI post delta  </w:t>
        <w:br/>
        <w:t xml:space="preserve">Parties Arcaplanet Maxi Zoo operator 2nd operator (p.p.) merger HHI  </w:t>
        <w:br/>
        <w:t xml:space="preserve">46% 26% 21% 13% 34 2607 948  </w:t>
        <w:br/>
        <w:t xml:space="preserve">Source: AGCM elaborations.  </w:t>
        <w:br/>
        <w:t xml:space="preserve">157. Examining in detail the situation within individual local markets, in as many as 100 isochrones the post-merger shares of the Parties109, calculated based on the definition of relevant markets previously illustrated, are positioned at levels above 40%110, and in 79 isochrones they are even above 45%. In the 100 isochrones where overlaps occur with shares above 40%, as shown in Figure 7, the post-merger HHI would almost always be above 2,000, with a delta always greater than 200. Such evidence shows how the operation  </w:t>
        <w:br/>
        <w:t xml:space="preserve">109 With increases attributable to the operation that are not negligible, namely less than or equal to 2%. The market shares of the Parties and competitors have been calculated based on value data, in line with the Commission's guidelines; see in this regard the "Commission Communication on the definition of the relevant market for the purposes of applying Community law in competition matters" (pp. 53 and 55). For details on the calculation of market shares and all indicators developed, isochrone by isochrone, see the Appendix.  </w:t>
        <w:br/>
        <w:t>110 See "Guidelines on the assessment of horizontal concentrations under the Council Regulation on the control of concentrations between undertakings," in OJEC 2004/C 31/03, para. 17.</w:t>
      </w:r>
    </w:p>
    <w:p>
      <w:r>
        <w:t xml:space="preserve">BULLETIN NO. 9 OF MARCH 14, 2022 41  </w:t>
        <w:br/>
        <w:t xml:space="preserve">from a structural perspective would determine rather deteriorated competitive conditions in a large number of isochrones.  </w:t>
        <w:br/>
        <w:t xml:space="preserve">Figure 7 – Post-merger HHI and delta in local markets with joint shares of the Parties above 40%  </w:t>
        <w:br/>
        <w:t xml:space="preserve">2400  </w:t>
        <w:br/>
        <w:t xml:space="preserve">2200  </w:t>
        <w:br/>
        <w:t xml:space="preserve">2000  </w:t>
        <w:br/>
        <w:t xml:space="preserve">1800  </w:t>
        <w:br/>
        <w:t xml:space="preserve">1600  </w:t>
        <w:br/>
        <w:t xml:space="preserve">1400  </w:t>
        <w:br/>
        <w:t xml:space="preserve">1200  </w:t>
        <w:br/>
        <w:t xml:space="preserve">1000  </w:t>
        <w:br/>
        <w:t xml:space="preserve">800  </w:t>
        <w:br/>
        <w:t xml:space="preserve">600  </w:t>
        <w:br/>
        <w:t xml:space="preserve">400  </w:t>
        <w:br/>
        <w:t xml:space="preserve">200  </w:t>
        <w:br/>
        <w:t xml:space="preserve">Source: AGCM elaborations.  </w:t>
        <w:br/>
        <w:t xml:space="preserve">158. Therefore, taking into account all structural indices as a whole, the analysis indicates that the operation is likely to produce significant unilateral effects in 97 local markets, considering:  </w:t>
        <w:br/>
        <w:t xml:space="preserve">- a joint market share greater than 40%;  </w:t>
        <w:br/>
        <w:t xml:space="preserve">- an HHI greater than or equal to 1,000 and less than or equal to 2,000, with a delta of attention not less than 250 or an HHI greater than 2,000 with a delta not less than 150111;  </w:t>
        <w:br/>
        <w:t xml:space="preserve">- a distance from the second operator, in terms of market share, greater than 10 percentage points.  </w:t>
        <w:br/>
        <w:t xml:space="preserve">159. The structural analysis thus highlights that the operation in question is likely to produce a generalized deterioration of the competitive framework in a significant portion of the national territory.  </w:t>
        <w:br/>
        <w:t xml:space="preserve">160. The competitive proximity analysis between the Parties, conducted based on the estimation of the diversion ratios - the methodology of which is explained in detail in the Appendix, provides results that do not alleviate the competitive concerns regarding the operation. Even in this case, the average data of the DRs result  </w:t>
        <w:br/>
        <w:t>111 Regarding the level of HHI to be considered, see the "Guidelines on the assessment of horizontal concentrations under the Council Regulation on the control of concentrations between undertakings," in OJEC 2004/C 31/03.</w:t>
      </w:r>
    </w:p>
    <w:p>
      <w:r>
        <w:rPr>
          <w:b/>
        </w:rPr>
        <w:t>[Pages 40–42]</w:t>
      </w:r>
    </w:p>
    <w:p>
      <w:r>
        <w:t>42 BULLETIN NO. 9 OF MARCH 14, 2022</w:t>
        <w:br/>
        <w:t>particularly high (33% without considering the outside option112 and 27% in the scenario with outside option, which is more cautious for the Parties; for the frequency distribution of the DR see Figure 8). This indicates that the operation, by eliminating one of the Parties, would remove an important competitive constraint over a large part of the national territory, increasing the incentives for the post-merger entity to raise prices and/or worsen other competitive conditions.</w:t>
        <w:br/>
        <w:t>Figure 8 - Distribution of DR in local markets where horizontal overlaps occur</w:t>
        <w:br/>
        <w:t>Source: AGCM elaborations. DR with linear distance and outside option.</w:t>
        <w:br/>
        <w:t>161. The value of the diversion ratio is greater than 20%113 in 108 isochrones and even greater than 25% in 98114. Even in the most favorable scenario for the Parties, where account is taken - through the outside option - of the competitive pressure exerted by stores, such as those of the GDO, external to the product market, the overall picture does not change, as there are 98 local markets where the value of the DR exceeds 20% and 69 where it exceeds 25%.</w:t>
        <w:br/>
        <w:t>162. Reading the results of the two analyses in an integrated manner (see Figure 9), it emerges that the local markets where both the structural analysis and the competitive proximity analysis unequivocally highlight the risk of creating or strengthening a dominant position are 78115 out of 136, that is, the vast majority of the retail markets affected by this operation (extensively reported in Table 6).</w:t>
        <w:br/>
        <w:t>Figure 9 – Market shares and DR in the affected local markets</w:t>
        <w:br/>
        <w:t>Source: AGCM elaborations.</w:t>
        <w:br/>
        <w:t>115 These are markets where the joint market share is greater than 40% with a distance from the second operator of over 10 percentage points and an HHI value above the thresholds identified above; on the other hand, the diversion ratio with linear distance, calculated considering the outside option, assumes a value greater than 20%.</w:t>
        <w:br/>
        <w:t>44 BULLETIN NO. 9 OF MARCH 14, 2022</w:t>
        <w:br/>
        <w:t>Table 6 – Overview of structural indices and competitive proximity in the 78 most critical local markets</w:t>
        <w:br/>
        <w:t>DR linear dist. DR linear dist. Distance from quota</w:t>
        <w:br/>
        <w:t>No. Address Share Share HHI pre HHI post delta</w:t>
        <w:br/>
        <w:t>without outside with outside 2nd phys. oper.</w:t>
        <w:br/>
        <w:t>isochrone centroid Parties 2nd oper. merger merger HHI</w:t>
        <w:br/>
        <w:t>option option (p.p)</w:t>
        <w:br/>
        <w:t>1 [omitted] 30 25 [50-55%] [20-25%] [25-30] 1991 3211 1220</w:t>
        <w:br/>
        <w:t>2 [omitted] 58 47 [45-50%] [15-20%] [30-35] 2028 2634 607</w:t>
        <w:br/>
        <w:t>4 [omitted] 39 32 [40-45%] [5-10%] [35-40] 1125 1815 690</w:t>
        <w:br/>
        <w:t>6 [omitted] 40 33 [55-60%] [1-5%] [50-55] 1684 3131 1447</w:t>
        <w:br/>
        <w:t>10 [omitted] 65 53 [40-45%] [25-30%] [10-15] 1997 2911 915</w:t>
        <w:br/>
        <w:t>12 [omitted] 44 35 [55-60%] [5-10%] [45-50] 1686 3173 1487</w:t>
        <w:br/>
        <w:t>13 [omitted] 38 31 [50-55%] [5-10%] [45-50] 1463 2835 1372</w:t>
        <w:br/>
        <w:t>15 [omitted] 49 40 [45-50%] [5-10%] [35-40] 1473 2246 773</w:t>
        <w:br/>
        <w:t>16 [omitted] 34 28 [40-45%] [15-20%] [20-25] 1396 2313 917</w:t>
        <w:br/>
        <w:t>17 [omitted] 52 42 [45-50%] [5-10%] [35-40] 1500 2517 1017</w:t>
        <w:br/>
        <w:t>19 [omitted] 26 21 [45-50%] [5-10%] [35-40] 1531 2335 805</w:t>
        <w:br/>
        <w:t>23 [omitted] 39 31 [45-50%] [5-10%] [35-40] 1411 2290 879</w:t>
        <w:br/>
        <w:t>24 [omitted] 27 22 [50-55%] [15-20%] [35-40] 1726 3121 1395</w:t>
        <w:br/>
        <w:t>25 [omitted] 36 29 [50-55%] [10-15%] [35-40] 1709 2958 1249</w:t>
        <w:br/>
        <w:t>27 [omitted] 34 28 [55-60%] [10-15%] [45-50] 3199 3566 367</w:t>
      </w:r>
    </w:p>
    <w:p>
      <w:r>
        <w:rPr>
          <w:b/>
        </w:rPr>
        <w:t>[Pages 43–45]</w:t>
      </w:r>
    </w:p>
    <w:p>
      <w:r>
        <w:t>BULLETIN NO. 9 OF MARCH 14, 2022 45</w:t>
        <w:br/>
        <w:t>DR linear dist. DR linear dist. Distance from quota</w:t>
        <w:br/>
        <w:t>No. Address Quota Quota HHI pre HHI post delta</w:t>
        <w:br/>
        <w:t>without outside with outside 2nd phys. oper.</w:t>
        <w:br/>
        <w:t>isochrone centroid Parts 2nd oper. merger merger HHI</w:t>
        <w:br/>
        <w:t>option option (p.p)</w:t>
        <w:br/>
        <w:t>28 [omitted] 40 32 [40-45%] [5-10%] [35-40] 1201 2056 855</w:t>
        <w:br/>
        <w:t>29 [omitted] 30 25 [55-60%] [5-10%] [45-50] 1621 3159 1538</w:t>
        <w:br/>
        <w:t>30 [omitted] 57 46 [55-60%] [20-25%] [30-35] 2299 3699 1399</w:t>
        <w:br/>
        <w:t>31 [omitted] 38 30 [50-55%] [1-5%] [50-55] 1548 2848 1300</w:t>
        <w:br/>
        <w:t>32 [omitted] 26 21 [50-55%] [5-10%] [45-50] 1638 3005 1367</w:t>
        <w:br/>
        <w:t>34 [omitted] 27 22 [55-60%] [10-15%] [45-50] 1952 3495 1544</w:t>
        <w:br/>
        <w:t>35 [omitted] 38 31 [45-50%] [1-5%] [35-40] 1266 2328 1062</w:t>
        <w:br/>
        <w:t>40 [omitted] 31 25 [50-55%] [5-10%] [35-40] 1554 2796 1241</w:t>
        <w:br/>
        <w:t>41 [omitted] 32 26 [40-45%] [15-20%] [25-30] 1181 1977 796</w:t>
        <w:br/>
        <w:t>42 [omitted] 39 31 [55-60%] [5-10%] [50-55] 1737 3350 1613</w:t>
        <w:br/>
        <w:t>45 [omitted] 27 22 [45-50%] [1-5%] [35-40] 1353 2253 900</w:t>
        <w:br/>
        <w:t>46 [omitted] 45 36 [65-70%] [1-5%] [60-65] 2400 4760 2359</w:t>
        <w:br/>
        <w:t>47 [omitted] 53 43 [55-60%] [1-5%] [55-60] 1841 3238 1397</w:t>
        <w:br/>
        <w:t>49 [omitted] 28 23 [45-50%] [1-5%] [45-50] 1635 2439 804</w:t>
        <w:br/>
        <w:t>51 [omitted] 54 43 [50-55%] [1-5%] [45-50] 1700 2674 975</w:t>
      </w:r>
    </w:p>
    <w:p>
      <w:r>
        <w:t>46 BULLETIN NO. 9 OF MARCH 14, 2022</w:t>
        <w:br/>
        <w:t>DR linear dist. DR linear dist. Distance from quota</w:t>
        <w:br/>
        <w:t>No. Address Quota Quota HHI pre HHI post delta</w:t>
        <w:br/>
        <w:t>without outside with outside 2nd phys. oper.</w:t>
        <w:br/>
        <w:t>isochrone centroid Parts 2nd oper. merger merger HHI</w:t>
        <w:br/>
        <w:t>option option (p.p)</w:t>
        <w:br/>
        <w:t>54 [omitted] 53 43 [50-55%] [1-5%] [45-50] 1576 2924 1349</w:t>
        <w:br/>
        <w:t>56 [omitted] 39 31 [45-50%] [5-10%] [35-40] 1485 2580 1095</w:t>
        <w:br/>
        <w:t>57 [omitted] 29 23 [45-50%] [10-15%] [35-40] 1473 2701 1228</w:t>
        <w:br/>
        <w:t>59 [omitted] 27 22 [45-50%] [1-5%] [35-40] 1359 2286 927</w:t>
        <w:br/>
        <w:t>62 [omitted] 49 40 [50-55%] [5-10%] [35-40] 2219 2916 697</w:t>
        <w:br/>
        <w:t>64 [omitted] 34 28 [40-45%] [15-20%] [20-25] 1304 1945 642</w:t>
        <w:br/>
        <w:t>65 [omitted] 40 33 [50-55%] [10-15%] [35-40] 1657 3129 1472</w:t>
        <w:br/>
        <w:t>68 [omitted] 41 33 [45-50%] [20-25%] [20-25] 2193 2892 699</w:t>
        <w:br/>
        <w:t>69 [omitted] 44 35 [40-45%] [10-15%] [30-35] 1290 2218 928</w:t>
        <w:br/>
        <w:t>71 [omitted] 48 39 [45-50%] [5-10%] [35-40] 1395 2520 1125</w:t>
        <w:br/>
        <w:t>73 [omitted] 29 23 [40-45%] [20-25%] [20-25] 1500 2413 913</w:t>
        <w:br/>
        <w:t>75 [omitted] 39 32 [50-55%] [1-5%] [50-55] 1534 2949 1415</w:t>
        <w:br/>
        <w:t>76 [omitted] 25 20 [45-50%] [5-10%] [35-40] 1409 2650 1241</w:t>
        <w:br/>
        <w:t>77 [omitted] 68 55 [60-65%] [5-10%] [55-60] 2683 4054 1371</w:t>
        <w:br/>
        <w:t>79 [omitted] 41 33 [50-55%] [35-40%] [10-15] 2493 3703 1210</w:t>
      </w:r>
    </w:p>
    <w:p>
      <w:r>
        <w:t>BULLETIN NO. 9 OF MARCH 14, 2022 47</w:t>
        <w:br/>
        <w:t>DR linear dist. DR linear dist. Distance from quota</w:t>
        <w:br/>
        <w:t>No. Address Quota Quota HHI pre HHI post delta</w:t>
        <w:br/>
        <w:t>without outside with outside 2nd phys. oper.</w:t>
        <w:br/>
        <w:t>isochrone centroid Parts 2nd oper. merger merger HHI</w:t>
        <w:br/>
        <w:t>option option (p.p)</w:t>
        <w:br/>
        <w:t>80 [omitted] 46 37 [55-60%] [20-25%] [30-35] 2075 3576 1501</w:t>
        <w:br/>
        <w:t>85 [omitted] 30 24 [45-50%] [5-10%] [35-40] 1290 2383 1093</w:t>
        <w:br/>
        <w:t>86 [omitted] 54 44 [50-55%] [1-5%] [45-50] 1615 2999 1384</w:t>
        <w:br/>
        <w:t>88 [omitted] 47 38 [55-60%] [5-10%] [45-50] 1904 3207 1303</w:t>
        <w:br/>
        <w:t>91 [omitted] 46 37 [55-60%] [20-25%] [30-35] 2299 3699 1399</w:t>
        <w:br/>
        <w:t>93 [omitted] 39 32 [40-45%] [10-15%] [30-35] 1435 1944 509</w:t>
        <w:br/>
        <w:t>96 [omitted] 71 58 [65-70%] [1-5%] [65-70] 2883 4934 2051</w:t>
        <w:br/>
        <w:t>99 [omitted] 34 28 [50-55%] [15-20%] [30-35] 1759 3065 1306</w:t>
        <w:br/>
        <w:t>100 [omitted] 47 38 [50-55%] [10-15%] [35-40] 1579 2908 1329</w:t>
        <w:br/>
        <w:t>101 [omitted] 33 27 [50-55%] [1-5%] [50-55] 1518 2866 1347</w:t>
        <w:br/>
        <w:t>103 [omitted] 33 27 [45-50%] [1-5%] [45-50] 1383 2566 1183</w:t>
        <w:br/>
        <w:t>104 [omitted] 30 24 [40-45%] [5-10%] [30-35] 1259 2034 775</w:t>
        <w:br/>
        <w:t>106 [omitted] 48 39 [45-50%] [5-10%] [35-40] 1860 2536 676</w:t>
        <w:br/>
        <w:t>107 [omitted] 36 30 [45-50%] [5-10%] [35-40] 1197 2269 1072</w:t>
        <w:br/>
        <w:t>108 [omitted] 27 22 [50-55%] [25-30%] [25-30] 2853 3601 748</w:t>
      </w:r>
    </w:p>
    <w:p>
      <w:r>
        <w:rPr>
          <w:b/>
        </w:rPr>
        <w:t>[Pages 46–48]</w:t>
      </w:r>
    </w:p>
    <w:p>
      <w:r>
        <w:t>48 BULLETIN NO. 9 OF MARCH 14, 2022</w:t>
        <w:br/>
        <w:t>DR linear dist. DR linear dist. Distance from quota</w:t>
        <w:br/>
        <w:t>No. Address Quota Quota HHI pre HHI post delta</w:t>
        <w:br/>
        <w:t>without outside with outside 2nd phys. oper.</w:t>
        <w:br/>
        <w:t>isochrone centroid Parties 2nd oper. merger merger HHI</w:t>
        <w:br/>
        <w:t>option option (p.p)</w:t>
        <w:br/>
        <w:t>109 [omitted] 51 41 [45-50%] [5-10%] [35-40] 1522 2722 1200</w:t>
        <w:br/>
        <w:t>110 [omitted] 34 27 [40-45%] [5-10%] [35-40] 1152 2054 902</w:t>
        <w:br/>
        <w:t>111 [omitted] 49 40 [45-50%] [5-10%] [35-40] 1799 2445 646</w:t>
        <w:br/>
        <w:t>114 [omitted] 41 34 [55-60%] [5-10%] [45-50] 1937 3597 1659</w:t>
        <w:br/>
        <w:t>115 [omitted] 27 22 [50-55%] [5-10%] [45-50] 1461 2857 1396</w:t>
        <w:br/>
        <w:t>116 [omitted] 44 36 [50-55%] [10-15%] [35-40] 1898 3052 1154</w:t>
        <w:br/>
        <w:t>120 [omitted] 25 21 [45-50%] [10-15%] [35-40] 1375 2462 1087</w:t>
        <w:br/>
        <w:t>123 [omitted] 28 23 [55-60%] [5-10%] [45-50] 1935 3436 1502</w:t>
        <w:br/>
        <w:t>124 [omitted] 26 21 [40-45%] [15-20%] [20-25] 1166 1977 811</w:t>
        <w:br/>
        <w:t>125 [omitted] 67 54 [60-65%] [5-10%] [55-60] 2222 3916 1694</w:t>
        <w:br/>
        <w:t>126 [omitted] 35 28 [50-55%] [1-5%] [50-55] 1479 2892 1412</w:t>
        <w:br/>
        <w:t>127 [omitted] 42 34 [55-60%] [1-5%] [50-55] 1759 3160 1401</w:t>
        <w:br/>
        <w:t>128 [omitted] 35 28 [40-45%] [1-5%] [35-40] 1077 1904 827</w:t>
        <w:br/>
        <w:t>130 [omitted] 40 32 [45-50%] [5-10%] [35-40] 1232 2289 1057</w:t>
        <w:br/>
        <w:t>131 [omitted] 44 36 [40-45%] [5-10%] [30-35] 1285 1924 639</w:t>
      </w:r>
    </w:p>
    <w:p>
      <w:r>
        <w:t>BULLETIN NO. 9 OF MARCH 14, 2022 49</w:t>
        <w:br/>
        <w:t>DR linear dist. DR linear dist. Distance from quota</w:t>
        <w:br/>
        <w:t>No. Address Quota Quota HHI pre HHI post delta</w:t>
        <w:br/>
        <w:t>without outside with outside 2nd phys. oper.</w:t>
        <w:br/>
        <w:t>isochrone centroid Parties 2nd oper. merger merger HHI</w:t>
        <w:br/>
        <w:t>option option (p.p)</w:t>
        <w:br/>
        <w:t>132 [omitted] 58 47 [65-70%] [15-20%] [45-50] 2871 4744 1873</w:t>
        <w:br/>
        <w:t>134 [omitted] 44 36 [45-50%] [5-10%] [35-40] 1224 2250 1026</w:t>
        <w:br/>
        <w:t>135 [omitted] 28 23 [50-55%] [10-15%] [35-40] 1675 2736 1061</w:t>
      </w:r>
    </w:p>
    <w:p>
      <w:r>
        <w:t>50 BULLETIN NO. 9 OF MARCH 14, 2022</w:t>
        <w:br/>
        <w:t>163. In such markets, the joint share of the Parties is on average 51%, that of the second operator is 10%, and consequently their distance stands at 41 percentage points. Furthermore, the average value of the HHI following the operation would be 2,846, with a very significant delta of 1,149. The analysis regarding the competitive proximity between the Parties also highlights relevant criticalities, as the average value of the diversion ratio, estimated including the outside option, stands at an average value of 32% (see Table 7).</w:t>
        <w:br/>
        <w:t>Table 7 – Average data of structural indicators in critical local markets</w:t>
        <w:br/>
        <w:t>Distance Parties from DR distance</w:t>
        <w:br/>
        <w:t>Share Share 2nd HHI post delta</w:t>
        <w:br/>
        <w:t>2nd operator linear with</w:t>
        <w:br/>
        <w:t>Parties operator merger HHI</w:t>
        <w:br/>
        <w:t>(p.p.) outside option</w:t>
        <w:br/>
        <w:t>51% 10% 41 2,846 1,149 32%</w:t>
        <w:br/>
        <w:t>Source: AGCM elaborations.</w:t>
        <w:br/>
        <w:t>164. It should be noted that almost all of these markets are located in the macro-area North, where the two chains hold the majority of their sales points, and in particular 56 of these local markets are situated in the North-West and 20 in the North-East. The number and geographical concentration of the problematic areas is such as to significantly alter the market conditions in a wide area of the Country, a situation that necessitates an assessment of the competitive impact of the operation on a broader scale than that pertaining to individual local markets. This is also due to the fact that, as already represented, pricing policies are defined centrally and applied uniformly across all areas of the national territory where they are present. Therefore, the deterioration of competitive conditions observed within individual local markets is likely to affect the overall competitive structure of a wide area of the Country.</w:t>
        <w:br/>
        <w:t>B.1.3) On the criteria for evaluating the operation: arguments of the Parties and counterarguments</w:t>
        <w:br/>
        <w:t>On potential competition and the calculation of market shares</w:t>
        <w:br/>
        <w:t>165. In assessing the problematic areas from a competitive perspective, the Parties believe that the critical threshold of the joint market share cannot be quantified at less than 45% (threshold value used in the Authority's previous decision), considering the high degree of dynamism of the market in question and the absence of barriers to entry. Furthermore, even if the GDO were not to be included in the relevant market, in the opinion of the Parties, it could not be disregarded from the perspective of potential competition. The GDO has recorded a growth rate of 6% in sales of pet products in the last year and already has a widespread presence in the territory, financial capacity, and contractual relationships with suppliers, including for private label products. Moreover, the GDO's ability to rapidly expand its pet departments or to open its own specialized store chains would be indisputable; in particular, given the success of the GDO pet shop format, other large distribution operators may decide in the near future to follow this path.</w:t>
        <w:br/>
        <w:t>166. The Parties also propose adjustments to the turnover of the sales points in the calculation of market shares, in order to take into account the different competitive pressure exerted by the sales points present in the isochrones, based on i) their distance from the centroid and ii) their type116.</w:t>
        <w:br/>
        <w:t>116 See docs. 81.21 and 95.</w:t>
      </w:r>
    </w:p>
    <w:p>
      <w:r>
        <w:rPr>
          <w:b/>
        </w:rPr>
        <w:t>[Pages 49–51]</w:t>
      </w:r>
    </w:p>
    <w:p>
      <w:r>
        <w:t>BULLETIN NO. 9 OF MARCH 14, 2022 51</w:t>
        <w:br/>
        <w:t>167. In relation to the first aspect (i), the Parties propose to consider the distance between the points of sale and the centroids of the isochrones in order to weigh the turnover of each store in the calculation of market shares and to avoid discontinuity for the points of sale near the boundary of the isochrone (market shares "corrected for distance"). To this end, all stores within a 40-minute driving radius from the centroid are considered, under the logic that even some points of sale located more than 20 minutes of driving from the centroid achieve a portion of their sales within the considered local market.</w:t>
        <w:br/>
        <w:t>168. Regarding the second aspect (ii), in calculating market shares, the Parties have considered, in addition to stores belonging to specialized chains and small independent specialized stores, also – to a partial extent – the GDO points of sale of the "hypermarket" type, i.e., those with a surface area greater than 2500 square meters. In particular, the Parties have assigned a weight of 1 to the points of sale of chains and independent specialized stores, assuming that the latter are full-fledged competitors of the former, while hypermarkets have been assigned a weight of 0.6. This weight was obtained through an ad hoc methodology, using both an "aggregated" diversion ratio from chains to hypermarkets, based on their average "corrected for distance" market shares ("market share-based DR")117, and a diversion ratio obtained based on some results from the survey ("survey-based DR")118.</w:t>
        <w:br/>
        <w:t>169. To account for the partial substitutability of hypermarkets compared to chains, the correction factor thus obtained, equal to 0.6, was applied to the turnover of hypermarkets in the calculation of "corrected for distance" market shares. Based on this adjustment, the number of problematic local markets would decrease significantly: according to the Parties, only in 9 isochrones would the "corrected" market share exceed 45%.</w:t>
        <w:br/>
        <w:t>170. Regarding the arguments presented above, the following observations are made. With respect to the disciplining capacity of potential competition, the elements put forward by the Parties do not appear suitable to affect the assessment of the Operation, to the extent that any growth of existing competitors or the entry of new operators into the market do not seem sufficient to counterbalance the competitive strength that the post-merger entity would achieve as a result of the concentration under examination.</w:t>
        <w:br/>
        <w:t>171. As emerged during the investigative activity, in fact, the capillarity of the Parties' distribution network and their presence in the national territory is markedly more pronounced and widespread compared to that of all other operators. The Parties also have established brands and trademarks, with significant recognition among consumers. Furthermore, there is a considerable distance between the market share of the post-merger entity and that of the first competing operator, averaging 34 percentage points across all areas where horizontal overlaps occur and 41 percentage points in the locally defined critical markets: the presence of competitors in the market is significantly more limited compared to that of the Parties and is not capable of undermining, in a medium-term horizon, the preeminence of the latter.</w:t>
        <w:br/>
        <w:t>172. Additionally, the strong development of GDO pet shops recorded in recent years, which represents the main element of market dynamism concerning the physical channel, appears to be undergoing a stabilization process, as the main national GDO operators have indicated that they do not have significant expansion projects planned, compared to those already existing, for the coming years (see paragraph V.d.2). In this regard, it is worth noting that while GDO recorded a sales increase of 6% in the last year – still lower than the overall sector growth of 8% – the growth rate is more than triple for specialized chains (+19.7%).</w:t>
        <w:br/>
        <w:t>173. Regarding the competitive pressure exerted by the online channel, it is noted that, despite its rapid growth, it still represents 13% of the market (which is attributable to multiple operators, each holding significantly lower shares) and does not seem capable of threatening the dominant position that the post-merger entity would hold.</w:t>
        <w:br/>
        <w:t>174. With regard to the "alternative" methodological proposals presented by the Party, relating to some adjustments concerning the turnover of points of sale present in the isochrones based on their distance from the centroid and their type, it is believed that they are not shareable for a number of reasons.</w:t>
        <w:br/>
        <w:t>175. In general, this is an approach that deviates considerably from the traditional one in measuring market shares, as it introduces ad hoc corrective factors based on the distance of the points of sale and their type (using an estimate of the diversion ratios). In particular, the Parties confuse within a single indicator, the "corrected market share," fundamentally different aspects such as market shares and diversion ratios. Regardless of the technical limitations of the analysis (see infra), it is observed, on the one hand, that the methodology for defining the indices proposed by the parties for calculating the "corrected market shares" appears arbitrary and without support in the economic literature, and on the other hand, that this raises the issue of identifying appropriate critical thresholds to apply to the "corrected market shares" proposed by the Parties. The thresholds commonly used in national and European practice for the structural analysis of the relevant market, as well as those indicated in the Commission's own Guidelines, are based on traditional market share considerations and not on composite indicators calculated using an ad hoc methodology so different from the classical one.</w:t>
        <w:br/>
        <w:t>176. Specifically, the use of the correction factor suggested by the Parties to account for the competitive pressure exerted by points of sale located up to 40 minutes from the centroid does not result in market shares that are systematically higher than those calculated based on the "traditional" method of 20-minute isochrones.</w:t>
        <w:br/>
        <w:t>177. Regarding the correction factor aimed at capturing the different competitive pressure exerted on the centroid by the different types of points of sale present in the market, it should be noted that this aspect is fully taken into account in the estimation of the diversion ratios carried out by the Offices (see supra par. VI.b.1.2). This analysis – conducted as a complement, and not as a substitute, for that based on traditional market shares – assigns different weights to stores based on their type and distance from the centroid, and allows for consideration of the competitive pressure that can be exerted by points of sale not included in the relevant market (outside option). In this respect, therefore, the methodology proposed by the Parties does not appear to offer added value in the analysis of the effects of the operation, but rather confuses a multitude of elements that have instead been analyzed through different indicators (market shares and diversion ratios) transparently and in line with best international practices.</w:t>
        <w:br/>
        <w:t>178. From a more technical perspective, the Parties' methodology presents a number of limitations:</w:t>
        <w:br/>
        <w:t>- the distance adjustment factor - estimated based on the percentage of overlap of the catchment areas of the points of sale with that of the centroid - is calculated based on a fundamental simplification, consisting in the fact that the aforementioned catchment areas are precisely reducible to circles and that the sales of each point of sale are uniformly distributed over the surface of such circles. In any case, the application of the adjustment factor proposed by the Parties also to points of sale with travel times of up to 40 minutes from the centroid increases the number of isochrones - compared to the "traditional" analysis - in which the joint share is greater than 40%;</w:t>
        <w:br/>
        <w:t>- the methodology proposed by the Parties presents considerable circularity in calculation, since the estimated adjustment factor to correct market shares based on the diversion ratios is the result of elaborations based precisely on the market shares to be adjusted;</w:t>
        <w:br/>
        <w:t>- the Parties incorrectly use the aggregated diversion ratios derived from the responses to the survey to assign a competitive weight to GDO stores, completely ignoring the central evidence that emerges from the responses to this question, namely that only 8% of the spending made at chains would be redirected towards the GDO as a whole. This significantly overestimates the competitive pressure that GDO stores can exert on stores included in the relevant market and, in particular, on chains;</w:t>
        <w:br/>
        <w:t>- the correction factor proposed by the Parties is based on an arbitrary adjustment – the technical motivation for which is not understood119 – constructed as a ratio between the diversion ratio of hypermarkets and the diversion ratio of independent stores. Furthermore, the correction of the diversion ratios calculated based on market shares in light of the diversion ratios calculated based on the survey confuses indices estimated from different assumptions, to the extent that the former would take into account the "distance" differentiation factor, while the latter would consider the different ability of alternative points of sale to attract spending coming from the latter.</w:t>
        <w:br/>
        <w:t>On the estimation of diversion ratios</w:t>
        <w:br/>
        <w:t>179. The Parties have also made some critical observations regarding the methodology used for estimating the diversion ratios120. First, the choice of a critical threshold of 20% would be excessively cautious (it would equate, for example, in a market of homogeneous products, to considering problematic an operation that reduces the number of market operators with identical market shares from 6 to 5). Second, regarding the calculation of the "distance" factor, the Parties believe that the Offices' choice to use the DR with a linear formula, rather than a quadratic formula, in determining the critical isochrones would be unmotivated and unfavorable to the Parties themselves; it would also be incorrect to assign a weight of 0 to points of sale located 20 minutes away from the centroid, even if belonging to the geographic market. Furthermore, the outside option would not be estimated appropriately, as it would not be correct to treat points of sale included in the relevant market differently from those considered by the Offices to be outside it, such as GDO stores. The diversion ratios would, in fact, be a tool developed by economic theory precisely to overcome the difficulties of the "binary classification in/out imposed by the concept of relevant market," with a view to assessing the competitive pressure exerted by all operators, including those outside the relevant market121. Finally, the Parties contest that the online channel, while being included in the market.</w:t>
      </w:r>
    </w:p>
    <w:p>
      <w:r>
        <w:rPr>
          <w:b/>
        </w:rPr>
        <w:t>[Pages 52–54]</w:t>
      </w:r>
    </w:p>
    <w:p>
      <w:r>
        <w:t>54 BULLETIN NO. 9 OF MARCH 14, 2022</w:t>
        <w:br/>
        <w:t>relevant, has been considered within the outside option in the calculation of the DR, with the risk of overestimating the competitive issues in the affected local markets.</w:t>
        <w:br/>
        <w:t>180. Regarding the observations made by the Parties, the following is noted. Concerning the threshold of criticality used, the objection misses the mark, as the DR are used to assess the impact of a transaction on competition in market contexts characterized by differentiated products/points of sale, where the number of operators remaining in the market may represent an irrelevant aspect if such operators are not able - even individually - to exert adequate competitive force capable of counterbalancing that which would be held by the entity post-merger. Moreover, the theoretical situation outlined by the Parties is far from the competitive conditions of the examined markets, characterized by high market shares for the Parties and asymmetrical in relation to the remaining operators, by differentiated points of sale, and by a level of concentration already significantly high. In this case, a threshold of 20% corresponds, given the level of Arcaplanet's margins and the price ratio between the Parties, to an incentive to increase prices (so-called GUPPI) by the post-merger entity of around 6%, thus also exceeding the 5% threshold already used in national122 and international decision-making practice.</w:t>
        <w:br/>
        <w:t>181. Regarding the use of the linear formula instead of the quadratic one for calculating the "distance" factor, it is noted that the DR estimated from the former are not systematically higher than the DR estimated using the latter. In fact, in 64 isochrones out of 129 - that is, in almost half of the local markets where the Parties overlap - the DR estimated with the linear formula take on lower values compared to the DR estimated with the quadratic formula. Still concerning the estimation of the distance factor, attributing a weight slightly above zero (instead of zero)123 to points of sale located 20 minutes away from the centroid would not change the number of critical isochrones.</w:t>
        <w:br/>
        <w:t>182. Regarding the alleged underestimation of the outside option in the analysis contained in the CRI, it is preliminarily represented that with the methodology used, it was intended to consider, from a perspective favorable to the Parties, the competitive pressure of points of sale external to the market through the application of a correction factor to the DR represented precisely by the outside option. In fact, using a single criterion for estimating the "type" weights for all points of sale (both internal and external to the market) would not be consistent with the articulated and robust framework of evidence collected - both through the survey and through requests for information sent to the main operators in the sector - from which it emerges that the GDO exerts limited competitive pressure on specialized stores, in contrast to the more incisive competitive constraint that exists between independent stores and specialized chains. In light of this, it seems reasonable, in estimating the diversion ratios, to apply different criteria to estimate the competitive pressure of points of sale depending on their membership or not to the market. Even if one were to follow the reasoning of the Parties and use the same survey question to attribute a weight to the "type" factor for both internal and external points of sale, the estimates of the DR that would be obtained would be less favorable to the Parties compared to those indicated in the CRI. In fact, such an approach would require a reparameterization124 of the "type" weights in order to take into account the average percentage of spending that would shift from chains to other channels, from which, on the one hand, a marginal increase in the value of the outside option would be obtained, equal to 21% instead of 19%, and, on the other hand, a substantial reduction in the competitive pressure of independent stores on the chains125.</w:t>
        <w:br/>
        <w:t>183. Regarding the online channel, whose competitive pressure is taken into account within the outside option, it is noted that it is not possible to adopt alternative solutions: any inclusion of this channel in the physical market would require identifying a fictitious number of physical stores to which this channel should correspond in each isochrone, as well as the attribution of a fictitious distance. Such quantifications would necessarily be based on totally arbitrary and discretionary assumptions, little related to the actual market situation126.</w:t>
        <w:br/>
        <w:t>184. More generally, and in conclusion, it is noteworthy that the competitive proximity analysis to which the estimation of the diversion ratios is functional is not an alternative to structural analysis, but is aimed at adding further useful elements to assess the risk that structural changes resulting from the transaction may lead to a deterioration of the supply conditions for consumers.</w:t>
        <w:br/>
        <w:t>B.1.4) Analysis of the coordinated effects of the transaction</w:t>
        <w:br/>
        <w:t>185. The investigative findings finally allow us to exclude the suitability of the transaction to incentivize coordination between the entity that would be created as a result of the transaction and the main competitors in the markets affected by the transaction. In this regard, it is first observed that all relevant markets are characterized by asymmetric oligopolies where the first operator - Arcaplanet - significantly strengthens its market position, in the face of the presence of several competitors with low shares, with the second operator holding an average market share of less than one-third of that of the post-merger entity. The transaction in question does not therefore appear capable of causing coordinated effects that would eliminate or substantially and durably reduce competition in the affected markets.</w:t>
        <w:br/>
        <w:t>B.1.5) Conclusions</w:t>
        <w:br/>
        <w:t>186. The analysis of the competitive context in which the concentration transaction takes place, carried out through the evaluation of numerous indicators (market shares of the Parties and the related increase resulting from the acquisition, distance from the second operator, HHI, diversion ratio) highlights the creation or strengthening of a dominant position of the Parties in a very large number of local markets (78 out of 136), such as to induce an assessment of the impact of the transaction even at the national level (see Table 6).</w:t>
        <w:br/>
        <w:t>187. The concentration in question, moreover, by strengthening the leadership position already held by the first major specialized chain, both at the national level and in numerous local areas, appears to produce a significant impact in all local markets where the Parties are present and not only in those where the share of the new entity exceeds a specified critical threshold.</w:t>
        <w:br/>
        <w:t>125 In fact, the weight of the independent store would drop from 0.15 to 0.1 and the weight of the chains would increase from 0.5 to 0.69.</w:t>
        <w:br/>
        <w:t>126 Since the Parties have expressed reservations regarding the consideration of the online channel within the outside option - and it is not possible to make alternative corrections to the model used (see above) - an additional analysis has also been conducted, estimating the diversion ratios based on the shares in individual local markets (</w:t>
        <w:br/>
        <w:t>(cid:21)(cid:22)=</w:t>
        <w:br/>
        <w:t>(cid:41)(cid:42)(cid:5)(cid:25)(cid:26)(cid:27)(cid:28)(cid:29)(cid:30)(cid:28)(cid:31)(cid:32)(cid:33)). This is an approach that does not allow for consideration of the physical distance of individual points (cid:44) v (cid:45) and (cid:41) n (cid:42) d (cid:5) i(cid:34)ta(cid:28),(cid:35) (cid:36)m(cid:46)(cid:38)a(cid:38) captures the competitive pressure of the online channel, in the same way as that of the physical stores included in the relevant market, to the extent that it reflects on the market shares of the Parties. The results obtained - maintaining, as a precaution, the same outside option considered in the model described in the Appendix - are entirely analogous to those reported in the text and confirm that the competitive pressure exerted by the online channel has not been underestimated in any way: indeed, there are 96 local markets in which the DR thus calculated exceeds 20%.</w:t>
      </w:r>
    </w:p>
    <w:p>
      <w:r>
        <w:t>56 BULLETIN NO. 9 OF MARCH 14, 2022</w:t>
        <w:br/>
        <w:t>188. This is both due to the multi-market contact nature of the relevant markets involved - all characterized, among other things, by the presence of the main national chains, albeit with market shares differently distributed across the territory - and due to the possibility, only for this type of operators, to set national commercial policies, also engaging in an overall comparison on purchasing conditions and main sales strategies, and not just, in isolation, on individual local markets.</w:t>
        <w:br/>
        <w:t>189. In this sense, the Transaction, eliminating one of the few large chains currently active at the national level - which has a brand and trade marks already characterized by a high degree of notoriety and territorial penetration - effectively removes an important competitive constraint for the first operator, giving it a significant advantage over competitors in terms of purchasing costs and possible sales strategies.</w:t>
        <w:br/>
        <w:t>B.2) Effects on the markets for the supply of pet products</w:t>
        <w:br/>
        <w:t>190. Regarding procurement, the investigation has, first of all, established that the share of the post-merger entity in the relevant market of sales through specialized stores and online channel is estimated, at the national level, to be around [30-35%]. The new operator would therefore be by far the largest buyer of pet products in this market at the national level, compared to a second operator, represented by the Isola dei Tesori chain, which holds a share of less than 10%.</w:t>
        <w:br/>
        <w:t>191. Secondly, it has emerged that, within the identified relevant market, about 37% of purchases are made by independent specialized stores that, not being organized in chains, individually hold very limited bargaining power with suppliers. This is both due to the limited purchasing capacity of each individual operator in this category and because of the poor territorial coverage of each of them. In this sense, it does not seem superfluous to emphasize that, within the single segment of specialized chains, the new entity would come to hold a market share, and therefore a share of total purchases, exceeding 60% ([60-65%]).</w:t>
        <w:br/>
        <w:t>192. The aforementioned share could also be higher with reference to the hypothetical procurement market constituted by products sold under the distributor's brand (PL), separate from that of purchases of branded products. This is because the Parties operate with their own brands to a significantly greater extent than the main competing chain: the incidence of PL sales purchases for Arcaplanet and Maxi Zoo, in fact, is equal to [45-50%] and [45-50%], respectively.</w:t>
        <w:br/>
        <w:t>193. Symmetrically, in a hypothetical market consisting solely of purchases of products with the manufacturer's brand (branded), the new entity would acquire a share of less than [60-65%], but would remain by far the most important buyer. In this regard, however, it is worth noting that a high incidence of PL sales (and therefore purchases) on the total sales of a chain significantly strengthens its bargaining power even with respect to suppliers of branded products, with whom the distributor finds itself in a position of direct competition in the final markets. In fact, the stronger the distributor's private label, the greater its ability to compete downstream with the manufacturers' brands, resulting in an increase in the distributor's ability to influence the positioning of competing products and the conditions of their procurement.</w:t>
        <w:br/>
        <w:t>194. In this sense, the present operation would lead to a significant strengthening of the purchasing power of the first national operator in the distribution of pet products not only due to the increase in its overall share in the procurement market, but</w:t>
      </w:r>
    </w:p>
    <w:p>
      <w:r>
        <w:rPr>
          <w:b/>
        </w:rPr>
        <w:t>[Pages 55–57]</w:t>
      </w:r>
    </w:p>
    <w:p>
      <w:r>
        <w:t>BULLETIN NO. 9 OF MARCH 14, 2022 57</w:t>
        <w:br/>
        <w:t>also due to the greater territorial penetration capacity that the private labels of both Parties would achieve as a result of the implementation of the operation itself.</w:t>
        <w:br/>
        <w:t>195. Furthermore, the investigation highlighted how the Parties would jointly acquire an extremely significant market power in the vast majority of local markets affected by the operation, making them an indispensable interlocutor for any producer of pet products wishing to distribute their products extensively throughout the national territory. In this regard, it should again be emphasized the strong concentration of the new entity's presence in certain macro areas of the country, particularly in Northern Italy.</w:t>
        <w:br/>
        <w:t>196. The Parties, regarding the effects on the supply markets, argue that the consideration of the alleged contractual weakness of specialized stores, attributable to their limited purchase volume and poor territorial coverage, would not be supported by any evidence, as the presence of any forms of purchase centralization that could increase their bargaining power with suppliers has not been verified.</w:t>
        <w:br/>
        <w:t>197. On this point, it is noted that, contrary to what the Parties claim, this circumstance appears to be fully confirmed by the evidentiary findings. As expressly stated by one of the pet food producers, in fact, "to approach the market of independent specialized stores, it is essential to have a widespread sales network with knowledge of customers," highlighting precisely how for this channel the "economic conditions are more advantageous [for the producer, ed.] compared to other channels even in the face of higher distribution costs"127.</w:t>
        <w:br/>
        <w:t>VII. THE CORRECTIVE MEASURES PROPOSED BY THE PARTIES</w:t>
        <w:br/>
        <w:t>198. The Parties, while not agreeing on the definition of the relevant market and the methods of evaluating the Operation proposed by the Offices, in a spirit of maximum cooperation, in order to resolve the competitive issues raised by the Authority in its initiation order and in the CRI regarding the entire downstream retail distribution markets as well as the upstream supply market, have proposed some structural corrective measures128. In particular, the Parties have committed to divest [50-70] retail outlets (detailed in the list attached to this provision) of Arcaplanet and Maxi Zoo in order to: (i) eliminate the overlap between the Parties' retail outlets in the local market (by divesting the centroid or another retail outlet present in the isochrone), and/or (ii) achieve at least one of the following conditions:</w:t>
        <w:br/>
        <w:t>- joint market share of less than or equal to 40%;</w:t>
        <w:br/>
        <w:t>- delta of less than 250 if the HHI is greater than or equal to 1,000 and less than or equal to 2,000 or delta of less than 150 if the HHI exceeds 2,000;</w:t>
        <w:br/>
        <w:t>- distance from the second physical operator, in terms of market share, of less than or equal to 10 percentage points;</w:t>
        <w:br/>
        <w:t>- diversion ratio of less than or equal to 20%.</w:t>
        <w:br/>
        <w:t>199. The Parties have committed to divest these retail outlets to [omitted] buyers who must be pre-approved by the Authority. The buyers must meet the following requirements:</w:t>
        <w:br/>
        <w:t>a) be independent, including commercially, from the Parties;</w:t>
        <w:br/>
        <w:t>b) be operators already active in the distribution of pet products in Italy or abroad, or be able to operate immediately in the market while maintaining and developing the activity of the divested retail outlets;</w:t>
        <w:br/>
        <w:t>127 Doc. 107.</w:t>
        <w:br/>
        <w:t>128 Docc. 110, 133 and 140.</w:t>
      </w:r>
    </w:p>
    <w:p>
      <w:r>
        <w:t>58 BULLETIN NO. 9 OF MARCH 14, 2022</w:t>
        <w:br/>
        <w:t>c) have sufficient financial resources as well as the technical and commercial capacity to manage and develop the divested retail outlets;</w:t>
        <w:br/>
        <w:t>d) the acquisition of the divested retail outlets must not create competition problems nor delay the execution of the divestiture.</w:t>
        <w:br/>
        <w:t>200. The retail outlets subject to divestiture will include all assets and personnel that contribute to its current management or that are necessary to ensure its profitability and competitiveness.</w:t>
        <w:br/>
        <w:t>201. The Parties have also committed to complete the divestiture of the [50-70] retail outlets by [omitted].</w:t>
        <w:br/>
        <w:t>202. In order to minimize the risks of potential loss of competitiveness of the retail outlets to be divested, during the period between the date of authorization of the concentration operation and the divestiture of their control, the Parties will preserve the economic operation, marketability, and competitiveness of the same in accordance with good commercial practice. Furthermore, as specified following the hearing before the Board, [omitted].</w:t>
        <w:br/>
        <w:t>VIII. EVALUATION OF THE PROPOSED MEASURES</w:t>
        <w:br/>
        <w:t>203. Below is a summary of the competitive impact of the structural corrective measures proposed by the Parties on the local retail markets and on the supply markets. Subsequently, the methods of implementation of the same will be briefly discussed.</w:t>
        <w:br/>
        <w:t>A) Impact of the measures proposed by the Parties</w:t>
        <w:br/>
        <w:t>204. The divestitures proposed by the Parties, which concern a total of [50-70] retail outlets, are suitable to limit the overall strengthening of the post-merger entity at the national level and to resolve all the competitive issues identified in the investigation with reference to the 78 local retail markets for pet products identified in the CRI.</w:t>
        <w:br/>
        <w:t>205. In particular, in 33 cases, the retail outlet that constitutes the centroid of the local market is being divested. In another 45 cases, as a result of the proposed divestitures, one of the aforementioned cumulative critical parameters set in the CRI is no longer present, namely: i) a post-merger market share exceeding 40%; ii) a Herfindahl-Hirschmann Index (HHI) greater than or equal to 1000 and less than or equal to 2000, with a delta of attention not less than 250 or an HHI greater than 2000 with a delta not less than 150; iii) a distance from the second operator, in terms of market share, not less than 10 percentage points; iv) a diversion ratio greater than 20%.</w:t>
        <w:br/>
        <w:t>206. Furthermore, the divestiture of a large number of retail outlets to [omitted] buyers, already active in the market or otherwise able to exert immediate competitive pressure on the post-merger entity once the stores are acquired, creates the conditions for the specific role of competitive discipline that Arcaplanet and Maxi Zoo previously exercised reciprocally on each other to be assumed by the acquiring operators.</w:t>
        <w:br/>
        <w:t>207. The proposed divestitures also appear suitable to overcome the competitive issues in the supply markets for pet products. In fact, as a result of the proposed divestitures, the post-merger entity's national market share will decrease from [30-35%] to approximately [25-30%]. As per established practice, moreover, the position of the Parties in the supply markets should be evaluated in conjunction with the market shares they will jointly hold in the local retail markets, as the distribution of sales shares across the territory can influence the bargaining power of the post-merger entity during the purchasing phase. In this perspective, it is noted that the evaluation carried out above in the downstream markets is suitable to alleviate the competitive concerns also in the upstream supply market.</w:t>
      </w:r>
    </w:p>
    <w:p>
      <w:r>
        <w:t>BULLETIN NO. 9 OF MARCH 14, 2022 59</w:t>
        <w:br/>
        <w:t>B) Conclusions on the suitability of the measures proposed by the Parties</w:t>
        <w:br/>
        <w:t>208. The divestitures proposed by the Parties, which concern a total of [50-70] retail outlets listed in the annex to this provision, are suitable to resolve the competitive concerns regarding the establishment or strengthening of a dominant position of the Parties in the retail sale of pet products over a wide portion of the national territory - and particularly in the 78 local retail markets referred to in Table 6 - as well as in the supply markets. Such divestitures, through a significant strengthening of [omitted] operators already active in the sector, will allow for the restoration of that significant competitive constraint in the relevant markets that the Operation would have eliminated.</w:t>
        <w:br/>
        <w:t>209. From the perspective of the proposed methods for the divestitures in question, the following should be noted. Firstly, the timelines for the implementation of the measures proposed by the Parties appear excessively prolonged to ensure a rapid restoration of contractual conditions in the relevant markets, in light of the significant impact of the Operation at the local and national levels. It is believed that, for this purpose, a reasonable timeframe could be [omitted]. If the aforementioned divestitures do not take place within this timeframe, the Parties must [omitted].</w:t>
        <w:br/>
        <w:t>210. Furthermore, to ensure the proper execution of the measures aimed at eliminating the competitive distortions arising from the concentration operation in question, the Authority - in line with community practice - considers it necessary to provide for the appointment of a third-party independent expert (monitoring trustee), tasked with monitoring the actual implementation of the measures proposed by the Parties and producing periodic reports in this regard.</w:t>
        <w:br/>
        <w:t>211. Finally, [omitted].</w:t>
        <w:br/>
        <w:t>IX. CONCLUSIONS</w:t>
        <w:br/>
        <w:t>212. In conclusion, the investigation in question has established that the concentration under examination leads to the establishment or strengthening of a dominant position of the Parties in the retail sale of pet products over a wide portion of the Italian territory; in particular, the effects of the Operation are very critical in 78 local markets (listed in Table 6) and are such as to produce an impact even at the national level. The investigation has also ascertained that the operation involves the establishment or strengthening of a dominant position of the Parties in the supply markets for pet products.</w:t>
        <w:br/>
        <w:t>213. Based on the preceding considerations, it is believed that the concentration operation in question is susceptible to authorization only in the presence of measures suitable to sterilize its anticompetitive effects and to effectively safeguard the operation of competitive comparison pursuant to Article 6, paragraph 2, of Law No. 287 of October 10, 1990.</w:t>
        <w:br/>
        <w:t>CONSIDERING therefore, based on the elements emerged in the investigation, that the operation in question is likely to determine, pursuant to Article 6, paragraphs 1 and 2 of Law No. 287/90, the creation and strengthening of a dominant position in the relevant markets identified above such as to eliminate or substantially and durably reduce competition;</w:t>
        <w:br/>
        <w:t>CONSIDERING it necessary to prescribe to the companies Cinven Capital Management (VII) General Partner Limited and Fressnapf Beteiligungs GmbH, pursuant to Article 6, paragraph 2, of Law No. 287/90, measures necessary to prevent the realization of the competitive distortions caused by the implementation of the concentration in question;</w:t>
        <w:br/>
        <w:t>CONSIDERING, therefore, that the communicated concentration operation is authorized subject to the full, effective, and timely execution of all the measures prescribed in this provision;</w:t>
      </w:r>
    </w:p>
    <w:p>
      <w:r>
        <w:rPr>
          <w:b/>
        </w:rPr>
        <w:t>[Pages 58–60]</w:t>
      </w:r>
    </w:p>
    <w:p>
      <w:r>
        <w:t>60 BULLETIN NO. 9 OF MARCH 14, 2022</w:t>
        <w:br/>
        <w:t>CONSIDERING that any failure to implement the aforementioned measures results in the realization of a concentration operation in violation of the prohibition set forth in Article 6, paragraph 1, of Law No. 287/90;</w:t>
        <w:br/>
        <w:t>RESOLVES</w:t>
        <w:br/>
        <w:t>to authorize the communicated concentration operation, provided that Cinven Capital Management (VII) General Partner Limited and Fressnapf Beteiligungs GmbH fully and effectively execute the following measures prescribed pursuant to Article 6, paragraph 2, of Law No. 287/90:</w:t>
        <w:br/>
        <w:t>a) sale, within [omitted], through the sale to [omitted] third parties and independent subjects, of the [50-70] retail outlets listed in the annex to this provision;</w:t>
        <w:br/>
        <w:t>b) the purchasers of the retail outlets must meet the following requirements:</w:t>
        <w:br/>
        <w:t>i. be independent entities, including commercially, from the Parties and their affiliated companies, as well as from the individuals at the top of the Parties' control chain;</w:t>
        <w:br/>
        <w:t>ii. possess the financial means, as well as the incentive and capacity to maintain and develop, on an efficient scale, the retail activity of pet products;</w:t>
        <w:br/>
        <w:t>iii. preferably be primary operators in the sector active at the national level, and, in any case, already active in the retail sale of pet products;</w:t>
        <w:br/>
        <w:t>iv. the acquisition of the divested activity by a proposed purchaser must not create new competition problems, nor entail the risk that the implementation of the measures will be delayed;</w:t>
        <w:br/>
        <w:t>c) the agreements related to the transfer of the retail outlets referred to in measure a) must be submitted to the Authority for approval of the identity of the transferee and the agreements themselves, at least 1 month before the relevant deadlines mentioned above;</w:t>
        <w:br/>
        <w:t>d) if the purchasers of the retail outlets to be divested referred to in point a) have not been identified within the specified deadlines, the Parties must, by [omitted], divest the retail outlets in question by identifying the purchasers [omitted], granting an irrevocable mandate to a specially appointed trustee (divesture trustee) previously approved by the Authority or to the monitoring trustee referred to in letter h);</w:t>
        <w:br/>
        <w:t>e) the Parties (or the independent entity tasked with the divestiture) must provide all necessary information on the retail outlets to be divested, to allow potential purchasers to assess their value and presumed commercial capacity;</w:t>
        <w:br/>
        <w:t>f) the Parties must preserve the economic operation, marketability, and competitiveness of the retail outlets subject to the measures, in accordance with good commercial practice, during the period between the date of authorization of the Operation and the full validity and effectiveness of their divestiture;</w:t>
        <w:br/>
        <w:t>g) the Parties must [omitted] during the period between the date of authorization of the Operation and the full validity and effectiveness of the divestiture of the retail outlets referred to in point a);</w:t>
        <w:br/>
        <w:t>h) the Parties must, within [omitted] from the notification of this provision, submit to the Authority the name and curriculum vitae of the proposed trustee (monitoring trustee) for monitoring compliance with the aforementioned measures. The Parties must appoint the trustee within [omitted] from its approval by the Authority;</w:t>
        <w:br/>
        <w:t>i) the Parties must send to the Authority, within [omitted] from the notification of this provision, an initial report regarding the execution of these measures. This report must contain, among other things, a detailed description of the retail outlets referred to in point a), specifying all elements that are part of the business branches subject to transfer. The Party must send a final report confirming the transfer of the retail outlets, by [omitted], and promptly inform the Authority of any event that may affect measure a);</w:t>
        <w:br/>
        <w:t>j) the monitoring trustee must perform the following tasks:</w:t>
        <w:br/>
        <w:t>i. prior to the divestitures, monitor that the economic operation, marketability, and competitiveness of the retail outlets subject to the measures are adequately preserved by the Parties;</w:t>
        <w:br/>
        <w:t>ii. verify the progress of the divestiture process and the provision of all relevant information to potential purchasers regarding the retail outlets subject to divestiture;</w:t>
        <w:br/>
        <w:t>iii. transmit to the Authority a non-binding opinion on the technical and financial suitability as well as the independence of the potential purchasers of the retail outlets;</w:t>
        <w:br/>
        <w:t>iv. transmit to the Authority a report every 3 months from the date of its appointment, with the results of the checks carried out;</w:t>
        <w:br/>
        <w:t>k) the trustees mentioned above will act on behalf of the Authority to ensure compliance with the measures and must not present conflicts of interest that could compromise objectivity and independence in carrying out their tasks. To this end, during their mandate and for the following year, the aforementioned trustees may not have or accept any assignment from the Parties.</w:t>
        <w:br/>
        <w:t>The above measures will come into effect upon notification of the authorization provision for this operation.</w:t>
        <w:br/>
        <w:t>This provision will be notified to the interested parties and published in the Bulletin of the Italian Competition Authority.</w:t>
        <w:br/>
        <w:t>Against this provision, an appeal may be submitted to the TAR of Lazio, pursuant to Article 135, paragraph 1, letter b), of the Code of Administrative Procedure (Legislative Decree No. 104 of July 2,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notification of the provision itself.</w:t>
        <w:br/>
        <w:t>THE DEPUTY SECRETARY GENERAL THE PRESIDENT pro tempore</w:t>
        <w:br/>
        <w:t>Serena Stella Michele Ainis</w:t>
      </w:r>
    </w:p>
    <w:p>
      <w:r>
        <w:t>62 BULLETIN NO. 9 OF MARCH 14, 2022</w:t>
        <w:br/>
        <w:t>C12410B - CINVEN CAPITAL MANAGEMENT-FRESSNAPF</w:t>
        <w:br/>
        <w:t>BETEILIGUNGS/AGRIFARMA - MAXI ZOO ITALIA</w:t>
        <w:br/>
        <w:t>Annex to provision No. 30037</w:t>
        <w:br/>
        <w:t>List of retail outlets subject to divestiture</w:t>
        <w:br/>
        <w:t>No. Brand Address Municipality Province</w:t>
        <w:br/>
        <w:t>[OMITTED]</w:t>
      </w:r>
    </w:p>
    <w:p>
      <w:r>
        <w:rPr>
          <w:b/>
        </w:rPr>
        <w:t>[Pages 61–63]</w:t>
      </w:r>
    </w:p>
    <w:p>
      <w:r>
        <w:t>BULLETIN NO. 9 OF MARCH 14, 2022 63</w:t>
        <w:br/>
        <w:t>C12410B - CINVEN CAPITAL MANAGEMENT-FRESSNAPF</w:t>
        <w:br/>
        <w:t>BETEILIGUNGS/AGRIFARMA - MAXI ZOO ITALIA</w:t>
        <w:br/>
        <w:t>Appendix to provision no. 30037</w:t>
        <w:br/>
        <w:t>1. The dataset for the analysis of effects in local markets</w:t>
        <w:br/>
        <w:t>1. The analysis of the effects of the Operation at the local level started from the dataset with the isochrones provided by the Parties, which underwent several checks during the investigation that led to a series of revisions regarding the points of sale to be considered in the various catchment areas (CA) and their turnover.</w:t>
        <w:br/>
        <w:t>2. The dataset originally provided by the Parties contained:</w:t>
        <w:br/>
        <w:t>- the point of sale of Maxi Zoo centroid with the corresponding address;</w:t>
        <w:br/>
        <w:t>- a list of stores located within a 40-minute drive from the centroid, indicating the corresponding address, brand, and type (independent specialized store, store belonging to specialized chains, supermarket, hypermarket);</w:t>
        <w:br/>
        <w:t>- the turnover of the points of sale, actual and related to 2020 for the stores of Arcaplanet and Maxi Zoo, while for those of competitors an estimate based on the survey conducted by IRI regarding 2019 was provided.</w:t>
        <w:br/>
        <w:t>3. The modifications made to the original dataset aimed to correct some material errors - in many cases also resulting in a more favorable outcome for the Parties - and to more accurately estimate the size, in terms of turnover, of competitors within each isochrone, as will be better explained below.</w:t>
        <w:br/>
        <w:t>4. Regarding the first aspect, some observations were removed from the dataset as the checks carried out revealed that they were i) closed or non-existent points of sale1 ii) duplicates of stores already present in the same isochrone, iii) stores with brands not related to the sale of pet food and accessories2.</w:t>
        <w:br/>
        <w:t>5. Another "cleaning" activity of the dataset involved modifying the type of some points of sale, an aspect likely to affect the estimation of both market shares and diversion ratios. In particular, some stores that had been incorrectly indicated in the dataset as independent points of sale were changed to points of sale belonging to specialized chains, thus adopting a more cautious approach for the Parties3.</w:t>
        <w:br/>
        <w:t>6. Finally, as part of the detailed revision of the initial dataset, with the aim of representing the most recent market developments as accurately as possible, the points of sale under the brand “ZooMegastore” were attributed to the chain “Isola dei Tesori,” in order to account for the recent acquisition by the latter of the ZooMegastore chain4.</w:t>
        <w:br/>
        <w:t>7. Regarding turnover data, the modifications to the dataset provided by the Parties were essentially of two types:</w:t>
        <w:br/>
        <w:t>- attribution of the actual turnover - rather than the estimated one - achieved in 2020 to the competing points of sale belonging to the specialized chains of Isola dei Tesori, Conad, Iper, Coop, Selex, Croce Azzurra, Petmark, and Zooplanet5;</w:t>
        <w:br/>
        <w:t>- use of IRI turnover estimates (see following table) related to 2020 instead of 2019, and application of a correction factor - to account not only for the turnover generated from the sale of dog and cat food referred to in the IRI survey but also for accessory segments and food for other animals - partially different from that used by the Parties*,6.</w:t>
        <w:br/>
        <w:t>4 This change of brand concerned 300 observations.</w:t>
        <w:br/>
        <w:t>5 Where points of sale were opened during 2020, the actual turnover was annualized - as done by the Parties for their points of sale - i) by dividing it by the number of days of operation during 2020 and ii) multiplying this average daily turnover by 366. For stores opened during 2021, they were attributed the average turnover achieved by the points of sale of the belonging chain, also considering the annualized turnover of stores that were opened during 2020. In the case of the Isola dei Tesori chain, since the turnover of points of sale varies considerably depending on whether they are owned or franchised, and whether they are located in Brico Centers or not, points of sale opened during 2021 (or for which data was not available) were attributed an average 2020 turnover calculated taking into account the type of store in question. In particular, the turnover of franchised points of sale - where missing - was estimated considering the average 2020 data calculated for that type of store, and similarly, the turnover of corners within Brico Centers was quantified by referring to the average revenues generated by them during 2020. For Zooplanet points of sale, data for 2021 was provided.</w:t>
        <w:br/>
        <w:t>* In this version, some data is omitted, as elements of confidentiality or secrecy of the information were deemed to exist.</w:t>
        <w:br/>
        <w:t>6 This correction factor, set by the Parties at [65-70%] for pet shops and [85-90%] for GDO, was calculated at [65-70%] for pet shops, which corresponds to the average (weighted) incidence of the food segment for dogs and cats on the turnover achieved by the points of sale of the Parties (see doc.51). The re-parameterization of the turnover estimate indicated by IRI was instead carried out for non-specialized points of sale of GDO by applying a correction factor of 92%, as from the data contained in the Assalco 2021 Report, the sales in value of food products for dogs and cats of GDO amounted to 975.5 million euros out of a total of 1065.8 million, against sales of food products for other animals amounting to 12 million euros and sales related to pet accessories amounting to 78.3 million euros.</w:t>
      </w:r>
    </w:p>
    <w:p>
      <w:r>
        <w:t>BULLETIN NO. 9 OF MARCH 14, 2022 65</w:t>
        <w:br/>
        <w:t>Table A1 - Estimated turnovers of competing points of sale by type of store</w:t>
        <w:br/>
        <w:t>Estimate Turnover Estimate Turnover of</w:t>
        <w:br/>
        <w:t>Types of points of sale Macroarea</w:t>
        <w:br/>
        <w:t>used (euros) Parties (euros)</w:t>
        <w:br/>
        <w:t>Pet shop chains North-west 997,524 1,000,000</w:t>
        <w:br/>
        <w:t>Pet shop chains North-east 997,524 1,000,000</w:t>
        <w:br/>
        <w:t>Pet shop chains Center 997,524 1,000,000</w:t>
        <w:br/>
        <w:t>Pet shop chains South 997,524 1,000,000</w:t>
        <w:br/>
        <w:t>Independent specialized stores North-west 249,744 283,388</w:t>
        <w:br/>
        <w:t>Independent specialized stores North-east 195,096 224,227</w:t>
        <w:br/>
        <w:t>Independent specialized stores Center 178,860 204,897</w:t>
        <w:br/>
        <w:t>Independent specialized stores South 105,468 144,176</w:t>
        <w:br/>
        <w:t>Hypermarkets 4 500 sqm or more North-west 502,308 554,160</w:t>
        <w:br/>
        <w:t>Hypermarkets 4 500 sqm or more North-east 435,240 364,651</w:t>
        <w:br/>
        <w:t>Hypermarkets 4 500 sqm or more Center 322,488 451,195</w:t>
        <w:br/>
        <w:t>Hypermarkets 4 500 sqm or more South 243,648 322,817</w:t>
        <w:br/>
        <w:t>Hypermarkets 2 500 - 4,499 sqm North-west 502,308 555,004</w:t>
        <w:br/>
        <w:t>Hypermarkets 2 500 - 4,499 sqm North-east 435,240 364,075</w:t>
        <w:br/>
        <w:t>Hypermarkets 2 500 - 4,499 sqm Center 322,488 452,360</w:t>
        <w:br/>
        <w:t>Hypermarkets 2 500 - 4,499 sqm South 243,648 296,909</w:t>
        <w:br/>
        <w:t>Supermarkets 1 500 - 2,499 sqm North-west 412,462 332,528</w:t>
        <w:br/>
        <w:t>Supermarkets 1 500 - 2,499 sqm North-east 280,879 220,461</w:t>
        <w:br/>
        <w:t>Supermarkets 1 500 - 2,499 sqm Center 192,313 271,416</w:t>
        <w:br/>
        <w:t>Supermarkets 1 500 - 2,499 sqm South 93,626 160,379</w:t>
        <w:br/>
        <w:t>2. Results of the SSNIP test</w:t>
        <w:br/>
        <w:t>8. For the purposes of defining the relevant market, and thus in the perspective of verifying which types of points of sale can be considered substitutable for consumers to specialized chain stores, the so-called SSNIP test was conducted, analyzing the responses from the survey, aimed at investigating their reaction to a price increase - in this case set at 10% - at the points of sale in question.</w:t>
        <w:br/>
        <w:t>9. The survey allowed for the implementation of two versions of the test. On one hand, the reaction of consumers to a price increase of only specialized chains was evaluated (“SSNIP test 1”), while on the other hand, this reaction was examined considering the price increase of all pet shops, including independent stores (“SSNIP test 2”). In both cases, consumers were presented with a set of questions aimed at understanding whether i) they would potentially turn to another type of point of sale for at least part of their purchases and, if so, ii)</w:t>
      </w:r>
    </w:p>
    <w:p>
      <w:r>
        <w:rPr>
          <w:b/>
        </w:rPr>
        <w:t>[Pages 64–66]</w:t>
      </w:r>
    </w:p>
    <w:p>
      <w:r>
        <w:t>66 BULLETIN NO. 9 OF MARCH 14, 2022</w:t>
        <w:br/>
        <w:t>towards which type of retail outlet they would shift their PET purchases, as well as iii) the portion of spending they would redirect.</w:t>
        <w:br/>
        <w:t>10. Both tests were conducted to verify whether specialized chains are considered substitutable in the eyes of consumers with other types of retail outlets. However, while test SSNIP 1 was conducted starting from the definition of the market - from a product perspective - that is more restricted, including only specialized chains, test SSNIP 2 was constructed, as in the previous C12139 - Noah/Mondial Pet Distribution, assuming that independent stores are already part of the market (of specialized chains) in which the Parties operate. This latter approach was also adopted in order to compare the results of this survey with those of the investigation conducted in 2018.</w:t>
        <w:br/>
        <w:t>11. In both cases, the test was implemented through the so-called critical loss analysis, which allows verifying whether, following a price increase (in this case of 10%), the effect of expanding the unit margin on the quantities that are still sold (margin effect) prevails or the effect of reducing these quantities due to the loss of demand that is redirected to other retail outlets (quantity effect). According to this approach, a so-called critical loss is identified that makes the two effects equivalent. Consequently, any actual loss greater than the critical loss (CL*) - which depends both on the percentage of price increase and the margins achieved by the hypothetical monopolist before the increase - does not make the price increase profitable and thus leads to identifying a broader market than that initially considered.</w:t>
        <w:br/>
        <w:t>12. From a methodological perspective, the two tests were constructed based on a different set of questions addressed to groups of respondents that partially overlap. In fact, while test SSNIP 1 was conducted considering the reactions to the price increase of only the chains by consumers who indicated that they make at least part of their purchases at specialized chains, test SSNIP 2 was constructed considering the responses from both chain customers and consumers who indicated that they go to independent retail outlets.</w:t>
        <w:br/>
        <w:t>13. From test SSNIP 1, it emerged that the percentage of spending from the chains that would be redirected to other channels would be approximately 22% (22.4%), a value lower than the critical loss - quantifiable at [25-30%] against an average margin of the Parties in the years 2019-2020 of [25-30%] and considering a price increase of 10% - a result that would lean towards including in the product market only the specialized chains.</w:t>
        <w:br/>
        <w:t>14. Among the channels to which spending from the chains should shift, online constitutes the first in order of importance. This channel would indeed receive about 38% of the spending made at the chains, while the second choice in order of importance would be specialized independent retail outlets (24%). GDO retail outlets, namely hypermarkets and supermarkets, would channel a more limited percentage of spending, equal to 16% and 15%, respectively.</w:t>
        <w:br/>
        <w:t>15. Therefore, despite the results of the survey indicating that the relevant product market should only include specialized chains, a second version of the test (test SSNIP 2) was also implemented in order to compare the new results with those obtained from the previous survey. In this context, it emerged that the overall spending at all pet shops (both chains and specialized independent stores) that would shift following a price increase is approximately 19%. This implies that the actual loss would be far lower than the critical value of [25-30%], with a demand reaction less than proportional to the magnitude of the price change.</w:t>
        <w:br/>
        <w:t>16. The results of the new survey, therefore, further reinforce the evidence that emerged from the survey conducted in 2018, according to which the relevant market cannot include additional types of retail outlets.</w:t>
        <w:br/>
        <w:t>17. Finally, in line with test SSNIP 1, online constitutes the main channel to which spending made at pet shops would shift, followed by supermarkets and hypermarkets.</w:t>
        <w:br/>
        <w:t>3. Estimation of diversion ratios</w:t>
        <w:br/>
        <w:t>18. The objective of the analysis is to assess the competitive impact of the operation in the affected local markets, taking into account some factors that may influence the degree of competitive pressure exerted by each retail outlet in the local area.</w:t>
        <w:br/>
        <w:t>19. In this perspective, the degree of substitutability of each retail outlet within each isochrone with respect to the retail outlets on which they are centered (centroids) was considered. This substitutability ratio, which provides an indication of the competitive pressure that a retail outlet can exert on the centroid, is measured through the so-called diversion ratios.</w:t>
        <w:br/>
        <w:t>20. In particular, the diversion ratios between the Parties, aimed at estimating their competitive proximity, indicate what portion of the sales overall lost by the stores of one of the two (following a deterioration of their offer in terms of price, quality, assortment, services offered) shifts to the retail outlets belonging to the distribution chain of the other. In this context, the higher the diversion ratios between the companies subject to the concentration, the higher the sales that the concentration will allow to internalize, making price increases profitable.</w:t>
        <w:br/>
        <w:t>21. Not having the possibility to directly estimate the diversion ratios, they were constructed by assigning to each retail outlet a competitive pressure index (IPC in the formulas that follow), which is in turn defined based on its degree of substitutability with respect to the centroids - constituted in this case by the retail outlets of Maxi Zoo - of the local markets of belonging. This substitutability was estimated based on the following two factors, under the reasonable assumption that they are relevant in the consumer's choice:</w:t>
        <w:br/>
        <w:t>- distance of a retail outlet from the centroid in terms of travel time (minutes of driving): a retail outlet closer to the centroid exerts, all else being equal, a greater degree of competitive pressure than one further away;</w:t>
        <w:br/>
        <w:t>- type: a retail outlet can exert a different degree of competitive pressure on the centroid, all else being equal, depending on whether it is, for example, an independent outlet or a store of another chain.</w:t>
        <w:br/>
        <w:t>22. Once the competitive pressure index of the individual retail outlets present in each CA was calculated, the overall competitive pressure index of the Party - in this case Arcaplanet - on the retail outlets defined as centroids of Maxi Zoo was measured. This is in order to estimate the competitive constraint exerted by Arcaplanet on the Maxi Zoo chain, a constraint that would cease to exist following the operation.</w:t>
      </w:r>
    </w:p>
    <w:p>
      <w:r>
        <w:rPr>
          <w:b/>
        </w:rPr>
        <w:t>[Pages 67–69]</w:t>
      </w:r>
    </w:p>
    <w:p>
      <w:r>
        <w:t>BULLETIN NO. 9 OF MARCH 14, 2022 69</w:t>
        <w:br/>
        <w:t>(1)</w:t>
        <w:br/>
        <w:t>∑ (i∈S)(P(i)∗Q(i))</w:t>
        <w:br/>
        <w:t>where:</w:t>
        <w:br/>
        <w:t>indicates the points of sale that belong to the Arcaplanet chain</w:t>
        <w:br/>
        <w:t>i ∈ (1, 2, ..., n), are the values assumed by the type and distance factors of each point of sale.</w:t>
        <w:br/>
        <w:t>P(i) Q(i)</w:t>
        <w:br/>
        <w:t>23. The overall competitive pressure exerted by Arcaplanet on the Maxi Zoo points of sale has then been expressed in relative terms, that is, it has been related to the level of competitive pressure exerted on the centroid by all competing points of sale present in the CA (C):</w:t>
        <w:br/>
        <w:t>(2)</w:t>
        <w:br/>
        <w:t>C = ∑ (j∈C)(P(j)∗Q(j))</w:t>
        <w:br/>
        <w:t>where:</w:t>
        <w:br/>
        <w:t>indicates the competing points of sale of the stores under the Maxi Zoo brand17.</w:t>
        <w:br/>
        <w:t>j ≠ (k∈C) P(j) Q(j)</w:t>
        <w:br/>
        <w:t>24. In this framework, therefore, the relationship between C and C can be interpreted as an estimate of the diversion ratio of Arcaplanet from the centroid points of Maxi Zoo:</w:t>
        <w:br/>
        <w:t>(3)</w:t>
        <w:br/>
        <w:t>D = C/C</w:t>
        <w:br/>
        <w:t>25. From a perspective favorable to the Parties, in order to take into account the possibility that, in the event of a price increase at the Maxi Zoo points of sale, consumers may choose to shop through other sales channels not included in the product market (so-called “outside option”), it is possible to apply to the diversion ratios a re-parametrization factor that allows for the inclusion of the competitive pressure from such channels:</w:t>
        <w:br/>
        <w:t>(4)</w:t>
        <w:br/>
        <w:t>D' = D*(1−(θ))</w:t>
        <w:br/>
        <w:t>D = C/C</w:t>
        <w:br/>
        <w:t>Estimation of choice factors</w:t>
        <w:br/>
        <w:t>26. The survey allowed for the collection of useful information to quantify the different degree of substitutability of the points of sale with respect to the centroids of each isochrone.</w:t>
        <w:br/>
        <w:t>27. Regarding the quantification of the “type” factor (P(i)), it was intended to consider the ability of the points of sale to attract customers from the chains in the event that their reference chain was no longer available (identification of second choices). In fact, this factor was estimated</w:t>
        <w:br/>
        <w:t>17 In the case of CA where Maxi Zoo had other points of sale besides the centroid, the possibility that these latter capture a portion of the sales lost by the centroid is not considered. In other words, it is as if the other Maxi Zoo stores present in the isochrone also increased their prices, just like the centroid point of sale.</w:t>
      </w:r>
    </w:p>
    <w:p>
      <w:r>
        <w:t>70 BULLETIN NO. 9 OF MARCH 14, 2022</w:t>
        <w:br/>
        <w:t>for each physical point of sale considering the responses to question D21, taking into account for each respondent their statistical weight and the corresponding expenditure made at the chains19.</w:t>
        <w:br/>
        <w:t>28. The substitutability of the physical points of sale within the product market and present within the CAs is reported in the following table:</w:t>
        <w:br/>
        <w:t>Table A2. Values of the type choice factor</w:t>
        <w:br/>
        <w:t>Competing PV Values</w:t>
        <w:br/>
        <w:t>Another point of sale of a specialized chain 0.50</w:t>
        <w:br/>
        <w:t>Independent specialized PV 0.15</w:t>
        <w:br/>
        <w:t>29. The “distance” factor of each point of sale from the centroid was instead identified in such a way that this factor is inversely proportional to the distance, in order to highlight how the competitive constraint of the points of sale decreases as the distance from the centroid increases. In this regard, two alternative mathematical formulas, one linear and one quadratic, were applied for greater robustness of the results obtained:</w:t>
        <w:br/>
        <w:t>P(i) = (1−(d(i)/D))^2</w:t>
        <w:br/>
        <w:t>P(i) = (1−(d(i)/D))</w:t>
        <w:br/>
        <w:t>Estimation of the outside option</w:t>
        <w:br/>
        <w:t>30. As anticipated, in order to potentially take into account in the analysis the competitive constraint exerted by the types of channels excluded from the product market, the so-called outside option was estimated.</w:t>
        <w:br/>
        <w:t>31. For this estimate - in an extremely cautious manner for the Parties - the approach of considering the share of expenditure that would “exit” the market, in the event of unavailability or price increases not only of the centroid but also of all the points of sale present in the isochrone belonging to the product market, was followed.</w:t>
        <w:br/>
        <w:t>32. Therefore, in considering the share of expenditure exiting the market following the price increases of all the points of sale that belong to it - specialized chains and independent stores - the results of the SSNIP 2 test were used, from which it emerged that the amount of the shift in expenditure initially made at such points of sale is around 19%20.</w:t>
        <w:br/>
        <w:t>18 Question D.21 is formulated as follows: “If the chain were no longer available, which point of sale would you turn to instead?” To this question, consumers could indicate only one answer among the following: 1. “point of sale belonging to another specialized chain for pet products”; 2. “small independent store specialized in pet products”; 3. “online store”; 4. “Hypermarket”; 5. “Supermarket”; 6. “Small supermarket or minimarket”; 7. “Discount store”; 8. “Another non-specialized point of sale”; 9. “I don’t know”.</w:t>
        <w:br/>
        <w:t>19 Since each respondent was assigned a different weight in the survey, their weighted expenditure at chains was considered, that is, the amount of expenditure they made at the chains multiplied by the corresponding weight.</w:t>
        <w:br/>
        <w:t>20 See results to questions D.23, D.24, and D.25 above.</w:t>
      </w:r>
    </w:p>
    <w:p>
      <w:r>
        <w:t>BULLETIN NO. 9 OF MARCH 14, 2022 71</w:t>
        <w:br/>
        <w:t>4. Results of the analysis at the local level and impact of the proposed measures</w:t>
        <w:br/>
        <w:t>33. For the analysis of the effects of the operation in local markets, some structural indices widely used in community and national practice were developed, along with the diversion ratios. These indicators include, in addition to the joint market share of the Parties, also the distance of the post-merger entity from the second operator in terms of market share and the Herfindahl-Hirschmann Index (“HHI”).</w:t>
        <w:br/>
        <w:t>34. From the perspective of calculating market shares at the local level, including online sales, the joint market share of the Parties was calculated considering - for the purpose of computing their revenue - that, based on the data provided by them, the revenue generated by Arcaplanet through the online channel is overall equal to [5-10%] of the revenue generated by its network of points of sale, while Maxi Zoo does not make online sales. To also quantify the overall size of each local market, the revenue generated by the physical stores present in each isochrone was increased by 15% to include online sales, an estimate in line with the data provided by the Parties21.</w:t>
        <w:br/>
        <w:t>35. Furthermore, from a perspective favorable to the Parties, the other structural indices were developed based on the following criteria:</w:t>
        <w:br/>
        <w:t>- regarding the distance from the second operator, in calculating the market share of the latter, an estimate of the revenue generated through any online sales was added to the revenue generated by the physical stores present in each isochrone. This estimate of the online revenue of the second operator was set at 2% of the revenue generated by its physical network of points of sale22. This index refers to the distance from the second physical operator present in each isochrone;</w:t>
        <w:br/>
        <w:t>- in relation to the calculation of the HHI, a minimum value of the same is provided, insofar as online sales of both competitors with physical stores and competitors that only make online sales (e.g., Zooplus, Amazon) are not taken into account. In other words, i) the market shares of competitors with points of sale in the isochrones do not include an estimate of online sales23; ii) only the market shares - appropriately squared - of the operators (Parties and competitors) with physical stores present in the isochrones were summed, without considering the total share attributable to operators active only online24.</w:t>
        <w:br/>
        <w:t>36. In Table A.3, the values of all the indicators used in the evaluation of the operation for the 129 local markets where horizontal overlaps occur are reported.</w:t>
        <w:br/>
        <w:t>37. In Tables A.4 and A.5, the impact of the measures proposed by the Parties on the values of all the indicators used in the evaluation of the operation for the 78 local markets on which they were</w:t>
      </w:r>
    </w:p>
    <w:p>
      <w:r>
        <w:rPr>
          <w:b/>
        </w:rPr>
        <w:t>[Pages 70–72]</w:t>
      </w:r>
    </w:p>
    <w:p>
      <w:r>
        <w:t>72 BULLETIN NO. 9 OF MARCH 14, 2022</w:t>
        <w:br/>
        <w:t>highlighted competitive criticalities. In particular, Table A.4 shows the local markets where, as a result of the transfer of the centroid, the risk of creating or strengthening a dominant position of the Parties is eliminated. Table A.5 illustrates how in the other isochrones, due to the proposed divestitures, the competitive criticalities are alleviated from a structural and/or competitive proximity perspective, achieving at least one of the following conditions:</w:t>
        <w:br/>
        <w:t>- joint market share less than or equal to 40%;</w:t>
        <w:br/>
        <w:t>- delta less than 250 if the HHI is greater than or equal to 1,000 and less than or equal to 2,000 or delta less than 150 if the HHI exceeds 2,000;</w:t>
        <w:br/>
        <w:t>- distance from the second physical operator, in terms of market share, less than or equal to 10 percentage points;</w:t>
        <w:br/>
        <w:t>- diversion ratio less than or equal to 20%.</w:t>
      </w:r>
    </w:p>
    <w:p>
      <w:r>
        <w:t>BULLETIN NO. 9 OF MARCH 14, 2022 73</w:t>
        <w:br/>
        <w:t>Table A.3 - Overview of structural indices and competitive proximity in the 129 local markets where horizontal overlaps between the Parties occur</w:t>
        <w:br/>
        <w:t>without outside option with outside option Distance</w:t>
        <w:br/>
        <w:t>HHI HHI</w:t>
        <w:br/>
        <w:t>Share Share Share 1st Share from share delta</w:t>
        <w:br/>
        <w:t>No. Isochrone pre post</w:t>
        <w:br/>
        <w:t>DR dist. DR dist. DR dist. DR dist. Parties Arcaplanet Maxi Zoo oper. 2nd oper. 2nd oper. HHI</w:t>
        <w:br/>
        <w:t>merger merger</w:t>
        <w:br/>
        <w:t>quadratic linear quadratic linear (p.p)</w:t>
        <w:br/>
        <w:t>1 [omitted] 23 30 19 25 [50-55%] [30-35%] [15-20%] Parties [20-25%] [25-30] 1991 3211 1220</w:t>
        <w:br/>
        <w:t>2 [omitted] 61 58 50 47 [45-50%] [35-40%] [5-10%] Parties [15-20%] [30-35] 2028 2634 607</w:t>
        <w:br/>
        <w:t>3 [omitted] 32 31 26 25 [35-40%] [30-35%] [5-10%] Parties [5-10%] [25-30] 1124 1504 379</w:t>
        <w:br/>
        <w:t>4 [omitted] 42 39 34 32 [40-45%] [30-35%] [10-15%] Parties [5-10%] [35-40] 1125 1815 690</w:t>
        <w:br/>
        <w:t>5 [omitted] 37 34 30 27 [35-40%] [25-30%] [10-15%] Parties [1-5%] [35-40] 982 1580 597</w:t>
        <w:br/>
        <w:t>6 [omitted] 31 40 25 33 [55-60%] [30-35%] [20-25%] Parties [1-5%] [50-55] 1684 3131 1447</w:t>
        <w:br/>
        <w:t>7 [omitted] 29 27 23 21 [30-35%] [20-25%] [10-15%] Parties [25-30%] [5-10] 1380 1847 467</w:t>
        <w:br/>
        <w:t>9 [omitted] 21 23 17 19 [30-35%] [15-20%] [10-15%] Parties [10-15%] [15-20] 707 1173 466</w:t>
        <w:br/>
        <w:t>10 [omitted] 80 65 65 53 [40-45%] [25-30%] [15-20%] Parties [25-30%] [10-15] 1997 2911 915</w:t>
        <w:br/>
        <w:t>11 [omitted] 16 23 13 19 [30-35%] [10-15%] [15-20%] other [30-35%] [0-5] 2286 2738 452</w:t>
        <w:br/>
        <w:t>12 [omitted] 48 44 39 35 [55-60%] [30-35%] [15-20%] Parties [5-10%] [45-50] 1686 3173 1487</w:t>
        <w:br/>
        <w:t>13 [omitted] 41 38 33 31 [50-55%] [25-30%] [15-20%] Parties [5-10%] [45-50] 1463 2835 1372</w:t>
        <w:br/>
        <w:t>14 [omitted] 21 15 17 13 [15-20%] [10-15%] [5-10%] other [15-20%] [-5-0] 972 1114 143</w:t>
        <w:br/>
        <w:t>15 [omitted] 50 49 40 40 [45-50%] [35-40%] [10-15%] Parties [5-10%] [40-45] 1473 2246 773</w:t>
        <w:br/>
        <w:t>16 [omitted] 41 34 33 28 [40-45%] [15-20%] [20-25%] Parties [15-20%] [20-25] 1396 2313 917</w:t>
        <w:br/>
        <w:t>17 [omitted] 62 52 50 42 [45-50%] [15-20%] [25-30%] Parties [5-10%] [35-40] 1500 2517 1017</w:t>
      </w:r>
    </w:p>
    <w:p>
      <w:r>
        <w:t>74 BULLETIN NO. 9 OF MARCH 14, 2022</w:t>
        <w:br/>
        <w:t>without outside option with outside option Distance</w:t>
        <w:br/>
        <w:t>HHI HHI</w:t>
        <w:br/>
        <w:t>Share Share Share 1st Share from share delta</w:t>
        <w:br/>
        <w:t>No. Isochrone pre post</w:t>
        <w:br/>
        <w:t>DR dist. DR dist. DR dist. DR dist. Parties Arcaplanet Maxi Zoo oper. 2nd oper. 2nd oper. HHI</w:t>
        <w:br/>
        <w:t>merger merger</w:t>
        <w:br/>
        <w:t>quadratic linear quadratic linear (p.p)</w:t>
        <w:br/>
        <w:t>18 [omitted] 1 7 1 6 [50-55%] [35-40%] [15-20%] Parties [5-10%] [45-50] 1851 3030 1179</w:t>
        <w:br/>
        <w:t>19 [omitted] 28 26 22 21 [45-50%] [10-15%] [35-40%] Parties [5-10%] [40-45] 1531 2335 805</w:t>
        <w:br/>
        <w:t>20 [omitted] 12 18 10 15 [40-45%] [15-20%] [20-25%] Parties [20-25%] [20-25] 1390 2254 864</w:t>
        <w:br/>
        <w:t>21 [omitted] 51 42 41 34 [30-35%] [30-35%] [1-5%] Parties [10-15%] [20-25] 1530 1660 129</w:t>
        <w:br/>
        <w:t>22 [omitted] 17 20 14 16 [20-25%] [10-15%] [10-15%] other [20-25%] [0 - -5] 1500 1733 232</w:t>
        <w:br/>
        <w:t>23 [omitted] 36 39 29 31 [45-50%] [30-35%] [10-15%] Parties [5-10%] [35-40] 1411 2290 879</w:t>
        <w:br/>
        <w:t>24 [omitted] 21 27 17 22 [50-55%] [25-30%] [20-25%] Parties [15-20%] [35-40] 1726 3121 1395</w:t>
        <w:br/>
        <w:t>25 [omitted] 20 36 16 29 [50-55%] [30-35%] [15-20%] Parties [10-15%] [40-45] 1709 2958 1249</w:t>
        <w:br/>
        <w:t>26 [omitted] 2 10 2 8 [55-60%] [25-30%] [30-35%] Parties [10-15%] [45-50] 1959 3671 1712</w:t>
        <w:br/>
        <w:t>27 [omitted] 51 34 41 28 [55-60%] [1-5%] [50-55%] Parties [10-15%] [45-50] 3199 3566 367</w:t>
        <w:br/>
        <w:t>28 [omitted] 48 40 39 32 [40-45%] [10-15%] [30-35%] Parties [5-10%] [35-40] 1201 2056 855</w:t>
        <w:br/>
        <w:t>29 [omitted] 31 30 25 25 [55-60%] [25-30%] [25-30%] Parties [5-10%] [45-50] 1621 3159 1538</w:t>
        <w:br/>
        <w:t>30 [omitted] 63 57 51 46 [55-60%] [35-40%] [15-20%] Parties [20-25%] [30-35] 2299 3699 1399</w:t>
        <w:br/>
        <w:t>31 [omitted] 34 38 27 30 [50-55%] [30-35%] [15-20%] Parties [1-5%] [50-55] 1548 2848 1300</w:t>
        <w:br/>
        <w:t>32 [omitted] 15 26 12 21 [50-55%] [30-35%] [20-25%] Parties [5-10%] [45-50] 1638 3005 1367</w:t>
        <w:br/>
        <w:t>33 [omitted] 31 30 25 24 [35-40%] [30-35%] [1-5%] Parties [5-10%] [25-30] 1382 1462 79</w:t>
        <w:br/>
        <w:t>34 [omitted] 22 27 18 22 [55-60%] [20-25%] [30-35%] Parties [10-15%] [45-50] 1952 3495 1544</w:t>
      </w:r>
    </w:p>
    <w:p>
      <w:r>
        <w:rPr>
          <w:b/>
        </w:rPr>
        <w:t>[Pages 73–75]</w:t>
      </w:r>
    </w:p>
    <w:p>
      <w:r>
        <w:t>BULLETIN NO. 9 OF MARCH 14, 2022 75</w:t>
        <w:br/>
        <w:t>without outside option with outside option Distance</w:t>
        <w:br/>
        <w:t>HHI HHI</w:t>
        <w:br/>
        <w:t>Share Share Share 1st Share from share delta</w:t>
        <w:br/>
        <w:t>No. Isochrone pre post</w:t>
        <w:br/>
        <w:t>DR dist. DR dist. DR dist. DR dist. Parties Arcaplanet Maxi Zoo oper. 2nd oper. 2nd oper. HHI</w:t>
        <w:br/>
        <w:t>merger merger</w:t>
        <w:br/>
        <w:t>quadratic linear quadratic linear (p.p)</w:t>
        <w:br/>
        <w:t>35 [omitted] 39 38 32 31 [45-50%] [30-35%] [15-20%] Parties [1-5%] [40-45] 1266 2328 1062</w:t>
        <w:br/>
        <w:t>36 [omitted] 43 38 35 31 [35-40%] [20-25%] [10-15%] Parties [5-10%] [30-35] 749 1377 629</w:t>
        <w:br/>
        <w:t>37 [omitted] 40 37 32 30 [40-45%] [30-35%] [5-10%] Parties [35-40%] [5-10] 2426 2956 530</w:t>
        <w:br/>
        <w:t>38 [omitted] 36 32 29 26 [35-40%] [10-15%] [20-25%] Parties [15-20%] [20-25] 1186 1842 656</w:t>
        <w:br/>
        <w:t>39 [omitted] 27 19 22 16 [10-15%] [5-10%] [1-5%] other [20-25%] [-10 - -5] 1377 1460 83</w:t>
        <w:br/>
        <w:t>40 [omitted] 33 31 27 25 [50-55%] [20-25%] [30-35%] Parties [5-10%] [40-45] 1554 2796 1241</w:t>
        <w:br/>
        <w:t>41 [omitted] 29 32 23 26 [40-45%] [25-30%] [15-20%] Parties [15-20%] [25-30] 1181 1977 796</w:t>
        <w:br/>
        <w:t>42 [omitted] 46 39 37 31 [55-60%] [25-30%] [30-35%] Parties [5-10%] [50-55] 1737 3350 1613</w:t>
        <w:br/>
        <w:t>44 [omitted] 0 0 0 0 [35-40%] [5-10%] [30-35%] Parties [25-30%] [10-15] 1802 2301 500</w:t>
        <w:br/>
        <w:t>45 [omitted] 27 27 22 22 [45-50%] [10-15%] [30-35%] Parties [1-5%] [40-45] 1353 2253 900</w:t>
        <w:br/>
        <w:t>46 [omitted] 42 45 34 36 [65-70%] [30-35%] [35-40%] Parties [1-5%] [65-70] 2400 4760 2359</w:t>
        <w:br/>
        <w:t>47 [omitted] 52 53 42 43 [55-60%] [35-40%] [15-20%] Parties [1-5%] [55-60] 1841 3238 1397</w:t>
        <w:br/>
        <w:t>48 [omitted] 8 16 7 13 [40-45%] [15-20%] [25-30%] Parties [10-15%] [30-35] 1474 2427 952</w:t>
        <w:br/>
        <w:t>49 [omitted] 29 28 24 23 [45-50%] [35-40%] [10-15%] Parties [1-5%] [45-50] 1635 2439 804</w:t>
        <w:br/>
        <w:t>50 [omitted] 32 28 26 22 [25-30%] [10-15%] [10-15%] other [25-30%] [0-5] 1938 2312 374</w:t>
        <w:br/>
        <w:t>51 [omitted] 63 54 51 43 [50-55%] [35-40%] [10-15%] Parties [1-5%] [45-50] 1700 2674 975</w:t>
        <w:br/>
        <w:t>52 [omitted] 27 23 22 19 [45-50%] [15-20%] [25-30%] Parties [15-20%] [25-30] 1442 2451 1009</w:t>
      </w:r>
    </w:p>
    <w:p>
      <w:r>
        <w:t>76 BULLETIN NO. 9 OF MARCH 14, 2022</w:t>
        <w:br/>
        <w:t>without outside option with outside option Distance</w:t>
        <w:br/>
        <w:t>HHI HHI</w:t>
        <w:br/>
        <w:t>Share Share Share 1st Share from share delta</w:t>
        <w:br/>
        <w:t>No. Isochrone pre post</w:t>
        <w:br/>
        <w:t>DR dist. DR dist. DR dist. DR dist. Parties Arcaplanet Maxi Zoo oper. 2nd oper. 2nd oper. HHI</w:t>
        <w:br/>
        <w:t>merger merger</w:t>
        <w:br/>
        <w:t>quadratic linear quadratic linear (p.p)</w:t>
        <w:br/>
        <w:t>53 [omitted] 51 39 41 32 [35-40%] [20-25%] [15-20%] Parties [25-30%] [10-15] 1612 2355 744</w:t>
        <w:br/>
        <w:t>54 [omitted] 55 53 44 43 [50-55%] [30-35%] [20-25%] Parties [1-5%] [45-50] 1576 2924 1349</w:t>
        <w:br/>
        <w:t>55 [omitted] 18 19 15 15 [45-50%] [10-15%] [30-35%] Parties [1-5%] [40-45] 1272 2186 914</w:t>
        <w:br/>
        <w:t>56 [omitted] 34 39 27 31 [45-50%] [30-35%] [15-20%] Parties [5-10%] [40-45] 1485 2580 1095</w:t>
        <w:br/>
        <w:t>57 [omitted] 30 29 24 23 [45-50%] [25-30%] [20-25%] Parties [10-15%] [35-40] 1473 2701 1228</w:t>
        <w:br/>
        <w:t>58 [omitted] 15 16 12 13 [15-20%] [10-15%] [1-5%] other [15-20%] [0-5] 1232 1358 126</w:t>
        <w:br/>
        <w:t>59 [omitted] 30 27 24 22 [45-50%] [10-15%] [30-35%] Parties [1-5%] [40-45] 1359 2286 927</w:t>
        <w:br/>
        <w:t>60 [omitted] 21 22 17 18 [35-40%] [15-20%] [15-20%] Parties [10-15%] [25-30] 941 1710 769</w:t>
        <w:br/>
        <w:t>61 [omitted] 22 22 18 18 [35-40%] [35-40%] [1-5%] Parties [10-15%] [25-30] 1447 1737 289</w:t>
        <w:br/>
        <w:t>62 [omitted] 49 49 40 40 [50-55%] [40-45%] [5-10%] Parties [5-10%] [40-45] 2219 2916 697</w:t>
        <w:br/>
        <w:t>63 [omitted] 24 26 19 21 [35-40%] [25-30%] [10-15%] Parties [25-30%] [10-15] 1725 2407 682</w:t>
        <w:br/>
        <w:t>64 [omitted] 31 34 25 28 [40-45%] [25-30%] [10-15%] Parties [15-20%] [20-25] 1304 1945 642</w:t>
        <w:br/>
        <w:t>65 [omitted] 38 40 31 33 [50-55%] [25-30%] [25-30%] Parties [10-15%] [40-45] 1657 3129 1472</w:t>
        <w:br/>
        <w:t>66 [omitted] 3 10 3 8 [50-55%] [15-20%] [35-40%] Parties [5-10%] [40-45] 1643 2783 1139</w:t>
        <w:br/>
        <w:t>67 [omitted] 19 21 15 17 [50-55%] [45-50%] [5-10%] Parties [20-25%] [30-35] 2717 3274 557</w:t>
        <w:br/>
        <w:t>68 [omitted] 48 41 39 33 [45-50%] [35-40%] [5-10%] Parties [20-25%] [20-25] 2193 2892 699</w:t>
        <w:br/>
        <w:t>69 [omitted] 56 44 45 35 [40-45%] [20-25%] [15-20%] Parties [10-15%] [30-35] 1290 2218 928</w:t>
      </w:r>
    </w:p>
    <w:p>
      <w:r>
        <w:t>BULLETIN NO. 9 OF MARCH 14, 2022 77</w:t>
        <w:br/>
        <w:t>without outside option with outside option Distance</w:t>
        <w:br/>
        <w:t>HHI HHI</w:t>
        <w:br/>
        <w:t>Share Share Share 1st Share from share delta</w:t>
        <w:br/>
        <w:t>No. Isochrone pre post</w:t>
        <w:br/>
        <w:t>DR dist. DR dist. DR dist. DR dist. Parties Arcaplanet Maxi Zoo oper. 2nd oper. 2nd oper. HHI</w:t>
        <w:br/>
        <w:t>merger merger</w:t>
        <w:br/>
        <w:t>quadratic linear quadratic linear (p.p)</w:t>
        <w:br/>
        <w:t>70 [omitted] 2 7 2 6 [50-55%] [1-5%] [45-50%] Parties [15-20%] [30-35] 2776 3111 335</w:t>
        <w:br/>
        <w:t>71 [omitted] 51 48 41 39 [45-50%] [30-35%] [15-20%] Parties [5-10%] [40-45] 1395 2520 1125</w:t>
        <w:br/>
        <w:t>72 [omitted] 15 24 12 20 [50-55%] [50-55%] [1-5%] Parties [5-10%] [45-50] 2651 2945 293</w:t>
        <w:br/>
        <w:t>73 [omitted] 28 29 23 23 [40-45%] [25-30%] [15-20%] Parties [20-25%] [20-25] 1500 2413 913</w:t>
        <w:br/>
        <w:t>75 [omitted] 38 39 31 32 [50-55%] [30-35%] [20-25%] Parties [1-5%] [50-55] 1534 2949 1415</w:t>
        <w:br/>
        <w:t>76 [omitted] 15 25 12 20 [45-50%] [20-25%] [25-30%] Parties [5-10%] [40-45] 1409 2650 1241</w:t>
        <w:br/>
        <w:t>77 [omitted] 77 68 62 55 [60-65%] [45-50%] [10-15%] Parties [5-10%] [55-60] 2683 4054 1371</w:t>
        <w:br/>
        <w:t>78 [omitted] 42 35 34 28 [35-40%] [15-20%] [15-20%] Parties [10-15%] [20-25] 858 1518 660</w:t>
        <w:br/>
        <w:t>79 [omitted] 43 41 35 33 [50-55%] [25-30%] [20-25%] Parties [35-40%] [15-20] 2493 3703 1210</w:t>
        <w:br/>
        <w:t>80 [omitted] 60 46 48 37 [55-60%] [20-25%] [30-35%] Parties [20-25%] [30-35] 2075 3576 1501</w:t>
        <w:br/>
        <w:t>81 [omitted] 58 47 47 38 [30-35%] [25-30%] [1-5%] Parties [25-30%] [5-10] 1751 1997 246</w:t>
        <w:br/>
        <w:t>83 [omitted] 12 18 10 15 [45-50%] [15-20%] [25-30%] Parties [1-5%] [40-45] 1194 2113 919</w:t>
        <w:br/>
        <w:t>84 [omitted] 28 30 23 24 [40-45%] [15-20%] [20-25%] Parties [35-40%] [0-5] 2475 3402 926</w:t>
        <w:br/>
        <w:t>85 [omitted] 36 30 29 24 [45-50%] [15-20%] [25-30%] Parties [5-10%] [40-45] 1290 2383 1093</w:t>
        <w:br/>
        <w:t>86 [omitted] 56 54 46 44 [50-55%] [30-35%] [20-25%] Parties [1-5%] [45-50] 1615 2999 1384</w:t>
        <w:br/>
        <w:t>88 [omitted] 41 47 33 38 [55-60%] [35-40%] [15-20%] Parties [5-10%] [45-50] 1904 3207 1303</w:t>
        <w:br/>
        <w:t>89 [omitted] 17 22 14 18 [45-50%] [15-20%] [30-35%] Parties [5-10%] [40-45] 1351 2330 979</w:t>
      </w:r>
    </w:p>
    <w:p>
      <w:r>
        <w:rPr>
          <w:b/>
        </w:rPr>
        <w:t>[Pages 76–78]</w:t>
      </w:r>
    </w:p>
    <w:p>
      <w:r>
        <w:t>78 BULLETIN NO. 9 OF MARCH 14, 2022</w:t>
        <w:br/>
        <w:t>without outside option with outside option Distance</w:t>
        <w:br/>
        <w:t>HHI HHI</w:t>
        <w:br/>
        <w:t>Share Share Share 1st Share from share delta</w:t>
        <w:br/>
        <w:t>No. Isochrone pre post</w:t>
        <w:br/>
        <w:t>DR dist. DR dist. DR dist. DR dist. Parties Arcaplanet Maxi Zoo oper. 2nd oper. 2nd oper. HHI</w:t>
        <w:br/>
        <w:t>merger merger</w:t>
        <w:br/>
        <w:t>quadratic linear quadratic linear (p.p)</w:t>
        <w:br/>
        <w:t>90 [omitted] 7 10 5 8 [15-20%] [10-15%] [5-10%] other [15-20%] [0-5] 1040 1172 131</w:t>
        <w:br/>
        <w:t>91 [omitted] 42 46 34 37 [55-60%] [35-40%] [15-20%] Parties [20-25%] [30-35] 2299 3699 1399</w:t>
        <w:br/>
        <w:t>92 [omitted] 0 0 0 0 [20-25%] [10-15%] [15-20%] Parties [25-30%] [0-5] 1493 1923 431</w:t>
        <w:br/>
        <w:t>93 [omitted] 27 39 22 32 [40-45%] [30-35%] [5-10%] Parties [10-15%] [30-35] 1435 1944 509</w:t>
        <w:br/>
        <w:t>95 [omitted] 19 26 15 21 [40-45%] [25-30%] [10-15%] Parties [30-35%] [5-10] 2004 2722 719</w:t>
        <w:br/>
        <w:t>96 [omitted] 76 71 61 58 [65-70%] [45-50%] [20-25%] Parties [1-5%] [65-70] 2883 4934 2051</w:t>
        <w:br/>
        <w:t>97 [omitted] 26 25 21 21 [35-40%] [20-25%] [10-15%] Parties [25-30%] [5-10] 1606 2155 548</w:t>
        <w:br/>
        <w:t>98 [omitted] 7 16 5 13 [50-55%] [20-25%] [25-30%] Parties [5-10%] [40-45] 1482 2713 1232</w:t>
        <w:br/>
        <w:t>99 [omitted] 27 34 22 28 [50-55%] [25-30%] [20-25%] Parties [15-20%] [30-35] 1759 3065 1306</w:t>
        <w:br/>
        <w:t>100 [omitted] 52 47 42 38 [50-55%] [30-35%] [20-25%] Parties [10-15%] [40-45] 1579 2908 1329</w:t>
        <w:br/>
        <w:t>101 [omitted] 28 33 22 27 [50-55%] [30-35%] [20-25%] Parties [1-5%] [50-55] 1518 2866 1347</w:t>
        <w:br/>
        <w:t>102 [omitted] 29 28 23 23 [35-40%] [25-30%] [10-15%] Parties [5-10%] [30-35] 1047 1701 654</w:t>
        <w:br/>
        <w:t>103 [omitted] 26 33 21 27 [45-50%] [30-35%] [15-20%] Parties [1-5%] [45-50] 1383 2566 1183</w:t>
        <w:br/>
        <w:t>104 [omitted] 30 30 24 24 [40-45%] [10-15%] [25-30%] Parties [5-10%] [30-35] 1259 2034 775</w:t>
        <w:br/>
        <w:t>105 [omitted] 24 37 20 30 [35-40%] [20-25%] [15-20%] Parties [30-35%] [5-10] 1825 2578 753</w:t>
        <w:br/>
        <w:t>106 [omitted] 53 48 43 39 [45-50%] [40-45%] [5-10%] Parties [5-10%] [35-40] 1860 2536 676</w:t>
        <w:br/>
        <w:t>107 [omitted] 35 36 28 30 [45-50%] [25-30%] [15-20%] Parties [5-10%] [40-45] 1197 2269 1072</w:t>
      </w:r>
    </w:p>
    <w:p>
      <w:r>
        <w:t>BULLETIN NO. 9 OF MARCH 14, 2022 79</w:t>
        <w:br/>
        <w:t>without outside option with outside option Distance</w:t>
        <w:br/>
        <w:t>HHI HHI</w:t>
        <w:br/>
        <w:t>Share Share Share 1st Share from share delta</w:t>
        <w:br/>
        <w:t>No. Isochrone pre post</w:t>
        <w:br/>
        <w:t>DR dist. DR dist. DR dist. DR dist. Parties Arcaplanet Maxi Zoo oper. 2nd oper. 2nd oper. HHI</w:t>
        <w:br/>
        <w:t>merger merger</w:t>
        <w:br/>
        <w:t>quadratic linear quadratic linear (p.p)</w:t>
        <w:br/>
        <w:t>108 [omitted] 18 27 15 22 [50-55%] [5-10%] [45-50%] Parties [25-30%] [25-30] 2853 3601 748</w:t>
        <w:br/>
        <w:t>109 [omitted] 58 51 47 41 [45-50%] [20-25%] [25-30%] Parties [5-10%] [40-45] 1522 2722 1200</w:t>
        <w:br/>
        <w:t>110 [omitted] 33 34 27 27 [40-45%] [25-30%] [15-20%] Parties [5-10%] [35-40] 1152 2054 902</w:t>
        <w:br/>
        <w:t>111 [omitted] 53 49 43 40 [45-50%] [40-45%] [5-10%] Parties [5-10%] [35-40] 1799 2445 646</w:t>
        <w:br/>
        <w:t>112 [omitted] 37 34 30 27 [30-35%] [25-30%] [5-10%] other [30-35%] [0-5] 2616 2916 300</w:t>
        <w:br/>
        <w:t>114 [omitted] 38 41 31 34 [55-60%] [30-35%] [20-25%] Parties [5-10%] [45-50] 1937 3597 1659</w:t>
        <w:br/>
        <w:t>115 [omitted] 31 27 25 22 [50-55%] [25-30%] [25-30%] Parties [5-10%] [45-50] 1461 2857 1396</w:t>
        <w:br/>
        <w:t>116 [omitted] 46 44 38 36 [50-55%] [35-40%] [15-20%] Parties [10-15%] [35-40] 1898 3052 1154</w:t>
        <w:br/>
        <w:t>117 [omitted] 0 0 0 0 [60-65%] [20-25%] [40-45%] Parties [5-10%] [55-60] 2427 4245 1817</w:t>
        <w:br/>
        <w:t>118 [omitted] 35 32 29 26 [35-40%] [25-30%] [10-15%] Parties [5-10%] [30-35] 1003 1625 622</w:t>
        <w:br/>
        <w:t>119 [omitted] 28 24 23 19 [40-45%] [5-10%] [35-40%] Parties [10-15%] [30-35] 1627 2264 637</w:t>
        <w:br/>
        <w:t>120 [omitted] 20 25 16 21 [45-50%] [15-20%] [30-35%] Parties [10-15%] [35-40] 1375 2462 1087</w:t>
        <w:br/>
        <w:t>121 [omitted] 18 19 14 16 [35-40%] [10-15%] [20-25%] Parties [25-30%] [10-15] 1589 2307 718</w:t>
        <w:br/>
        <w:t>122 [omitted] 8 14 7 11 [40-45%] [10-15%] [30-35%] Parties [5-10%] [35-40] 1272 2112 840</w:t>
        <w:br/>
        <w:t>123 [omitted] 25 28 20 23 [55-60%] [20-25%] [35-40%] Parties [5-10%] [45-50] 1935 3436 1502</w:t>
        <w:br/>
        <w:t>124 [omitted] 23 26 18 21 [40-45%] [20-25%] [15-20%] Parties [15-20%] [20-25] 1166 1977 811</w:t>
        <w:br/>
        <w:t>125 [omitted] 72 67 58 54 [60-65%] [40-45%] [20-25%] Parties [5-10%] [55-60] 2222 3916 1694</w:t>
      </w:r>
    </w:p>
    <w:p>
      <w:r>
        <w:t>80 BULLETIN NO. 9 OF MARCH 14, 2022</w:t>
        <w:br/>
        <w:t>without outside option with outside option Distance</w:t>
        <w:br/>
        <w:t>HHI HHI</w:t>
        <w:br/>
        <w:t>Share Share Share 1st Share from share delta</w:t>
        <w:br/>
        <w:t>No. Isochrone pre post</w:t>
        <w:br/>
        <w:t>DR dist. DR dist. DR dist. DR dist. Parties Arcaplanet Maxi Zoo oper. 2nd oper. 2nd oper. HHI</w:t>
        <w:br/>
        <w:t>merger merger</w:t>
        <w:br/>
        <w:t>quadratic linear quadratic linear (p.p)</w:t>
        <w:br/>
        <w:t>126 [omitted] 33 35 27 28 [50-55%] [25-30%] [20-25%] Parties [1-5%] [50-55] 1479 2892 1412</w:t>
        <w:br/>
        <w:t>127 [omitted] 40 42 32 34 [55-60%] [35-40%] [15-20%] Parties [1-5%] [50-55] 1759 3160 1401</w:t>
        <w:br/>
        <w:t>128 [omitted] 36 35 30 28 [40-45%] [25-30%] [10-15%] Parties [1-5%] [40-45] 1077 1904 827</w:t>
        <w:br/>
        <w:t>129 [omitted] 6 11 5 9 [45-50%] [5-10%] [40-45%] Parties [5-10%] [40-45] 1843 2583 740</w:t>
        <w:br/>
        <w:t>130 [omitted] 40 40 32 32 [45-50%] [25-30%] [15-20%] Parties [5-10%] [35-40] 1232 2289 1057</w:t>
        <w:br/>
        <w:t>131 [omitted] 44 44 36 36 [40-45%] [30-35%] [5-10%] Parties [5-10%] [30-35] 1285 1924 639</w:t>
        <w:br/>
        <w:t>132 [omitted] 61 58 49 47 [65-70%] [45-50%] [15-20%] Parties [15-20%] [45-50] 2871 4744 1873</w:t>
        <w:br/>
        <w:t>133 [omitted] 6 13 5 10 [45-50%] [1-5%] [40-45%] Parties [10-15%] [30-35] 2037 2327 291</w:t>
        <w:br/>
        <w:t>134 [omitted] 47 44 38 36 [45-50%] [25-30%] [15-20%] Parties [5-10%] [40-45] 1224 2250 1026</w:t>
        <w:br/>
        <w:t>135 [omitted] 40 28 32 23 [50-55%] [15-20%] [35-40%] Parties [10-15%] [35-40] 1675 2736 1061</w:t>
        <w:br/>
        <w:t>136 [omitted] 8 14 6 11 [45-50%] [15-20%] [30-35%] Parties [10-15%] [35-40] 1657 2822 1165</w:t>
      </w:r>
    </w:p>
    <w:p>
      <w:r>
        <w:rPr>
          <w:b/>
        </w:rPr>
        <w:t>[Pages 79–81]</w:t>
      </w:r>
    </w:p>
    <w:p>
      <w:r>
        <w:t>BULLETIN NO. 9 OF MARCH 14, 2022 81</w:t>
        <w:br/>
        <w:t>Table A.4 – List of the 33 local markets in which the Parties have proposed the transfer of the centroid</w:t>
        <w:br/>
        <w:t>No. Isochrone</w:t>
        <w:br/>
        <w:t>1 [omitted]</w:t>
        <w:br/>
        <w:t>2 [omitted]</w:t>
        <w:br/>
        <w:t>10 [omitted]</w:t>
        <w:br/>
        <w:t>12 [omitted]</w:t>
        <w:br/>
        <w:t>13 [omitted]</w:t>
        <w:br/>
        <w:t>15 [omitted]</w:t>
        <w:br/>
        <w:t>17 [omitted]</w:t>
        <w:br/>
        <w:t>30 [omitted]</w:t>
        <w:br/>
        <w:t>34 [omitted]</w:t>
        <w:br/>
        <w:t>40 [omitted]</w:t>
        <w:br/>
        <w:t>49 [omitted]</w:t>
        <w:br/>
        <w:t>51 [omitted]</w:t>
        <w:br/>
        <w:t>54 [omitted]</w:t>
        <w:br/>
        <w:t>59 [omitted]</w:t>
        <w:br/>
        <w:t>62 [omitted]</w:t>
        <w:br/>
        <w:t>65 [omitted]</w:t>
        <w:br/>
        <w:t>68 [omitted]</w:t>
        <w:br/>
        <w:t>75 [omitted]</w:t>
        <w:br/>
        <w:t>76 [omitted]</w:t>
        <w:br/>
        <w:t>77 [omitted]</w:t>
        <w:br/>
        <w:t>86 [omitted]</w:t>
        <w:br/>
        <w:t>91 [omitted]</w:t>
        <w:br/>
        <w:t>96 [omitted]</w:t>
        <w:br/>
        <w:t>103 [omitted]</w:t>
        <w:br/>
        <w:t>107 [omitted]</w:t>
        <w:br/>
        <w:t>109 [omitted]</w:t>
        <w:br/>
        <w:t>114 [omitted]</w:t>
        <w:br/>
        <w:t>125 [omitted]</w:t>
        <w:br/>
        <w:t>127 [omitted]</w:t>
        <w:br/>
        <w:t>130 [omitted]</w:t>
        <w:br/>
        <w:t>132 [omitted]</w:t>
        <w:br/>
        <w:t>134 [omitted]</w:t>
        <w:br/>
        <w:t>135 [omitted]</w:t>
      </w:r>
    </w:p>
    <w:p>
      <w:r>
        <w:t>82 BULLETIN NO. 9 OF MARCH 14, 2022</w:t>
        <w:br/>
        <w:t>Table A.5 – Impact of the transfers proposed by the Parties on the indicators used in the assessment of the Operation in the remaining 45 local markets</w:t>
        <w:br/>
        <w:t>without transfers with transfers</w:t>
        <w:br/>
        <w:t>DR with outside Share 2nd Distance from share HHI pre HHI post delta DR with outside Share HHI post Distance from share</w:t>
        <w:br/>
        <w:t>No. Isochrone Share Parties delta HHI</w:t>
        <w:br/>
        <w:t>option operator 2nd oper. (p.p) merger merger HHI option Parties transfers 2nd oper. (p.p)</w:t>
        <w:br/>
        <w:t>4 [omitted] 32 [40-45%] [5-10%] [30-35] 1125 1815 690 29 [30-35%] 1325 200 [25-30]</w:t>
        <w:br/>
        <w:t>6 [omitted] 33 [55-60%] [1-5%] [50-55] 1684 3131 1447 16 [45-50%] 2430 746 [40-45]</w:t>
        <w:br/>
        <w:t>16 [omitted] 28 [40-45%] [15-20%] [20-25] 1396 2313 917 0 [20-25%] 1396 0 [5-10]</w:t>
        <w:br/>
        <w:t>19 [omitted] 21 [45-50%] [5-10%] [35-40] 1531 2335 805 19 [25-30%] 1284 -246 [5-10]</w:t>
        <w:br/>
        <w:t>23 [omitted] 31 [45-50%] [5-10%] [35-40] 1411 2290 879 27 [35-40%] 1750 339 [30-35]</w:t>
        <w:br/>
        <w:t>24 [omitted] 22 [50-55%] [15-20%] [35-40] 1726 3121 1395 18 [40-45%] 2264 538 [25-30]</w:t>
        <w:br/>
        <w:t>25 [omitted] 29 [50-55%] [10-15%] [40-45] 1709 2958 1249 11 [35-40%] 1751 42 [15-20]</w:t>
        <w:br/>
        <w:t>27 [omitted] 28 [55-60%] [10-15%] [45-50] 3199 3566 367 0 [50-55%] 3199 0 [40-45]</w:t>
        <w:br/>
        <w:t>28 [omitted] 32 [40-45%] [5-10%] [35-40] 1201 2056 855 29 [35-40%] 1717 516 [30-35]</w:t>
        <w:br/>
        <w:t>29 [omitted] 25 [55-60%] [5-10%] [45-50] 1621 3159 1538 15 [40-45%] 2133 511 [30-35]</w:t>
        <w:br/>
        <w:t>31 [omitted] 30 [50-55%] [1-5%] [50-55] 1548 2848 1300 20 [45-50%] 2150 602 [35-40]</w:t>
        <w:br/>
        <w:t>32 [omitted] 21 [50-55%] [5-10%] [45-50] 1638 3005 1367 15 [45-50%] 2479 842 [40-45]</w:t>
        <w:br/>
        <w:t>35 [omitted] 31 [45-50%] [1-5%] [40-45] 1266 2328 1062 20 [35-40%] 1618 352 [25-30]</w:t>
        <w:br/>
        <w:t>41 [omitted] 26 [40-45%] [15-20%] [25-30] 1181 1977 796 24 [35-40%] 1808 627 [20-25]</w:t>
        <w:br/>
        <w:t>42 [omitted] 31 [55-60%] [5-10%] [50-55] 1737 3350 1613 12 [45-50%] 2554 817 [40-45]</w:t>
        <w:br/>
        <w:t>45 [omitted] 22 [45-50%] [1-5%] [40-45] 1353 2253 900 18 [40-45%] 1971 618 [35-40]</w:t>
        <w:br/>
        <w:t>46 [omitted] 36 [65-70%] [1-5%] [65-70] 2400 4760 2359 12 [55-60%] 3666 1265 [50-55]</w:t>
        <w:br/>
        <w:t>47 [omitted] 43 [55-60%] [1-5%] [55-60] 1841 3238 1397 37 [40-45%] 1963 122 [25-30]</w:t>
        <w:br/>
        <w:t>56 [omitted] 31 [45-50%] [5-10%] [40-45] 1485 2580 1095 26 [35-40%] 1789 304 [30-35]</w:t>
        <w:br/>
        <w:t>57 [omitted] 23 [45-50%] [10-15%] [35-40] 1473 2701 1228 20 [35-40%] 1921 448 [25-30]</w:t>
        <w:br/>
        <w:t>64 [omitted] 28 [40-45%] [15-20%] [20-25] 1304 1945 642 22 [35-40%] 1746 442 [20-25]</w:t>
        <w:br/>
        <w:t>69 [omitted] 35 [40-45%] [10-15%] [30-35] 1290 2218 928 29 [35-40%] 1815 525 [25-30]</w:t>
        <w:br/>
        <w:t>71 [omitted] 39 [45-50%] [5-10%] [40-45] 1395 2520 1125 29 [30-35%] 1504 109 [20-25]</w:t>
        <w:br/>
        <w:t>73 [omitted] 23 [40-45%] [20-25%] [20-25] 1500 2413 913 16 [35-40%] 2036 536 [15-20]</w:t>
        <w:br/>
        <w:t>79 [omitted] 33 [50-55%] [35-40%] [10-15] 2493 3703 1210 6 [35-40%] 2756 263 [1-5]</w:t>
        <w:br/>
        <w:t>80 [omitted] 37 [55-60%] [20-25%] [30-35] 2075 3576 1501 5 [45-50%] 2983 908 [25-30]</w:t>
      </w:r>
    </w:p>
    <w:p>
      <w:r>
        <w:t>BULLETIN NO. 9 OF MARCH 14, 2022 83</w:t>
        <w:br/>
        <w:t>without transfers with transfers</w:t>
        <w:br/>
        <w:t>DR with outside Share 2nd Distance from share HHI pre HHI post delta DR with outside Share HHI post Distance from share</w:t>
        <w:br/>
        <w:t>No. Isochrone Share Parties delta HHI</w:t>
        <w:br/>
        <w:t>option operator 2nd oper. (p.p) merger merger HHI option Parties transfers 2nd oper. (p.p)</w:t>
        <w:br/>
        <w:t>85 [omitted] 24 [45-50%] [5-10%] [40-45] 1290 2383 1093 19 [45-50%] 2123 833 [35-40]</w:t>
        <w:br/>
        <w:t>88 [omitted] 38 [55-60%] [5-10%] [45-50] 1904 3207 1303 30 [40-45%] 2034 130 [25-30]</w:t>
        <w:br/>
        <w:t>93 [omitted] 32 [40-45%] [10-15%] [30-35] 1435 1944 509 25 [35-40%] 1683 247 [25-30]</w:t>
        <w:br/>
        <w:t>99 [omitted] 28 [50-55%] [15-20%] [30-35] 1759 3065 1306 17 [40-45%] 2341 582 [20-25]</w:t>
        <w:br/>
        <w:t>100 [omitted] 38 [50-55%] [10-15%] [40-45] 1579 2908 1329 14 [45-50%] 2504 925 [35-40]</w:t>
        <w:br/>
        <w:t>101 [omitted] 27 [50-55%] [1-5%] [50-55] 1518 2866 1347 18 [40-45%] 1985 467 [30-35]</w:t>
        <w:br/>
        <w:t>104 [omitted] 24 [40-45%] [5-10%] [30-35] 1259 2034 775 7 [35-40%] 1507 248 [25-30]</w:t>
        <w:br/>
        <w:t>106 [omitted] 39 [45-50%] [5-10%] [35-40] 1860 2536 676 30 [40-45%] 1948 88 [30-35]</w:t>
        <w:br/>
        <w:t>108 [omitted] 22 [50-55%] [25-30%] [25-30] 2853 3601 748 0 [45-50%] 2853 0 [15-20]</w:t>
        <w:br/>
        <w:t>110 [omitted] 27 [40-45%] [5-10%] [35-40] 1152 2054 902 22 [35-40%] 1563 411 [25-30]</w:t>
        <w:br/>
        <w:t>111 [omitted] 40 [45-50%] [5-10%] [35-40] 1799 2445 646 30 [35-40%] 1768 -31 [30-35]</w:t>
        <w:br/>
        <w:t>115 [omitted] 22 [50-55%] [5-10%] [45-50] 1461 2857 1396 18 [40-45%] 1935 474 [30-35]</w:t>
        <w:br/>
        <w:t>116 [omitted] 36 [50-55%] [10-15%] [35-40] 1898 3052 1154 21 [35-40%] 1869 -29 [20-25]</w:t>
        <w:br/>
        <w:t>120 [omitted] 21 [45-50%] [10-15%] [35-40] 1375 2462 1087 19 [40-45%] 1817 442 [30-35]</w:t>
        <w:br/>
        <w:t>123 [omitted] 23 [55-60%] [5-10%] [45-50] 1935 3436 1502 17 [40-45%] 2191 256 [25-30]</w:t>
        <w:br/>
        <w:t>124 [omitted] 21 [40-45%] [15-20%] [20-25] 1166 1977 811 21 [35-40%] 1867 701 [20-25]</w:t>
        <w:br/>
        <w:t>126 [omitted] 28 [50-55%] [1-5%] [50-55] 1479 2892 1412 13 [45-50%] 2182 703 [35-40]</w:t>
        <w:br/>
        <w:t>128 [omitted] 28 [40-45%] [1-5%] [40-45] 1077 1904 827 20 [35-40%] 1629 551 [35-40]</w:t>
        <w:br/>
        <w:t>131 [omitted] 36 [40-45%] [5-10%] [30-35] 1285 1924 639 27 [35-40%] 1482 197 [25-30]</w:t>
      </w:r>
    </w:p>
    <w:p>
      <w:r>
        <w:rPr>
          <w:b/>
        </w:rPr>
        <w:t>[Pages 82–84]</w:t>
      </w:r>
    </w:p>
    <w:p>
      <w:r>
        <w:t>84 BULLETIN NO. 9 OF MARCH 14, 2022</w:t>
        <w:br/>
        <w:t>C12414 - PROJECT INFORMATICA/CONVERGE</w:t>
        <w:br/>
        <w:t>Decision No. 30038</w:t>
        <w:br/>
        <w:t>THE ANTITRUST AUTHORITY</w:t>
        <w:br/>
        <w:t>IN ITS MEETING of February 22, 2022;</w:t>
        <w:br/>
        <w:t>HEARD the Rapporteur, President Roberto Rustichelli;</w:t>
        <w:br/>
        <w:t>HAVING REGARD TO Law No. 287 of October 10, 1990;</w:t>
        <w:br/>
        <w:t>HAVING REGARD TO the Presidential Decree No. 217 of April 30, 1998;</w:t>
        <w:br/>
        <w:t>HAVING REGARD TO the communication from Project Informatica S.r.l., received on November 25, 2021;</w:t>
        <w:br/>
        <w:t>HAVING REGARD TO the request for information sent to Project Informatica S.r.l. on December 24, 2021;</w:t>
        <w:br/>
        <w:t>HAVING REGARD TO the response from Project Informatica S.r.l. to the aforementioned request for information, received on January 24, 2022;</w:t>
        <w:br/>
        <w:t>HAVING REGARD TO the documentation on file;</w:t>
        <w:br/>
        <w:t>CONSIDERING the following:</w:t>
        <w:br/>
        <w:t>I. THE PARTIES</w:t>
        <w:br/>
        <w:t>1. Project Informatica S.r.l. (hereinafter "Project Informatica") is a company active in the information technology sector and, in particular: in the marketing, production, design, and rental of computer systems and programs, accessories, computers, office equipment, and electronic components. Project Informatica is part of the Project group along with other companies active in the relevant market and is part of the group of companies headed by H.I.G. Capital, LLC (hereinafter H.I.G.), a company under English law, which holds exclusive control over the latter. In 2020, the consolidated revenue generated worldwide by the H.I.G. Group was approximately [20-30]* billion euros, of which approximately [511-700] million euros were generated in Italy.</w:t>
        <w:br/>
        <w:t>2. Converge S.p.A. (hereinafter "Converge") is a company active in the information &amp; communication sector that offers its customers complete products and services based on so-called ICT technologies. In particular, Converge operates in the provision of services and technological solutions aimed at contributing to the development and consolidation of the business of companies in the public and private sectors. Converge also operates in the provision of ICT products and services to central and local public administration, through the supply of server products, PCs, notebooks, tablets, printers, and software. Converge is controlled by seven individuals (jointly referred to as "the Selling Party"). In 2020, Converge generated a consolidated revenue of [100-511] million euros, entirely generated at the national level.</w:t>
        <w:br/>
        <w:t>* In this version, some data is omitted, as elements of confidentiality or secrecy of the information were deemed to exist.</w:t>
      </w:r>
    </w:p>
    <w:p>
      <w:r>
        <w:t>BULLETIN NO. 9 OF MARCH 14, 2022 85</w:t>
        <w:br/>
        <w:t>II. DESCRIPTION OF THE TRANSACTION</w:t>
        <w:br/>
        <w:t>3. The notified transaction consists of the direct and exclusive acquisition of control of Converge by Project Informatica, which will acquire 100% of the share capital of the latter.</w:t>
        <w:br/>
        <w:t>4. Taking into account the control relationships between H.I.G. and Project Informatica, H.I.G. will indirectly hold 100% of the shares and exclusive control over Converge.</w:t>
        <w:br/>
        <w:t>5. Finally, as communicated by the Parties, for the protection of the investment made by Project Informatica, they have agreed on a non-compete agreement on the Selling Party for a duration of 5 years.</w:t>
        <w:br/>
        <w:t>III. QUALIFICATION OF THE TRANSACTION</w:t>
        <w:br/>
        <w:t>6. The notified transaction constitutes a concentration pursuant to Article 5, paragraph 1, letter b), of Law No. 287/90, as it involves the acquisition of control of a company. It falls within the scope of application of Law No. 287/90 as the conditions set out in Article 1 of Regulation EC 139/2004 do not apply, and it is subject to the obligation of prior notification provided for by Article 16, paragraph 1, of the same law, as the total revenue generated in the last financial year at the national level by the group of companies involved exceeded 511 million euros and the total revenue generated in the last financial year at the national level by at least two of the companies involved exceeded 31 million euros. The non-compete agreement can be qualified as accessory to the notified concentration to the extent that it contains a restriction directly related to the realization of the transaction and necessary for it1. In particular, the non-compete agreement can be considered accessory to this transaction to the extent that it is limited to the markets (both product and geographic) affected by the concentration and does not exceed a duration of two years, given that, in this case, the value of the transferred company must be protected only in terms of goodwill and not also of know-how, as the acquiring company is already present in the information technology sector2.</w:t>
        <w:br/>
        <w:t>IV. EVALUATION OF THE CONCENTRATION</w:t>
        <w:br/>
        <w:t>7. The transaction in question concerns the IT services sector (hereinafter also referred to as "IT Services").</w:t>
        <w:br/>
        <w:t>8. IT Services can be segmented considering the type of services, as well as the characteristics of the sectors in which customers operate3.</w:t>
        <w:br/>
        <w:t>9. As highlighted in numerous precedents of the Authority4, the high rate of innovation and the rapid and constant technological evolution that characterize the IT sector make it not always easy to draw a clear demarcation between the different markets (and even more so between the segments) that this sector comprises.</w:t>
        <w:br/>
        <w:t>1 See "Communication from the Commission on restrictions directly related and necessary to concentrations (O.J. EU 2005/C-56/03 of March 5, 2005)".</w:t>
        <w:br/>
        <w:t>2 See Communication on accessory restrictions, cited, para. 20.</w:t>
        <w:br/>
        <w:t>3 See, among others, Authority Decision No. 28331 of August 4, 2020, case C12312 – OEP 14 COOPERATIEF U.A./TECHEDGE; Authority Decision No. 26818 of October 25, 2017, case C12119 – Engineering Ingegneria Informatica/Infogroup Informatica e Servizi Telematici; European Commission Decision of June 19, 2013, case M.6921 – IBM Italia/UBIS.</w:t>
        <w:br/>
        <w:t>4 See, among others, Decision No. 24851 of March 27, 2014, case C11943 - ICCREA Holding/I.S.I.D.E., in Bulletin No. 15/2014; Decision No. 23925 of September 27, 2012, case C11772 – Accenture Sub/Octagon Research Solution, in Bulletin No. 39/12.</w:t>
      </w:r>
    </w:p>
    <w:p>
      <w:r>
        <w:t>86 BULLETIN NO. 9 OF MARCH 14, 2022</w:t>
        <w:br/>
        <w:t>10. The companies operating in this sector tend to offer a multitude of services, adapting their offerings to the same technological evolution, demand, and customer needs.</w:t>
        <w:br/>
        <w:t>11. More generally, within IT services, the European Commission has identified seven segments that identify a plurality of IT services directed at businesses5. These include, in particular, services for: (i) IT management, for the use of specific skills to create and optimize business processes and information flows; (ii) transaction IT management, for transactions that require IT support; (iii) consulting for the analysis and improvement of technological strategies; (iv) software development, to develop and integrate solutions into existing infrastructures; (v) software maintenance, for the maintenance of products (operating systems, software applications, etc.) and technical assistance (also online or by phone); (vi) hardware maintenance, to optimize systems through installation, maintenance, and technical assistance of hardware components; (vii) training and education, for the transfer of knowledge outside of professional training.</w:t>
        <w:br/>
        <w:t>12. These segments are further subdivisible into groups of services and are characterized by high fragmentation and substitutability on the supply side, also considering that IT service providers generally offer a more or less wide range of different performances in packages that may involve all or some of the aforementioned segments. In particular, in this case, the analysis can be further narrowed to the sales of IT goods and services to public administration, due to the peculiar distribution channel adopted and essentially attributable to public procurement procedures16.</w:t>
        <w:br/>
        <w:t>13. That said, based on the information provided, regarding the target sectors, both Converge and Project Informatica operate, within the broader market of IT Services, in the following segments: (iv) software development, (v) software maintenance, and (vi) hardware maintenance, recording a market share both individually and cumulatively, below 1%; Project Informatica also operates in the IT management segment, with a share also in this case below 1%.</w:t>
        <w:br/>
        <w:t>14. As highlighted by the heterogeneity of the ranking of the largest customers provided by the parties, there is also a limited horizontal overlap between the two companies, as the acquirer is focused on the private sector, while Converge primarily operates towards the public sector.</w:t>
        <w:br/>
        <w:t>15. As for the sales of IT services intended for the public administration, based on the information provided, the Project Group and Converge have recorded, individually (specifically [less than 1%] and [less than 1%]) and cumulatively considered, a share below 1%. This percentage amounts to a value equal to [1-5%] when considering the entire HIG group.</w:t>
        <w:br/>
        <w:t>16. In particular, the documentation on file shows that Project Informatica has been operational in the segment of offering ICT goods and services aimed at public administration, both directly and through entities attributable to it, since 2017. From 2017 to 2021, Project Informatica participated, among tenders and direct orders, in approximately [250-500] procedures, and was the winner in [100-250] of them, of which [0-100] only in 2021. Furthermore, it emerged that between 2020 and 2021, both Project Informatica and Converge individually participated in [0-50] tenders in the provision of the goods and services in question.</w:t>
        <w:br/>
        <w:t>5 See the cases: M.7458 – IBM/INF Business of Deutsche Lufthansa; M.9205 – IBM/Red Hat; M.6921 – IBM Italia/UBIS; M.6237 – Computer Sciences Corporation/Isoft Group; M.6127 – Atos Origin/Siemens It Solutions &amp; Services; M.5666 – Xerox/Affiliated Computer Services; M.5301 – CAP Gemini/BAS; M.2946 – IBM/PWC Consulting.</w:t>
        <w:br/>
        <w:t>6 1 See Decision No. 28292, concerning "Consip Tenders for the acquisition of goods and services for IT and telecommunications."</w:t>
      </w:r>
    </w:p>
    <w:p>
      <w:r>
        <w:rPr>
          <w:b/>
        </w:rPr>
        <w:t>[Pages 85–87]</w:t>
      </w:r>
    </w:p>
    <w:p>
      <w:r>
        <w:t>BULLETIN NO. 9 OF MARCH 14, 2022 87</w:t>
        <w:br/>
        <w:t>17. In light of the above, therefore, based on the information provided during the notification process, as subsequently supplemented, both within the broader national market for the sale of ICT goods and services, and in a narrower commodity scope of sales reserved for the PA, Project Informatica, both individually considered and with regard to the Group to which it belongs, and Converge hold an individual and cumulative share of less than 1%.</w:t>
        <w:br/>
        <w:t>18. Furthermore, the level of horizontal overlap between the two Companies in the specific market of sales reserved for the PA, according to the information provided by the notifying Party, appears quite limited, considering that in the two-year period 2020-2021, only in [0-50] cases did the two companies participate in tenders for the PA in competition. Therefore, even with reference to this aspect, no potential competitive issues are identified.</w:t>
        <w:br/>
        <w:t>19. In conclusion, considering the market shares held by the parties involved, the limited overlap of the parties' activities, and the presence of significant competitors, the transaction in question does not appear to be capable of substantially altering the structure and competitive dynamics of the affected markets.</w:t>
        <w:br/>
        <w:t>CONSIDERING, therefore, that the transaction in question does not entail, pursuant to Article 6, paragraph 1, of Law No. 287/90, the establishment or strengthening of a dominant position in the ICT services market, and its possible further delimitations, such as to eliminate or substantially and durably reduce competition;</w:t>
        <w:br/>
        <w:t>CONSIDERING, furthermore, that the non-competition obligations between the parties are ancillary to the present transaction only to the extent described above and that the Authority reserves the right to evaluate, where the prerequisites exist, the aforementioned agreements that extend beyond the limits indicated therein;</w:t>
        <w:br/>
        <w:t>RESOLVES</w:t>
        <w:br/>
        <w:t>not to initiate the investigation referred to in Article 16, paragraph 4, of Law No. 287/90.</w:t>
        <w:br/>
        <w:t>The above conclusions will be communicated, pursuant to Article 16, paragraph 4, of Law No. 287/90, to the interested companies and to the Minister of Economic Development.</w:t>
        <w:br/>
        <w:t>This provision will be published in the Bulletin of the Antitrust Authority.</w:t>
        <w:br/>
        <w:t>THE DEPUTY SECRETARY GENERAL THE PRESIDENT</w:t>
        <w:br/>
        <w:t>Serena Stella Roberto Rustichelli</w:t>
      </w:r>
    </w:p>
    <w:p>
      <w:r>
        <w:t>88 BULLETIN NO. 9 OF MARCH 14, 2022</w:t>
        <w:br/>
        <w:t>C12427 - VEGETA/BIOFARMA</w:t>
        <w:br/>
        <w:t>Provision No. 30040</w:t>
        <w:br/>
        <w:t>THE ANTITRUST AUTHORITY</w:t>
        <w:br/>
        <w:t>IN ITS MEETING of February 22, 2022;</w:t>
        <w:br/>
        <w:t>HEARD the Rapporteur Professor Elisabetta Iossa;</w:t>
        <w:br/>
        <w:t>HAVING REGARD to Law No. 287 of October 10, 1990;</w:t>
        <w:br/>
        <w:t>HAVING REGARD to the Presidential Decree No. 217 of April 30, 1998;</w:t>
        <w:br/>
        <w:t>HAVING REGARD to the communication from the company Vegeta S.r.l. received on January 28, 2022;</w:t>
        <w:br/>
        <w:t>CONSIDERED the following:</w:t>
        <w:br/>
        <w:t>I. THE PARTIES</w:t>
        <w:br/>
        <w:t>1. Vegeta S.r.l. (hereinafter Vegeta) is a newly established company for the purpose of carrying out the transaction in question. It is wholly owned by the ARDIAN Buyout Fund VII B SLP (hereinafter, Ardian BF VII), which is managed by Ardian France S.A. (hereinafter, Ardian France), a French private equity fund management company that invests in Europe, North America, and Asia.</w:t>
        <w:br/>
        <w:t>The revenue generated in 2020 in Italy by the companies of the Ardian France group is approximately [3-4]* billion euros.</w:t>
        <w:br/>
        <w:t>2. Biofarma S.r.l. (hereinafter Biofarma) is a company active in the development, production, and packaging of dietary supplements, medical devices, and cosmetics exclusively for third parties, as a Contract Development Manufacturing Organization (CDMO).</w:t>
        <w:br/>
        <w:t>Biofarma is partially owned by White Bridge Investments II S.p.A. (hereinafter WB), a private equity fund management company that indirectly holds a 70% stake in the capital, as well as by the minority partner active in the target sector, Victoria HD S.r.l. (hereinafter Victoria), which holds the remaining 30%.</w:t>
        <w:br/>
        <w:t>The revenue generated in 2020 in Italy by the group of companies headed by Biofarma was [100-511] million euros.</w:t>
        <w:br/>
        <w:t>II. DESCRIPTION OF THE TRANSACTION</w:t>
        <w:br/>
        <w:t>3. The notified transaction consists of the acquisition by Vegeta, also indirectly, through a subsidiary1, of exclusive control of Biofarma.</w:t>
        <w:br/>
        <w:t>4. The transaction in question includes, on the part of the seller Victoria, a non-competition obligation not to engage in direct or indirect competition with the target's activities in the countries where the latter is active for a duration of three years. This obligation is also extended to: (i) consultancy and advertising activities related to products or services in competition with those of the target; (ii) acquisitions of companies, business units, or equity stakes in companies that engage in activities in competition with the target; (iii) as well as, the sending of job offers to key figures of the target.</w:t>
        <w:br/>
        <w:t>* In this version, some data are omitted, as elements of confidentiality or secrecy of the information were deemed to exist.</w:t>
        <w:br/>
        <w:t>1 In particular, Annex F of the Quota Purchase Agreement, signed by Ardian BF VII and the sellers WB and Victoria, contains an Equity Commitment Letter whereby Ardian BF VII has - inter alia - granted Vegeta the power to identify one of its subsidiaries “to become a party to the QPA as Purchaser”.</w:t>
      </w:r>
    </w:p>
    <w:p>
      <w:r>
        <w:t>BULLETIN NO. 9 OF MARCH 14, 2022 89</w:t>
        <w:br/>
        <w:t>III. QUALIFICATION OF THE TRANSACTION</w:t>
        <w:br/>
        <w:t>5. The notified transaction, as it involves the acquisition of control of a company, constitutes a concentration pursuant to Article 5, paragraph 1, letter b), of Law No. 287/90.</w:t>
        <w:br/>
        <w:t>6. It falls within the scope of application of Law No. 287/90, as the conditions set out in Article 1 of EC Regulation No. 139/04 do not apply, and is subject to the obligation of prior notification provided for by Article 16, paragraph 1, of the same law, as the total revenue generated in the last financial year, at the national level, by all the companies involved exceeded 511 million euros and the total revenue generated in the last financial year, at the national level, individually by at least two of the companies involved exceeded 31 million euros.</w:t>
        <w:br/>
        <w:t>7. The non-competition agreement described above can be qualified as ancillary to the notified concentration due to the duration provided and to the extent that it contains restrictions directly related to the realization of the transaction and necessary for it2.</w:t>
        <w:br/>
        <w:t>IV. EVALUATION OF THE TRANSACTION</w:t>
        <w:br/>
        <w:t>The relevant market</w:t>
        <w:br/>
        <w:t>8. The present transaction concerns the market for the development, production, and packaging of dietary supplements, medical devices, and cosmetic products for third parties (so-called CDMO activities), where Biofarma operates3.</w:t>
        <w:br/>
        <w:t>9. Within this market, in relation to the specific product categories that Biofarma produces for third parties, the notifying Party has identified two segments, consisting of so-called nutraceutical products (specifically, dietary supplements and medical devices) and cosmetics. Nutraceuticals account for approximately [80-90%] of the target's revenue and can be distinguished, also from a regulatory standpoint, between (i) dietary supplements, which account for [60-70%] of the target's sales and (ii) medical devices for nutraceuticals, which account for approximately [10-20%] of its revenue. The remaining revenue is attributable to cosmetic products. In this regard, the notifying Party believes that the definition of distinct relevant markets with respect to each segment (and, even more so, further distinctions within each of them) can be left open in light of the characteristics of the transaction and, in particular, the fact that the target's activity is carried out exclusively as a CDMO contractor for third parties.</w:t>
        <w:br/>
        <w:t>10. From a geographical standpoint, the notifying Party believes that the market has a supranational dimension, at least that of Europe, considering that, as noted by the European Commission, so-called CDMO products are generally purchased throughout the European Economic Area (EEA), regardless of the country in which they are subsequently marketed4.</w:t>
        <w:br/>
        <w:t>2 See “Commission Communication on restrictions directly related and necessary to concentrations (O.J. 2005/C-56/03 of March 5, 2005).</w:t>
        <w:br/>
        <w:t>3 In this regard, the Authority has previously examined some cases related to companies operating as CDMO, while defining the market for the provision of CDMO activities primarily related to the pharmaceutical sector. (see case C12321 – Mendel Investimenti/Genetic-Genelife-Max Farma, provision No. 28364 of September 30, 2020, in which the acquired company was also active as a CDMO in the development and production of dietary supplements and cosmetics, as well as, to a limited extent, medical devices. Regarding CDMO activities related to pharmaceutical products, see, in addition to the aforementioned case C12321, also case C12197- Albolu/Neopharmed Gentili, provision No. 27410 of October 31, 2018, as well as case C12008 – Trilantic Capital Partners V (Europe) G.P. Trilantic Capital Partners V Management/Doppel Farmaceutici, provision No. 25610 of September 3, 2015 and case C9917 - Haupt Pharma/Business unit of Pfizer Italia, provision No. 19509 of February 5, 2009). The notifying Party highlights that the Authority, in the referenced case C12321, confirming its established orientation, observed that the CDMO market “does not need to be further segmented into subcategories based on the manufactured product, as the production and packaging techniques are independent of the active ingredients and materials used” (par. 25, provision 28364/2020, cited)</w:t>
        <w:br/>
        <w:t>4 See the Commission's decision of December 4, 2020, M.9995 –Permira / Neuraxpharm, according to which: “The relevant geographic market for CDMO services according to Commission precedents was found to be worldwide or at least EEA-</w:t>
      </w:r>
    </w:p>
    <w:p>
      <w:r>
        <w:rPr>
          <w:b/>
        </w:rPr>
        <w:t>[Pages 88–90]</w:t>
      </w:r>
    </w:p>
    <w:p>
      <w:r>
        <w:t>90 BULLETIN NO. 9 OF MARCH 14, 2022</w:t>
        <w:br/>
        <w:t>11. For the purposes of assessing the notified transaction, the definition of the relevant market, from both a product and geographic perspective, can be left open considering that competitive assessments would not differ regardless of the exact definition of the markets.</w:t>
        <w:br/>
        <w:t>The effects of the transaction</w:t>
        <w:br/>
        <w:t>12. Based on the analyses provided by the notifying party, Biofarma holds shares not exceeding 10% in the relevant markets both at the community and national levels, except for the market of producing food supplements on behalf of third parties, where the estimated share is approximately [20-30%] at the national level.</w:t>
        <w:br/>
        <w:t>13. The transaction does not result in appreciable horizontal effects, as the acquirer is not present in the markets where the target operates, except for one market - that of contract manufacturing of medical devices - in which, in any case, the aggregated market share post-transaction, both at the community and national levels, will be around [1-10%]. Furthermore, the notifying party reports that there are numerous and qualified competitors in these markets.</w:t>
        <w:br/>
        <w:t>14. Also regarding vertical aspects, the acquirer is only marginally present in the downstream markets of selling food supplements, medical devices, and cosmetics, due to holdings in two companies, one Italian and the other Belgian, whose market positioning is entirely marginal.</w:t>
        <w:br/>
        <w:t>CONSIDERED, therefore, that the transaction in question does not entail, pursuant to Article 6, paragraph 1, of Law No. 287/90, the establishment or strengthening of a dominant position in the relevant markets, such as to eliminate or substantially and durably reduce competition;</w:t>
        <w:br/>
        <w:t>CONSIDERED, also, that the non-compete agreement between the parties is accessory to this transaction only to the extent described above and that the Authority reserves the right to assess, where the conditions exist, the aforementioned agreement that extends beyond the time, geographic scope, and subject matter indicated therein;</w:t>
        <w:br/>
        <w:t>RESOLVES</w:t>
        <w:br/>
        <w:t>not to initiate the investigation referred to in Article 16, paragraph 4, of Law No. 287/90.</w:t>
        <w:br/>
        <w:t>The above conclusions will be communicated, pursuant to Article 16, paragraph 4, of Law No. 287/90, to the interested companies and to the Minister of Economic Development.</w:t>
      </w:r>
    </w:p>
    <w:p>
      <w:r>
        <w:t>BULLETIN NO. 9 OF MARCH 14, 2022 91</w:t>
        <w:br/>
        <w:t>C12428 - ARNOLDO MONDADORI EDITORE/DEA PLANETA-LIBROMANIA</w:t>
        <w:br/>
        <w:t>Decision No. 30041</w:t>
        <w:br/>
        <w:t>THE ANTITRUST AUTHORITY</w:t>
        <w:br/>
        <w:t>IN ITS MEETING of February 22, 2022;</w:t>
        <w:br/>
        <w:t>HEARD the Rapporteur, President Roberto Rustichelli;</w:t>
        <w:br/>
        <w:t>VIEWED Law No. 287 of October 10, 1990;</w:t>
        <w:br/>
        <w:t>VIEWED Presidential Decree No. 217 of April 30, 1998;</w:t>
        <w:br/>
        <w:t>VIEWED the communication from Arnoldo Mondadori Editore S.p.A. received on February 1, 2022;</w:t>
        <w:br/>
        <w:t>VIEWED its resolution of November 4, 2021, which authorized, subject to the full and effective execution of measures prescribed pursuant to Article 6, paragraph 2, of Law No. 287/90, the concentration operation consisting of the acquisition, by Arnoldo Mondadori Editore S.p.A., of exclusive control of De Agostini Scuola S.p.A. (C12393 Arnoldo Mondadori Editore/ De Agostini Scuola);</w:t>
        <w:br/>
        <w:t>VIEWED the documentation on file;</w:t>
        <w:br/>
        <w:t>CONSIDERED the following:</w:t>
        <w:br/>
        <w:t>I. THE PARTIES</w:t>
        <w:br/>
        <w:t>1. Arnoldo Mondadori Editore S.p.A. (hereinafter, "Mondadori") is a company active in the sectors of book and periodical publishing.</w:t>
        <w:br/>
        <w:t>Mondadori is listed on the MTA Market, STAR segment organized and managed by Borsa Italiana S.p.A., and is controlled by Finanziaria d’Investimento Fininvest S.p.A., with a shareholding of 53.299%. Fininvest heads a group active not only in the book and periodical publishing sector but also in cinema, advertising collection, and commercial television.</w:t>
        <w:br/>
        <w:t>In 2020, Fininvest S.p.A. achieved a worldwide turnover of 3.46 billion euros, of which [2-3]* in Italy. Mondadori, in 2020, achieved a consolidated worldwide turnover of 744 million euros, of which [511-700] in Italy.</w:t>
        <w:br/>
        <w:t>2. DeA Planeta Libri S.r.l. (hereinafter DeA Planeta) is a company active in the sectors of general book publishing.</w:t>
        <w:br/>
        <w:t>DeA Planeta was established in 2016 by De Agostini Editore S.p.A. (hereinafter, "De Agostini") and Editorial Planeta SA, a Spanish law company belonging to the Planeta Corporation publishing group, each holding 50% of the share capital1.</w:t>
        <w:br/>
        <w:t>DeA Planeta, in turn, wholly controls Libromania S.r.l. (hereinafter Libromania), which operates in the promotion of general books on behalf of third parties and in the publishing of e-books under the Libromania.net brand.</w:t>
        <w:br/>
        <w:t>* In this version, some data are omitted, as there are elements of confidentiality or secrecy of the information.</w:t>
        <w:br/>
        <w:t>1 See Commission decision of 13/12/2016 in case M.8299 – De Agostini Libri / Editorial Planeta / Dea Planeta Libri JV.</w:t>
      </w:r>
    </w:p>
    <w:p>
      <w:r>
        <w:rPr>
          <w:b/>
        </w:rPr>
        <w:t>[Pages 91–93]</w:t>
      </w:r>
    </w:p>
    <w:p>
      <w:r>
        <w:t>BULLETIN NO. 9 OF MARCH 14, 2022 93</w:t>
        <w:br/>
        <w:t>In 2020, DeA Planeta achieved a worldwide turnover of 11.9 million euros, of which 10.9 million in Italy. Libromania, in 2020, achieved a turnover of 2.72 million euros, almost entirely in Italy.</w:t>
        <w:br/>
        <w:t>II. DESCRIPTION OF THE TRANSACTION</w:t>
        <w:br/>
        <w:t>3. The communicated transaction consists of the purchase, by Mondadori, of the exclusive control of DeA Planeta and, therefore, of its subsidiary Libromania.</w:t>
        <w:br/>
        <w:t>4. Mondadori and De Agostini, on November 19, 2021, signed a share transfer agreement which provides that, following the purchase by De Agostini of the share of the share capital of DeA Planeta held by Editorial Planeta SA, equal to 50%, Mondadori will purchase from De Agostini the 50% of the share capital of DeA Planeta itself. As a result of the completion of this contract, the share capital of DeA Planeta will be divided between Mondadori and De Agostini, each of which will hold a 50% share. The company will in turn change its name to De Agostini Libri S.r.l. (hereinafter DeA Libri).</w:t>
        <w:br/>
        <w:t>5. Mondadori and De Agostini have also planned to sign, concurrently with the transfer of shares, a Shareholders' Agreement that governs the governance of DeA Libri as follows:</w:t>
        <w:br/>
        <w:t>- Mondadori and De Agostini will have the right to appoint the same number of members of the Board of Directors of DeA Libri, which may be composed of a minimum of 4 to a maximum of 6 members;</w:t>
        <w:br/>
        <w:t>- the Board of Directors will have the powers of ordinary and extraordinary administration of DeA Planeta and resolutions will be validly adopted with the favorable vote of the majority of the serving directors;</w:t>
        <w:br/>
        <w:t>- in the event of a tie, the Chief Executive Officer - appointed by the Board of Directors from among the directors chosen by Mondadori - will be granted the casting vote, which essentially gives Mondadori the majority of voting rights, except for [omitted];</w:t>
        <w:br/>
        <w:t>- [omitted].</w:t>
        <w:br/>
        <w:t>6. The editorial and marketing function of DeA Libri will be entirely managed through personnel employed by the company itself, while staff services will be provided by De Agostini for a period to be mutually agreed upon by the parties and in any case no later than [omitted], and subsequently by Mondadori or by one of its subsidiaries, under the terms and conditions that will be provided in the service contracts.</w:t>
        <w:br/>
        <w:t>7. The same governance rules agreed for DeA Libri will also apply to Libromania, except for the number of directors on the Board of Directors, which will be 4, with each party having the right to appoint 2 members.</w:t>
        <w:br/>
        <w:t>8. In relation to this company, the Parties have also provided for an Option Agreement under which DeA Libri will grant Mondadori an option (Call Option) for the purchase of 100% of the share capital of Libromania, an option that Mondadori may exercise at any time between [omitted]. Mondadori will grant DeA Libri an option (Put Option) concerning the right to sell 100% of the share capital of Libromania within 30 days following the expiration for the exercise of the Call Option.</w:t>
        <w:br/>
        <w:t>2 See Consolidated Communication of the Commission on the criteria for jurisdictional competence pursuant to Regulation (EC) No. 139/2004 of the Council concerning the control of concentrations between enterprises, par. 82.</w:t>
      </w:r>
    </w:p>
    <w:p>
      <w:r>
        <w:t>94 BULLETIN NO. 9 OF MARCH 14, 2022</w:t>
        <w:br/>
        <w:t>9. The Parties have provided for a non-compete agreement on De Agostini, under which the latter, for a period of [omitted] from the date of execution of the transaction, shall not engage in any part of the Italian territory - even through intermediaries or controlled companies, directly or indirectly, on its own or on behalf of third parties, for consideration or free of charge in any manner and form - in any commercial activity in competition with the publishing and promotion of books in the general publishing sector.</w:t>
        <w:br/>
        <w:t>10. A prohibition on poaching employees has also been established for De Agostini and Mondadori for a period of [omitted] from the date of execution of the transaction. In particular, during the aforementioned period, neither Party may, without the consent of the other Party, even through intermediaries or controlled companies, directly or indirectly, on its own or on behalf of third parties, for consideration or free of charge in any manner and form, encourage, induce or instigate, even indirectly, any employee or collaborator of DeA Libri to resign or otherwise terminate the relationship that binds them to DeA Libri.</w:t>
        <w:br/>
        <w:t>11. [Omitted].</w:t>
        <w:br/>
        <w:t>III. QUALIFICATION OF THE TRANSACTION</w:t>
        <w:br/>
        <w:t>12. It should be noted preliminarily that the transaction in question, although governed by distinct agreements executed non-simultaneously, should be considered as a single concentration together with the transaction communicated by the company Arnoldo Mondadori Editore S.p.A. on August 25, 2021, and authorized with measures by the Authority on November 4, 2021, since the two transactions take place between the same companies over a period of two years.</w:t>
        <w:br/>
        <w:t>13. The transaction under examination, as it involves the acquisition of control of a company, constitutes a concentration, pursuant to Article 5, paragraph 1, letter b), of Law No. 287/90. It falls within the scope of application of Law No. 287/90 as the conditions of Article 1 of Regulation EC 139/2004 are not met, and it is subject to the obligation of prior notification provided for by Article 16, paragraph 1 of the same law, as - taking into account the operation C12393 Arnoldo Mondadori Editore/De Agostini Scuola - the total turnover achieved, in the last financial year at the national level, by the group of companies involved was over 511 million euros and the total turnover achieved individually, in the last financial year at the national level, by at least two of the companies involved was over 31 million euros.</w:t>
        <w:br/>
        <w:t>14. The non-compete agreement, the prohibition on poaching employees, and the licensing and service supply agreements described above can be qualified as ancillary to the communicated concentration to the extent that they contain restrictions directly related to the realization of the transaction and necessary for it. In particular, the non-compete agreement and the prohibition on poaching employees can be considered ancillary to this transaction to the extent that they are limited to the markets (product and geographic) affected by the concentration and do not exceed a duration of two years, given that, in this case, the value of the transferred company must be protected only in terms of goodwill and not also of know-how, as the acquiring company is already present in the general publishing market and in the provision of promotion services for general books.</w:t>
        <w:br/>
        <w:t>3 AGCM, provision of November 4, 2021, No. 29867, published in Bulletin No. 44/2021 - C12393 Arnoldo Mondadori Editore/De Agostini Scuola.</w:t>
        <w:br/>
        <w:t>4 See Consolidated Communication of the Commission on the criteria for jurisdictional competence pursuant to Regulation (EC) No. 139/2004 of the Council concerning the control of concentrations between enterprises, in particular §49-50, as well as AGCM, Concentration Form (Methods for notifying a concentration transaction between enterprises), 2017, p. 7.</w:t>
        <w:br/>
        <w:t>5 See "Communication from the Commission on restrictions directly related and necessary to concentrations (O.J. EU 2005/C-56/03 of March 5, 2005)".</w:t>
      </w:r>
    </w:p>
    <w:p>
      <w:r>
        <w:t>BULLETIN NO. 9 OF MARCH 14, 2022 95</w:t>
        <w:br/>
        <w:t>IV. EVALUATIONS</w:t>
        <w:br/>
        <w:t>15. It is preliminarily noted that this evaluation refers exclusively to the incremental effects of the transaction communicated on February 1, 2022, as it does not produce any effect on the relevant markets subject to evaluation in the C12393 procedure – Arnoldo Mondadori Editore/De Agostini Scuola.</w:t>
        <w:br/>
        <w:t>IV.1 The relevant markets</w:t>
        <w:br/>
        <w:t>16. From a commodity perspective, the transaction in question concerns the publishing of general books, both in print and digital format, and the services related to their promotion.</w:t>
        <w:br/>
        <w:t>17. Within the general publishing sector, the Authority, in its previous decisions, in accordance with the approach taken by the European Commission, has identified several distinct markets depending on literary genres, among which, for the purposes of evaluating this transaction, those of fiction and non-fiction, children's books, guides and manuals, and art books are relevant. From a geographical perspective, each of these markets has a national scope for linguistic reasons and for the substantial homogeneity of competitive conditions throughout the national territory.</w:t>
        <w:br/>
        <w:t>18. The publishing of books in digital format defines a distinct market from the publishing of print books considering the peculiarities that characterize the production of the book, completely dematerialized, and its sale to the final customer, for which physical sales points are replaced by e-commerce platforms. Within digital books, e-books and audiobooks are distinguished: while the former are written texts, reproduced in digital format, to be read with the aid of a specific device, the latter consist of a recorded reading of a book designed for listening by the end user. However, for the purposes of evaluating this transaction, it does not seem necessary to establish whether the two types of digital books define distinct relevant markets.</w:t>
        <w:br/>
        <w:t>19. Finally, the market for promotion services includes activities aimed at making books known to sales intermediaries (bookstores and GDO chains) in order to encourage their purchase. These activities refer to general books, regardless of literary genre, and in some cases are carried out directly by publishers, while in other cases are performed through independent companies (such as, for example, Libromania) that operate on behalf of publishers as agents. In any case, it is common for promotion services to be accompanied by distribution services. From a geographical perspective, the market for the promotion of general books has a national dimension considering that the operators offering the services are active throughout the national territory.</w:t>
        <w:br/>
        <w:t>6 See Communication on ancillary restrictions, cited, par. 20.</w:t>
        <w:br/>
        <w:t>7 See Authority's decision of March 23, 2016 in case C12023 - Arnoldo Mondadori Editore/Rcs Libri.</w:t>
        <w:br/>
        <w:t>8 See Commission's decision of January 7, 2004 in case COMP/M.2978 – Lagardère/Natexis/VUP.</w:t>
        <w:br/>
        <w:t>9 Promotion activities are distinguished from communication activities, generally managed by the press offices of publishers: the latter, in fact, while also aimed at making published books known in order to encourage their purchase, are directed at readers.</w:t>
        <w:br/>
        <w:t>10 The promotion of school texts, which is specifically directed at teachers responsible for the selection of adopted texts, is distinguished from the promotion of general books (see Authority's decision of November 4, 2021 in case C12393 Arnoldo Mondadori Editore/De Agostini Scuola).</w:t>
      </w:r>
    </w:p>
    <w:p>
      <w:r>
        <w:rPr>
          <w:b/>
        </w:rPr>
        <w:t>[Pages 94–96]</w:t>
      </w:r>
    </w:p>
    <w:p>
      <w:r>
        <w:t>96 BULLETIN NO. 9 OF MARCH 14, 2022</w:t>
        <w:br/>
        <w:t>the entire Italian territory and therefore the substantial homogeneity that characterizes the competitive conditions in Italy11.</w:t>
        <w:br/>
        <w:t>20. It is noted, finally, that the operation in question – as anticipated in the introduction – does not concern the school publishing supply chain in which the markets that have been deemed relevant for the assessment of the operation C12393 – Arnoldo Mondadori Editore/De Agostini Scuola carried out by the same Parties on December 16, 2021, and examined by the Authority pursuant to Article 16 of Law No. 287/9012.</w:t>
        <w:br/>
        <w:t>IV.2 The effects of the operation in the publishing markets</w:t>
        <w:br/>
        <w:t>21. Before analyzing in detail the effects of the operation in the individual markets concerned, it seems appropriate to recall the characteristics of the general offer of various books, whose sales, in paper format, have recorded a stable growth trend over the last five years, reaching, in 2021, an amount of approximately 1.7 billion euros, corresponding to 115.6 million copies (respectively up by 31% and 18% compared to the values and volumes of the previous year)13.</w:t>
        <w:br/>
        <w:t>22. In the general publishing sector in Italy, the offer is fragmented among a rather high number of operators: the top ten, in fact, represent just over 50% of the overall offer, while the remaining part is distributed among a plurality of smaller publishing houses, which, when considered together, have seen their importance increase over the last five years, rising from [30-35%] in 2016 to the current [45-50%] of the offer.</w:t>
        <w:br/>
        <w:t>23. Mondadori is the leading publisher of general books, having consolidated this position following the acquisition of RCS Libri, which was completed in 2016 and authorized by the Authority subject to the full and effective implementation of measures, including structural ones, prescribed pursuant to Article 6, paragraph 2, of Law No. 287/9014. While maintaining this position throughout the period considered here, Mondadori has seen its share decrease from [30-35%] in 2016 to [20-25%] in 2021. A similar trend is observed in the market shares of other major operators, such as Gems, Giunti, and De Agostini (see Table 1).</w:t>
        <w:br/>
        <w:t>Table 1: General Publishing – Market Shares in Value 2016-2021</w:t>
        <w:br/>
        <w:t>PUBLISHERS 2016 2017 2018 2019 2020 2021*</w:t>
        <w:br/>
        <w:t>MONDADORI [30-35]% [25-30]% [25-30]% [25-30]% [20-25]% [20-25]%</w:t>
        <w:br/>
        <w:t>GEMS [10-15]% [10-15]% [10-15]% [10-15]% [10-15]% [10-15]%</w:t>
        <w:br/>
        <w:t>GIUNTI [5-10]% [5-10]% [5-10]% [5-10]% [5-10]% [5-10]%</w:t>
        <w:br/>
        <w:t>FELTRINELLI [5-10]% [5-10]% [5-10]% [5-10]% [5-10]% [5-10]%</w:t>
        <w:br/>
        <w:t>DE AGOSTINI [1-5]% [1-5]% [1-5]% [1-5]% [1-5]% [1-5]%</w:t>
        <w:br/>
        <w:t>ADELPHI [1-5]% [1-5]% [1-5]% [1-5]% [1-5]% [1-5]%</w:t>
        <w:br/>
        <w:t>11 See C12023 - Arnoldo Mondadori Editore/Rcs Libri, cited..</w:t>
        <w:br/>
        <w:t>12 See decision of November 4, 2021, No. 29867, cited.</w:t>
        <w:br/>
        <w:t>13 See AIE The State of the Book in Italy and Europe in the Second Year of the Pandemic, January 28, 2022, available on the website www.aie.it.</w:t>
        <w:br/>
        <w:t>14 See decision of the Authority of March 23, 2016, in case C12023, cited..</w:t>
      </w:r>
    </w:p>
    <w:p>
      <w:r>
        <w:t>BULLETIN NO. 9 OF MARCH 14, 2022 97</w:t>
        <w:br/>
        <w:t>PUBLISHERS 2016 2017 2018 2019 2020 2021*</w:t>
        <w:br/>
        <w:t>SELLERIO [1-5]% [1-5]% [1-5]% [1-5]% [1-5]% [1-5]%</w:t>
        <w:br/>
        <w:t>[less than [less than</w:t>
        <w:br/>
        <w:t>E/O [1-5]% [1-5]% [1-5]% [1-5]%</w:t>
        <w:br/>
        <w:t>1%] 1%]</w:t>
        <w:br/>
        <w:t>[less than [less than [less than [less than [less than [less than</w:t>
        <w:br/>
        <w:t>IL CASTORO</w:t>
        <w:br/>
        <w:t>1%] 1%] 1%] 1%] 1%] 1%]</w:t>
        <w:br/>
        <w:t>[less than [less than [less than [less than [less than</w:t>
        <w:br/>
        <w:t>LA NAVE DI TESEO [1-5]%</w:t>
        <w:br/>
        <w:t>1%] 1%] 1%] 1%] 1%]</w:t>
        <w:br/>
        <w:t>OTHERS [30-35]% [35-40]% [35-40]% [40-45]% [40-45]% [45-50]%</w:t>
        <w:br/>
        <w:t>*) Data updated to the 46th week of the year.</w:t>
        <w:br/>
        <w:t>SOURCE: GFK data provided by the Parties</w:t>
        <w:br/>
        <w:t>24. With specific reference to the distinct markets relevant for the assessment of this operation, it is noted that in the market for the publishing of fiction and non-fiction books, the concentration between Mondadori and DeA Libri results in limited horizontal effects, considering the market position of the target company, which holds shares of less than 1% both in volume and in value. As a result of the operation, Mondadori – already the leading operator in the market – would hold shares of [30-35%] in value and [30-35%] in volume (according to data updated to 202015), indicative of a market position partially diminished compared to that achieved following the acquisition of RCS Libri and the implementation of the structural measures prescribed by the Authority16. As in 2016, the main competitors are the GEMS Group, which currently holds shares in value and volume of [10-15%] and [15-20%], respectively, and Feltrinelli, with shares of [5-10%] in value and [5-10%] in volume.</w:t>
        <w:br/>
        <w:t>The HHI index, which, based on value shares, before the concentration is equal to 1,808 points, would increase by 45 points, reaching 1853 following the completion of the operation17. These values are below the thresholds at which it is considered likely that a transaction would raise competitive concerns18.</w:t>
        <w:br/>
        <w:t>25. In the market for children's books, the concentration with DeA Libri, which holds a share of approximately [1-5%], would lead Mondadori to consolidate its position as the leading operator in the market with shares of [30-35%] in value and [30-35%] in volume (according to data updated to 2020)19. Again, due to the declining trend in market shares of Mondadori – which has continued to manifest itself even in 202120 – the market position of the acquiring group would be partially diminished, or in any case not strengthened, compared to that achieved following the acquisition of RCS Libri and the implementation of the structural measures prescribed by the Authority21.</w:t>
        <w:br/>
        <w:t>Giunti and GEMS are the main competitors, holding, one a share (both in value and in volume) close to [15-20%] and the other a share of [10-15%]. Again, the values of the HHI index are below the thresholds at which it is considered likely that a transaction would raise competitive concerns, recording an increase of 180 points due to the concentration and a final value of 188022.</w:t>
        <w:br/>
        <w:t>26. In the market for guides and manuals, Mondadori is the leading operator, with a value share of [15-20%], which, as a result of this operation, will see a slight increase, reaching [20-25%]23. Considering the presence in the market of other qualified competitors – including Giunti, Gems, Feltrinelli, and Lonely Planet – the described overlap does not appear likely to produce harmful effects on competition.</w:t>
        <w:br/>
        <w:t>27. Similarly, in the market for art books, the operation will allow Mondadori to partially strengthen its position as the leading operator it already holds, reaching a share of [15-20%] in value24. However, this does not appear likely to produce anti-competitive effects due to the presence of numerous competitors, including publishers specialized in the publication of art books.</w:t>
        <w:br/>
        <w:t>IV.3 The effects of the operation in the digital book market</w:t>
        <w:br/>
        <w:t>28. In Italy, the production of digital books has developed since 2010 with e-books, while audiobooks represent a much more recent phenomenon, on which AIE began collecting data starting in 2019. Despite the sustained growth that e-books and audiobooks have recorded since their respective appearances on the market, sales reach values far lower than those of paper books: in particular, e-book sales in 2020 approached 100 million euros, with an increase of 36.6% compared to the previous year, attributable to the effects of the lockdown, followed by a stabilization at 86 million euros in 2021; audiobook sales rose from 9 million euros in 2019 to 24 million in 202125.</w:t>
        <w:br/>
        <w:t>29. Based on the data provided by the Party, it can be considered that in the market context just described, the operation in question does not raise competitive concerns. In fact, the sales made in 2020 by DeA Libri through the brand Libromania.net represent less than 1% of the overall offer of e-books and a significantly lower percentage of the offer of audiobooks. Therefore, following the operation, Mondadori's position will only be marginally strengthened, whose sales of e-books and audiobooks represent approximately [20-25%] and [5-10%] of the respective reference aggregates.</w:t>
        <w:br/>
        <w:t>IV.4 The effects of the operation in the market for the promotion of general books</w:t>
        <w:br/>
        <w:t>30. The market for promotional services for general books is positioned at a different stage of the supply chain than that of publishing, although the main publishing groups, including Mondadori, manage</w:t>
      </w:r>
    </w:p>
    <w:p>
      <w:r>
        <w:rPr>
          <w:b/>
        </w:rPr>
        <w:t>[Pages 97–99]</w:t>
      </w:r>
    </w:p>
    <w:p>
      <w:r>
        <w:t>BULLETIN NO. 9 OF MARCH 14, 2022 99</w:t>
        <w:br/>
        <w:t>directly promoting their own catalogs, in addition to providing such services also for competing publishers. The market includes only the services rendered in favor of third parties by both vertically integrated publishers and operators specialized in promotion. According to the estimates of the Party, the offering of promotion services to third parties in 2020 generated a value of approximately 630 million euros.</w:t>
        <w:br/>
        <w:t>31. Libromania is an operator specialized in promotional activities on behalf of third parties, to which a market share of approximately [5-10%] can be attributed; Mondadori, on the other hand, has a smaller presence in the market, quantified by a share of approximately [1-5%], as the network of promoters it directly controls is almost exclusively employed for the group's catalogs. The main operators in the market are promoters affiliated with competing publishing groups of Mondadori, such as PDE, controlled by Messaggerie, and Emmeproduzione, controlled by Feltrinelli. The rest of the offering is mostly represented by independent promoters, some of whom have market shares comparable to those of Libromania (see Table 2).</w:t>
        <w:br/>
        <w:t>Table 2: Structure of the book promotion market for general literature – value shares 2020</w:t>
        <w:br/>
        <w:t>omitted</w:t>
        <w:br/>
        <w:t>PDE [15-20]%</w:t>
        <w:br/>
        <w:t>Emmeproduzione [10-15]%</w:t>
        <w:br/>
        <w:t>Libromania [5-10]%</w:t>
        <w:br/>
        <w:t>Promedi [5-10]%</w:t>
        <w:br/>
        <w:t>NW Consulenza e</w:t>
        <w:br/>
        <w:t>[5-10]%</w:t>
        <w:br/>
        <w:t>Marketing Editoriale</w:t>
        <w:br/>
        <w:t>A.L.I. [1-5]%</w:t>
        <w:br/>
        <w:t>Mondadori [1-5]%</w:t>
        <w:br/>
        <w:t>Other promotional networks [40-45]%</w:t>
        <w:br/>
        <w:t>Source: elaborations based on data provided by the Parties</w:t>
        <w:br/>
        <w:t>32. The acquisition of control of Libromania, while consolidating the integration of the main general publisher in the market for promotion services, does not appear capable of producing anti-competitive effects: in fact, in the context described above, it can be excluded that Mondadori, downstream of the operation in question, will have the ability to block access to the market for competing publishers, for whom numerous and, at least in part, qualified alternative promotion networks are available.</w:t>
        <w:br/>
        <w:t>CONSIDERED, therefore, that the operation in question does not entail, pursuant to Article 6, paragraph 1, of Law No. 287/90, the establishment or strengthening of a dominant position in the relevant markets, such as to eliminate or substantially and durably reduce competition;</w:t>
        <w:br/>
        <w:t>CONSIDERED, furthermore, that the non-competition obligations, the prohibition on poaching employees, and the licensing agreements between the parties are accessory to this operation only to the limits described above and that the Authority reserves the right to evaluate the aforementioned agreements that are realized beyond the indicated limits;</w:t>
        <w:br/>
        <w:t>RESOLVES</w:t>
        <w:br/>
        <w:t>not to initiate the investigation referred to in Article 16, paragraph 4, of Law No. 287/90.</w:t>
      </w:r>
    </w:p>
    <w:p>
      <w:r>
        <w:t>100 BULLETIN NO. 9 OF MARCH 14, 2022</w:t>
        <w:br/>
        <w:t>The above conclusions will be communicated, pursuant to Article 16, paragraph 4, of Law No. 287/90, to the interested companies and to the Minister of Economic Development. This provision will be notified to the interested parties and published in the Bulletin of the Antitrust Authority.</w:t>
        <w:br/>
        <w:t>THE DEPUTY SECRETARY GENERAL THE PRESIDENT</w:t>
        <w:br/>
        <w:t>Serena Stella Roberto Rustichelli</w:t>
      </w:r>
    </w:p>
    <w:p>
      <w:r>
        <w:t>BULLETIN NO. 9 OF MARCH 14, 2022 101</w:t>
        <w:br/>
        <w:t>C12430 - DEA CAPITAL ALTERNATIVE FUNDS SGR/CALVI HOLDING</w:t>
        <w:br/>
        <w:t>Provision No. 30042</w:t>
        <w:br/>
        <w:t>THE ANTITRUST AUTHORITY</w:t>
        <w:br/>
        <w:t>IN ITS MEETING of February 22, 2022;</w:t>
        <w:br/>
        <w:t>HEARD the Rapporteur, Professor Michele Ainis;</w:t>
        <w:br/>
        <w:t>SEEN Regulation (EC) No. 139/2004 of the Council of January 20, 2004;</w:t>
        <w:br/>
        <w:t>SEEN Law No. 287 of October 10, 1990;</w:t>
        <w:br/>
        <w:t>SEEN Presidential Decree No. 217 of April 30, 1998;</w:t>
        <w:br/>
        <w:t>SEEN the communication from Dea Capital Alternative Funds SGR S.p.A. received on February 3, 2022;</w:t>
        <w:br/>
        <w:t>SEEN its resolution of February 22, 2022, with which the company Dea Capital Alternative Funds SGR S.p.A. was charged with the violation of the obligation of prior notification pursuant to Article 16, paragraph 1, of Law No. 287/1990, in relation to the acquisition of exclusive control of Calvi Holding S.p.A. and its subsidiaries;</w:t>
        <w:br/>
        <w:t>SEEN the documentation on file;</w:t>
        <w:br/>
        <w:t>CONSIDERED the following:</w:t>
        <w:br/>
        <w:t>I. THE PARTIES</w:t>
        <w:br/>
        <w:t>1. Dea Capital Alternative Funds SGR S.p.A. (hereinafter, Dea Capital AF) is a company subject to the control of De Agostini S.p.A., through the company Dea Capital S.p.A., active in the private equity and alternative asset management sector. Dea Capital AF operates in collective savings management and manages, inter alia, the IDeA CCR II Fund, a closed-end investment fund reserved for qualified investors and specialized in corporate restructuring operations.</w:t>
        <w:br/>
        <w:t>2. In 2018, Dea Capital AF achieved a total global turnover of approximately [4-5]* billion euros, of which approximately [1-2] billion euros from sales in Italy.</w:t>
        <w:br/>
        <w:t>3. Calvi Holding S.p.A. (hereinafter Calvi or the Target) is the holding company of a group active internationally in the steel sector, more specifically in the production and marketing of special profiles in steel or other metal alloys designed by the customer. At the time of the concentration operation in question, Calvi was also active in the production and sale of masts for forklifts through its participation in the capital of Lift-Tek Elecar S.p.A. and Lift Technologies Inc., which was sold during 2021.</w:t>
        <w:br/>
        <w:t>4. At the time of the concentration operation in question, the Target was under the joint control of Dea Capital AF, Calfin S.p.A. (hereinafter Calfin), and other individual shareholders of the Chini family, acquired as a result of a concentration operation assessed by the Authority in January 2019. This operation was part of a restructuring agreement pursuant to Article 67, paragraph 3, letter d), of the Bankruptcy Law, between Calvi and its creditors. Dea Capital AF, a creditor of Calvi, subscribed to a reserved capital increase of Calvi.</w:t>
        <w:br/>
        <w:t>* In this version, some data are omitted, as elements of confidentiality or secrecy of the information were deemed to exist.</w:t>
        <w:br/>
        <w:t>1 See C12214 - Provision No. 27511 of January 23, 2019, Bulletin No. 6/2019.</w:t>
      </w:r>
    </w:p>
    <w:p>
      <w:r>
        <w:rPr>
          <w:b/>
        </w:rPr>
        <w:t>[Pages 100–102]</w:t>
      </w:r>
    </w:p>
    <w:p>
      <w:r>
        <w:t>102 BULLETIN NO. 9 OF MARCH 14, 2022</w:t>
        <w:br/>
        <w:t>5. Based on the Shareholders' Agreement signed in December 2018 between Calfin, Dea Capital AF, and all other individual shareholders, the capital of the Target is divided into Class A shares, each of which grants 3 votes in the assembly, and Class B shares, which guarantee the possibility of exercising 1 vote for each share.</w:t>
        <w:br/>
        <w:t>6. Dea Capital AF holds 26% of the capital of Calvi, in Class A shares, corresponding to 51.32% of the voting rights in the assembly. The remaining 74% of the capital of Calvi consists of Class B shares, subscribed by Calfin and other individual shareholders belonging to the Chini family, and corresponds to 48.7% of the voting rights exercisable in the assembly2.</w:t>
        <w:br/>
        <w:t>7. Calvi achieved, in 2018, net of intercompany transactions, a turnover of [100-511] million euros, of which [31-100] in Italy. The turnover for the fiscal year 2020 was [31-100] million euros globally and [10-31] million euros in Italy.</w:t>
        <w:br/>
        <w:t>II. DESCRIPTION OF THE OPERATION</w:t>
        <w:br/>
        <w:t>8. The operation in question consisted of the transition from a situation of joint control over Calvi and its subsidiaries to the exclusive control of Dea Capital AF over such company and its subsidiaries, as a result of a series of "Relevant Events," as defined by the aforementioned Shareholders' Agreement, which led to the cessation of Dea Capital AF's commitment (contained in the same Agreement) to vote in accordance with the indications provided by Calfin and the individual shareholders belonging to the Chini family3.</w:t>
        <w:br/>
        <w:t>9. The Shareholders' Agreement (art. 5.2.1) and the Statute of Calvi in force at the time of the operation assessed by the Authority in January 2019, also provided that the Board of Directors be composed of seven members, of which, until the occurrence of a relevant event – as defined by the same Agreement – five designated by Calfin and the shareholders of the Chini family and two by Dea Capital AF. Furthermore, certain qualified matters required the approval with a favorable vote of at least six directors.</w:t>
        <w:br/>
        <w:t>10. According to what was represented by Dea Capital AF, less than a year after the signing of the restructuring agreement of December 2018, in which the concentration operation of January 2019 was included, a series of events qualifying as "Relevant Events" under the Shareholders' Agreement occurred, which automatically produced the effects provided for in art. 5.1.2 of the same Agreement, allowing Dea Capital AF, starting from November 2019, to express its voting rights in the assembly of Calvi in total autonomy and without constraints, even regarding the appointment of the Board of Directors and other extraordinary decisions4. Since November 2019, Dea Capital AF has had the absolute majority of votes in the ordinary and extraordinary assembly of Calvi.</w:t>
        <w:br/>
        <w:t>11. Furthermore, following the effects resulting from the occurrence of the aforementioned events, the Board of Directors of Calvi is no longer composed of seven members. With a statutory amendment approved by the extraordinary assembly of Calvi in July 2021, the number of directors was reduced from seven to five. The current Board was voted by the extraordinary assembly on the same occasion and is composed of five members designated by Dea Capital AF5.</w:t>
        <w:br/>
        <w:t>III. QUALIFICATION OF THE OPERATION</w:t>
        <w:br/>
        <w:t>12. The operation in question, as it involved the acquisition of exclusive control of a company, constitutes a concentration, pursuant to Article 5, paragraph 1, letter b), of Law 287/90. It falls within the scope of application of Law No. 287/1990, as the conditions set out in Article 1 of Regulation No. 139/2004 do not apply, and it is subject to the obligation of prior notification provided for by Article 16, paragraph 1, of Law No. 287/1990, as the total turnover achieved at the national level by the group of companies involved was, in 2018, over 498 million euros and the total turnover achieved individually at the national level by at least two of the companies involved, in 2018, was over 30 million euros, thresholds applicable ratione temporis.</w:t>
        <w:br/>
        <w:t>IV. EVALUATION OF THE CONCENTRATION</w:t>
        <w:br/>
        <w:t>IV.1 The relevant product and geographic markets</w:t>
        <w:br/>
        <w:t>IV.1.1 Premise</w:t>
        <w:br/>
        <w:t>13. Due to the operations of the Target, the operation concerns the steel sector and, in particular, the market for the production and marketing of special steel profiles or other metal alloys designed by the customer (M01) and the market for the production and sale of masts for forklifts (M02), in which Calvi was active at the time of the concentration operation in question.</w:t>
        <w:br/>
        <w:t>14. In defining the relevant markets in the steel product manufacturing sector, both the European Commission and the Authority made a distinction based on the metal used, the nature of semi-finished or finished products, the shape of the product (square, rectangular, round, etc.), and the production process (hot or cold rolling). During the acquisition operation of joint control over Calvi in January 2019, the Authority defined the relevant market as that of the production and marketing of special steel profiles or other metal alloys designed by the customer.</w:t>
        <w:br/>
        <w:t>15. This market, from a geographical perspective, can be considered at least European in size, given the absence of significant technical or legal barriers that prevent the exchange of such products between Member States, a homogeneous price level across different EU territories, and the low incidence of transportation costs on the final price of the products in question: special profiles are sold at a price about three times higher than that of standard profiles. The Party believes that the geographical dimension could also extend beyond the territory of the Union. To support a global geographical dimension, Dea Capital AF emphasizes that Calvi exports about [20-25%] of its production outside the EU.</w:t>
        <w:br/>
        <w:t>16. The masts for forklifts are components purchased by forklift manufacturers and are made according to the technical specifications of the forklifts for which they are intended. Therefore, the production of masts includes a range of design services tailored to the needs of customers. To a large extent, masts are produced by the same forklift manufacturers, who are vertically integrated.</w:t>
        <w:br/>
        <w:t>5 The appointment occurred with the favorable vote of Dea Capital AF and the other shareholders, except for Calfin.</w:t>
      </w:r>
    </w:p>
    <w:p>
      <w:r>
        <w:t>104 BULLETIN NO. 9 OF MARCH 14, 2022</w:t>
        <w:br/>
        <w:t>17. From a geographical perspective, the market for masts for forklifts has at least a European geographical dimension, considering the standardization of the technical specifications of forklifts worldwide and the ability to amortize transportation costs over a large number of pieces, resulting from the significant number of masts per order.</w:t>
        <w:br/>
        <w:t>18. In any case, for the purposes of evaluating the case in question, it does not seem necessary to arrive at a precise identification of the product markets and their geographical dimension, since in any case the assessment of the competitive impact would not change.</w:t>
        <w:br/>
        <w:t>IV.1.2 Effects of the operation</w:t>
        <w:br/>
        <w:t>19. The operation in question involved the acquisition of exclusive control by Dea Capital AF over Calvi, which was already jointly controlled by Dea Capital AF and other shareholders. The operation did not result in any change in the competitive structure of the relevant markets.</w:t>
        <w:br/>
        <w:t>20. Dea Capital AF is not active in the production and marketing of special steel profiles or other metal alloys designed by the customer, except through the Target, nor in markets upstream or downstream of that market.</w:t>
        <w:br/>
        <w:t>21. As for the market for the production and marketing of masts for forklifts, Dea Capital AF and Calvi are currently not active in that market, due to the divestment of the stakes held in the companies Lift-Tek Elecar S.p.A. and Lift Technologies Inc. of the Calvi group, which occurred during 2021, after the completion of the operation in question.</w:t>
        <w:br/>
        <w:t>22. In light of the above considerations, the concentration in question does not appear to be capable of altering the competitive dynamics in the relevant markets.</w:t>
        <w:br/>
        <w:t>THEREFORE, IT IS CONSIDERED that the operation in question, consisting of the acquisition of exclusive control of Calvi Holding S.p.A. by Dea Capital AF SGR S.p.A., did not result, pursuant to Article 6, paragraph 1, of Law 287/90, in the establishment or strengthening of a dominant position in the relevant markets, such as to eliminate or substantially and durably reduce competition;</w:t>
        <w:br/>
        <w:t>RESOLVES</w:t>
        <w:br/>
        <w:t>not to initiate the investigation referred to in Article 16, paragraph 4, of Law 287/90.</w:t>
        <w:br/>
        <w:t>The above conclusions will be communicated, pursuant to Article 16, paragraph 4, of Law 287/90, to the companies involved and to the Minister of Economic Development.</w:t>
        <w:br/>
        <w:t>This provision will be published in the Bulletin of the Antitrust Authority.</w:t>
        <w:br/>
        <w:t>THE DEPUTY SECRETARY GENERAL THE PRESIDENT</w:t>
        <w:br/>
        <w:t>Serena Stella Roberto Rustichelli</w:t>
      </w:r>
    </w:p>
    <w:p>
      <w:r>
        <w:rPr>
          <w:b/>
        </w:rPr>
        <w:t>[Pages 103–105]</w:t>
      </w:r>
    </w:p>
    <w:p>
      <w:r>
        <w:t>BULLETIN NO. 9 OF MARCH 14, 2022 105</w:t>
        <w:br/>
        <w:t>C12430B - DEA CAPITAL ALTERNATIVE FUNDS SGR/CALVI HOLDING</w:t>
        <w:br/>
        <w:t>Provision No. 30043</w:t>
        <w:br/>
        <w:t>THE ANTITRUST AUTHORITY</w:t>
        <w:br/>
        <w:t>IN ITS MEETING of February 22, 2022;</w:t>
        <w:br/>
        <w:t>HEARD the Rapporteur, Professor Michele Ainis;</w:t>
        <w:br/>
        <w:t>HAVING REGARD to Law No. 287 of October 10, 1990;</w:t>
        <w:br/>
        <w:t>HAVING REGARD, in particular, to Article 19, paragraph 2, of Law No. 287/1990, pursuant to which, in the event that the companies have not complied with the obligations of prior notification referred to in paragraph 1 of Article 16 of the same law, the Authority may impose administrative monetary penalties of up to 1% of the turnover of the year preceding the year in which the contestation is made;</w:t>
        <w:br/>
        <w:t>HAVING REGARD to Law No. 689 of November 24, 1981;</w:t>
        <w:br/>
        <w:t>HAVING REGARD to the Presidential Decree No. 217 of April 30, 1998;</w:t>
        <w:br/>
        <w:t>HAVING REGARD to the communication from Dea Capital Alternative Funds SGR S.p.A., received on February 3, 2022;</w:t>
        <w:br/>
        <w:t>HAVING REGARD to its resolution of February 22, 2022, concerning the assessment of the concentration operation consisting of the acquisition of exclusive control of Calvi Holding S.p.A. and its subsidiaries by Dea Capital Alternative Funds SGR S.p.A.;</w:t>
        <w:br/>
        <w:t>CONSIDERING the following:</w:t>
        <w:br/>
        <w:t>I. THE PARTIES</w:t>
        <w:br/>
        <w:t>1. Dea Capital Alternative Funds SGR S.p.A. (hereinafter, Dea Capital AF) is a company subject to the control of De Agostini S.p.A., through the company Dea Capital S.p.A., active in the private equity and alternative asset management sector. Dea Capital AF operates in collective savings management and manages, inter alia, the IDeA CCR II Fund, a closed-end investment fund reserved for qualified investors and specialized in corporate restructuring operations.</w:t>
        <w:br/>
        <w:t>2. In 2018, Dea Capital AF achieved a total worldwide turnover of approximately [4-5]* billion euros, of which approximately [1-2] billion euros from sales in Italy.</w:t>
        <w:br/>
        <w:t>3. Calvi Holding S.p.A. (hereinafter Calvi or the Target) is the holding company of a group active internationally in the steel sector, more specifically in the production and marketing of special steel profiles or other metal alloys designed by the customer. At the time of the concentration operation in question, Calvi was also active in the production and sale of masts for forklifts, through its equity participation in Lift-Tek Elecar S.p.A. and Lift Technologies Inc., which was sold during 2021.</w:t>
        <w:br/>
        <w:t>4. Prior to the operation in question, the Target was under joint control of Dea Capital AF, Calfin S.p.A. (hereinafter Calfin), and other individual shareholders from the Chini family, acquired as a result of a concentration operation assessed by the Authority in January 20191. This operation was part of a restructuring agreement pursuant to Article 67, paragraph 3, letter d), of the Bankruptcy Law, between Calvi and its creditors. Dea Capital AF, a creditor of Calvi, subscribed to a reserved capital increase of Calvi.</w:t>
        <w:br/>
        <w:t>* In this version, some data are omitted, as elements of confidentiality or secrecy of the information were deemed to exist.</w:t>
        <w:br/>
        <w:t>1 See C12214 - Provision No. 27511 of January 23, 2019, bulletin No. 6/2019.</w:t>
      </w:r>
    </w:p>
    <w:p>
      <w:r>
        <w:t>106 BULLETIN NO. 9 OF MARCH 14, 2022</w:t>
        <w:br/>
        <w:t>5. Based on the Shareholders' Agreement signed in December 2018 between Calfin, Dea Capital AF, and all other individual shareholders of Calvi, the capital of the Target is divided into type A shares, each of which grants 3 votes at the assembly, and type B shares, which guarantee the possibility of exercising 1 vote for each share.</w:t>
        <w:br/>
        <w:t>6. Dea Capital AF holds 26% of Calvi's capital, in type A shares, corresponding to 51.32% of the voting rights at the assembly. The remaining 74% of Calvi's capital consists of type B shares, subscribed by Calfin and other individual shareholders belonging to the Chini family, corresponding to 48.7% of the voting rights exercisable at the assembly2.</w:t>
        <w:br/>
        <w:t>7. Calvi achieved, in 2018, net of intercompany transactions, a turnover of [100-511] million euros, of which [31-100] in Italy. The turnover for the year 2020 was [31-100] million euros worldwide and [10-31] million euros in Italy.</w:t>
        <w:br/>
        <w:t>II. DESCRIPTION OF THE OPERATION</w:t>
        <w:br/>
        <w:t>8. The operation consisted of the transition from a situation of joint control over Calvi and its subsidiaries to the exclusive control of Dea Capital AF over that company and its subsidiaries, as a result of a series of "Relevant Events," as defined by the aforementioned Shareholders' Agreement, which led to the cessation of Dea Capital AF's commitment (contained in the Agreement) to vote in accordance with the indications provided by Calfin and the individual shareholders belonging to the Chini family3.</w:t>
        <w:br/>
        <w:t>9. The Shareholders' Agreement (art. 5.2.1) and the Statute of Calvi in force at the time of the operation assessed by the Authority in January 2019, also provided that the Board of Directors be composed of seven members, of which, until the occurrence of a relevant event – as defined by the same Agreement – five designated by Calfin and the Chini family shareholders and two by Dea Capital AF. Furthermore, certain qualified matters required the approval with a favorable vote of at least six directors.</w:t>
        <w:br/>
        <w:t>10. According to what was represented by Dea Capital AF, less than a year after the signing of the restructuring agreement in December 2018, in which the concentration operation of January 2019 was included, a series of events qualifying as "Relevant Events" under the Shareholders' Agreement occurred, which automatically produced the effects referred to in Article 5.1.2 of the same Agreement, allowing Dea Capital AF, starting from November 2019, to express its voting right at the assembly of Calvi in total autonomy and without constraints, including in relation to the appointment of the Board of Directors and other extraordinary decisions4. Since November 2019, Dea Capital AF has had the absolute majority of votes in the ordinary and extraordinary assembly of Calvi.</w:t>
        <w:br/>
        <w:t>11. Furthermore, as a result of the effects arising from the occurrence of the aforementioned events, the Board of Directors of Calvi is no longer composed of seven members. With a statutory amendment approved by the extraordinary assembly of Calvi in July 2021, the number of directors was reduced from seven to five. The current Board was voted by the extraordinary assembly on the same occasion and is composed of five members designated by Dea Capital AF5.</w:t>
        <w:br/>
        <w:t>2 See C12214 - Provision No. 27511 of January 23, 2019, bulletin No. 6/2019, par. II.</w:t>
        <w:br/>
        <w:t>3 Pursuant to paragraphs 5.1 and 5.2 of the Agreement, upon the occurrence of such "Relevant Events," the special agreements concerning the exercise of the voting right at the assembly, as well as the governance rules related to the designation of the Board of Directors, would cease to apply.</w:t>
        <w:br/>
        <w:t>4 Following what was noted by Dea Capital AF, two directors of Calvi resigned, leading to the expiration of the entire Board of Directors of Calvi, whose new members were appointed by the assembly on November 26, 2019, in compliance with the Statute's rules, which allow Dea Capital to freely and without other constraints express its vote also regarding the appointment of the Board of Directors, upon the occurrence of the "Relevant Events" defined by the Shareholders' Agreement.</w:t>
        <w:br/>
        <w:t>5 The appointment occurred with the favorable vote of Dea Capital AF and the other shareholders, except for Calfin.</w:t>
      </w:r>
    </w:p>
    <w:p>
      <w:r>
        <w:t>BULLETIN NO. 9 OF MARCH 14, 2022 107</w:t>
        <w:br/>
        <w:t>III. QUALIFICATION OF THE OPERATION</w:t>
        <w:br/>
        <w:t>12. The operation in question, as it involved the acquisition of exclusive control of a company, constitutes a concentration, pursuant to Article 5, paragraph 1, letter b), of Law No. 287/90. It falls within the scope of application of Law No. 287/1990, as the conditions set out in Article 1 of Regulation No. 139/2004 do not apply, and it is subject to the obligation of prior notification provided for by Article 16, paragraph 1, of Law No. 287/1990, as the total turnover achieved at the national level by the group of interested companies was, in 2018, above 498 million euros and the total turnover achieved individually at the national level by at least two of the interested companies, in 2018, was above 30 million euros, thresholds applicable ratione temporis.</w:t>
        <w:br/>
        <w:t>CONSIDERING, therefore, that the operation, as it involved the acquisition of exclusive control of a company, constitutes a concentration, pursuant to Article 5, paragraph 1, letter b), of Law No. 287/90;</w:t>
        <w:br/>
        <w:t>CONSIDERING that the turnover achieved at the national level by the group of interested companies and the total turnover achieved individually at the national level by at least two of the interested companies, for the period to which the operation refers, was above the minimum threshold provided for by Article 16, paragraph 1, of Law No. 287/1990 and that, therefore, the operation identified above was subject to the obligation of prior notification provided for by the same article;</w:t>
        <w:br/>
        <w:t>CONSIDERING that the aforementioned operation, carried out on November 26, 2019, was not communicated in advance, in violation of Article 16, paragraph 1, of Law No. 287/1990;</w:t>
        <w:br/>
        <w:t>RESOLVES</w:t>
        <w:br/>
        <w:t>a) to contest to Dea Capital Alternative Funds SGR S.p.A. the violation of the obligation of prior notification, provided for by Article 16, paragraph 1, of Law No. 287/1990, in relation to the operation of acquisition of exclusive control of Calvi Holding S.p.A. by Dea Capital Alternative Funds SGR S.p.A.;</w:t>
        <w:br/>
        <w:t>b) to initiate the procedure for the possible imposition of the monetary penalty referred to in Article 19, paragraph 2, of Law No. 287/1990, against Dea Capital Alternative Funds SGR S.p.A., for non-compliance with the obligations of prior notification of the operation referred to in the previous letter a);</w:t>
        <w:br/>
        <w:t>c) that the person responsible for the procedure is Dr. Paola Roberta Sfasciotti;</w:t>
        <w:br/>
        <w:t>d) that the documents of the procedure can be viewed at the Manufacturing and Services Directorate of the Directorate General for Competition, by the legal representatives of Dea Capital Alternative Funds SGR S.p.A., or by persons delegated by it;</w:t>
        <w:br/>
        <w:t>e) that, pursuant to Article 18, paragraph 1, of Law No. 689/1981, within thirty days from the notification of this contestation, the interested parties may submit to the Authority defensive writings and documents and request to be heard;</w:t>
        <w:br/>
        <w:t>f) that the procedure must be concluded within ninety days from the date of notification of this provision.</w:t>
      </w:r>
    </w:p>
    <w:p>
      <w:r>
        <w:rPr>
          <w:b/>
        </w:rPr>
        <w:t>[Pages 106–108]</w:t>
      </w:r>
    </w:p>
    <w:p>
      <w:r>
        <w:t>108 BULLETIN NO. 9 OF MARCH 14, 2022</w:t>
        <w:br/>
        <w:t>This provision will be notified to the interested parties and published in the Bulletin of the Antitrust Authority.</w:t>
        <w:br/>
        <w:t>THE DEPUTY SECRETARY GENERAL THE PRESIDENT</w:t>
        <w:br/>
        <w:t>Serena Stella Roberto Rustichelli</w:t>
      </w:r>
    </w:p>
    <w:p>
      <w:r>
        <w:t>BULLETIN NO. 9 OF MARCH 14, 2022 109</w:t>
        <w:br/>
        <w:t>REPORTING AND CONSULTATIVE ACTIVITIES</w:t>
        <w:br/>
        <w:t>AS1820 - CALL FOR TENDER FOR THE ASSIGNMENT OF THE SERVICE OF SENDING AND</w:t>
        <w:br/>
        <w:t>DELIVERING ENVELOPES CONTAINING DRIVER'S LICENSES AND VEHICLE REGISTRATIONS</w:t>
        <w:br/>
        <w:t>Rome, March 7, 2022</w:t>
        <w:br/>
        <w:t>Ministry of Infrastructure and Sustainable Mobility</w:t>
        <w:br/>
        <w:t>The Antitrust Authority, in its meeting of February 22, 2022, decided to express a report, pursuant to Article 21 of Law No. 287 of October 10, 1990, regarding the pre-information notice published on December 30, 2021, in the G.U.U.E., concerning the open procedure tender for the assignment of the "service of sending and delivering envelopes containing driver's licenses and vehicle registrations throughout the national territory," and the related documentation published on December 31, 2021, on the procurement portal of this administration.</w:t>
        <w:br/>
        <w:t>In particular, through the aforementioned acts, this administration has defined the characteristics of the future tender procedure and the conditions for participation, which present some profiles that may conflict with the principles of free competition, equal treatment, and non-discrimination among economic operators.</w:t>
        <w:br/>
        <w:t>First of all, the provision of a single lot for a procedure concerning the entire national territory and of considerable amount - approximately 340 million Euros, excluding VAT - appears contrary to the favor of the European and Italian legislator for the division of the contract into lots, given the need, from a competition protection perspective, to facilitate access to the market for small and medium-sized enterprises, also through a reduction in the value of contracts aimed at encouraging participation in tender procedures by smaller operators. In particular, Article 51, paragraph 1, of Legislative Decree No. 50/2016, which provides for a general obligation to separate into lots for contracting authorities, constitutes a specific declination of the principles of competition, non-discrimination, equal treatment, publicity, and transparency that inform European and national public procurement legislation and, as such, constitutes an additional expression of favor participationis, which cannot be unjustifiably limited. Considering also the significant economic dimensions of the tender procedure, it should have leaned towards a tender design as compatible as possible with the principle of division into lots, so as not to unjustifiably restrict the participation of sector operators in the tender, to the detriment of the principles of competition, favor participationis, reasonableness, and proportionality.</w:t>
        <w:br/>
        <w:t>If the provision of a single lot for an assignment concerning the entire national territory already appears particularly problematic in itself, competition is further prejudiced in this case, considering the long duration of the assignment, which lasts as long as 84 months (seven years).</w:t>
      </w:r>
    </w:p>
    <w:p>
      <w:r>
        <w:t>110 BULLETIN NO. 9 OF MARCH 14, 2022</w:t>
        <w:br/>
        <w:t>Such duration does not appear, in essence, appropriate or in line with the good practices observed in procedures related to the assignment of delivery services and unjustifiably postpones the periodic competition for the market that should characterize this type of assignments. The duration of the assignment is also significantly longer than that provided for in the tender conducted for the assignment of "Personalization, printing, and mailing services for driver's licenses and printing and mailing vehicle registrations," or services closely related to the delivery services subject to the tender in question.</w:t>
        <w:br/>
        <w:t>In the Authority's opinion, it also appears harmful to competition and favor participationis the requirement, for participation, of significant and uncommon economic and financial capacity requirements. A specific average annual turnover in the postal services sector is indeed required, referring to each of the last three financial years "not less than the total annual amount of the Contract, net of the option concerning the contracting authority's ability to make changes in increase or decrease to the quantity of licenses and registrations to be delivered up to 20%, amounting to €48,560,000.00, excluding VAT."</w:t>
        <w:br/>
        <w:t>In addition, considering that this is a single-lot tender extended to the entire national territory, the provisions regarding geographical coverage, contained in Article 4 of the specifications, which, referring to a 100% coverage of the entire national territory, also require a Service Point, or a presence in the territory where activities related to storage must also be carried out, for each province in the national territory1. Such provisions favor operators who can boast a widespread territorial coverage, thus causing further harm to the proper unfolding of competitive dynamics in the conduct of the tender procedure, not allowing for the widest participation. This is because only very few economic operators, specifically those particularly structured like the Universal Service Provider, can guarantee a widespread territorial coverage, both concerning the delivery network and the sites dedicated to storage activities.</w:t>
        <w:br/>
        <w:t>In detail, the requirement for territorial coverage - concerning the delivery network and the infrastructure functional to carry out storage/pick-up activities with the provision of a service point for each province in the national territory - should only be provided where deemed necessary and proportionate by the contracting authority in relation to the specific assignment and formulated in a way that does not unjustifiably favor the incumbent or the Universal Service Provider; conversely, the requirement for territorial coverage constitutes an undue barrier to entry or an obstacle to the proper unfolding of competitive dynamics2.</w:t>
        <w:br/>
        <w:t>Overall, the Authority therefore believes that the aforementioned provisions are likely to conflict with the principles of free competition, equal treatment, and non-discrimination among economic operators, enshrined in Article 41 of the Constitution and Articles 49 and 56 of the TFEU, as well as with the principles of European origin regarding public procurement established</w:t>
        <w:br/>
        <w:t>1 Article 4 of the Specifications: "The Contractor must ensure coverage of the delivery services of licenses and vehicle registrations directed to the national territory, through 100% geographical coverage understood as a list of all national postal codes, indicating the delivery areas that the Contractor commits to serve, using subcontracting or through the contracts referred to in Article 105, paragraph 3, letter c-bis), of the Code, without resorting to the Universal Service Provider. To this end, the Contractor must ensure geographical coverage, through the presence of at least one Service Point for each province in the national territory."</w:t>
        <w:br/>
        <w:t>2 See also the opinion AS1757 "ANAC-AGCOM - GUIDELINES FOR THE ASSIGNMENT OF PUBLIC PROCUREMENT OF POSTAL SERVICES," issued by the Authority on May 18, 2021, pursuant to Article 22 of Law No. 287/1990, regarding the draft of the updated Guidelines of Determination No. 3 of 12/9/2014 entitled "Guidelines for the assignment of public procurement of postal services," published in Bulletin No. 24/2021 of 14/06/2021.</w:t>
      </w:r>
    </w:p>
    <w:p>
      <w:r>
        <w:rPr>
          <w:b/>
        </w:rPr>
        <w:t>[Pages 109–111]</w:t>
      </w:r>
    </w:p>
    <w:p>
      <w:r>
        <w:t>BULLETIN NO. 9 OF MARCH 14, 2022 111</w:t>
        <w:br/>
        <w:t>from Article 30 and Article 51 of Legislative Decree No. 50/2016, to the extent that they significantly and unjustifiably hinder broader participation in the procedure.</w:t>
      </w:r>
    </w:p>
    <w:p>
      <w:r>
        <w:t>In conclusion, in light of the above considerations, the Authority hopes that this contracting authority will adopt corrective measures suitable for restoring the correct competitive dynamics regarding the awarding of the "Service for the shipment and delivery of envelopes containing driving licenses and vehicle registration documents throughout the national territory."</w:t>
      </w:r>
    </w:p>
    <w:p>
      <w:r>
        <w:t>The Authority also invites this contracting authority to communicate, within thirty days from the receipt of this notice, the initiatives taken regarding the competitive issues highlighted above.</w:t>
      </w:r>
    </w:p>
    <w:p>
      <w:r>
        <w:t>This notice will be published in the Bulletin of the Authority pursuant to Article 26 of Law No. 287/90.</w:t>
      </w:r>
    </w:p>
    <w:p>
      <w:r>
        <w:t xml:space="preserve">THE PRESIDENT </w:t>
        <w:br/>
        <w:t>Roberto Rustichelli</w:t>
      </w:r>
    </w:p>
    <w:p>
      <w:r>
        <w:t xml:space="preserve">BULLETIN NO. 9 OF MARCH 14, 2022 113 </w:t>
        <w:br/>
        <w:t xml:space="preserve">UNFAIR COMMERCIAL PRACTICES </w:t>
        <w:br/>
        <w:t xml:space="preserve">PS12073 - SKY-FOOTBALL PROMOTION </w:t>
        <w:br/>
        <w:t xml:space="preserve">Provision No. 30046 </w:t>
        <w:br/>
        <w:t xml:space="preserve">THE ANTITRUST AUTHORITY </w:t>
        <w:br/>
        <w:t xml:space="preserve">IN ITS MEETING of March 1, 2022; </w:t>
        <w:br/>
        <w:t xml:space="preserve">HEARD the Rapporteur, President Roberto Rustichelli; </w:t>
        <w:br/>
        <w:t xml:space="preserve">VIEWED Part II, Title III, of Legislative Decree No. 206 of September 6, 2005, containing the "Consumer Code" and subsequent amendments (hereinafter, Consumer Code); </w:t>
        <w:br/>
        <w:t xml:space="preserve">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w:t>
        <w:br/>
        <w:t xml:space="preserve">VIEWED its provision of July 1, 2021, whereby it was resolved not to adopt precautionary measures pursuant to Article 27, paragraph 3, of the Consumer Code; </w:t>
        <w:br/>
        <w:t xml:space="preserve">VIEWED its resolution of November 4, 2021, whereby, pursuant to Article 7, paragraph 3, of the Regulation, the deadline for concluding the procedure was extended for specific investigative needs, considering the necessity to examine the findings in the records for the evaluation of the cases subject to the procedure in question; </w:t>
        <w:br/>
        <w:t xml:space="preserve">VIEWED its resolution of December 21, 2021, whereby, pursuant to Article 7, paragraph 3, of the Regulation, the deadline for concluding the procedure was extended, considering the necessity to examine the complex and extensive documentation subject to the procedure in question; </w:t>
        <w:br/>
        <w:t>VIEWED the documents of the procedure;</w:t>
      </w:r>
    </w:p>
    <w:p>
      <w:r>
        <w:t xml:space="preserve">I. THE PARTIES </w:t>
        <w:br/>
        <w:t xml:space="preserve">1. Sky Italia S.r.l. (hereinafter also Sky, the Party, the Professional, the Company), in its capacity as Professional, pursuant to Article 18, paragraph 1, letter b), of the Consumer Code. The Company is active in the production and distribution of pay television channels, pay-per-view services, and interactive television services, via satellite and cable. Sky's financial statements for the year ending December 31, 2020, report revenues of €2,888,247,000. </w:t>
        <w:br/>
        <w:t>2. Tim S.p.A. (hereinafter, Tim) a company active in the installation and provision of telecommunications infrastructure, as well as in offering related services, in its capacity as a party admitted to participate in the procedure.</w:t>
      </w:r>
    </w:p>
    <w:p>
      <w:r>
        <w:t xml:space="preserve">II. THE COMMERCIAL PRACTICE </w:t>
        <w:br/>
        <w:t>3. The procedure concerns conduct carried out by Sky towards its customers, consisting of disseminating misleading information regarding the Sky Calcio offer to its subscribers concerning the awarding of rights to football events underlying the content of the Sky Calcio package for the 2021-2022 football season.</w:t>
      </w:r>
    </w:p>
    <w:p>
      <w:r>
        <w:t xml:space="preserve">III. THE FINDINGS OF THE PROCEDURE </w:t>
        <w:br/>
        <w:t xml:space="preserve">1) The course of the procedure </w:t>
        <w:br/>
        <w:t xml:space="preserve">4. In relation to the conduct described above, on June 11, 2021, Sky was notified of the initiation of investigative procedure PS12073 for possible violation of Articles 20, paragraph 2, and 21 of the Consumer Code. Concurrently with the notification of the initiation of the procedure, the Company was invited, pursuant to Article 8, paragraph 2, of the Regulation, to submit written statements and documents for the evaluation of the prerequisites for the provisional suspension of the practice, pursuant to Article 27, paragraph 3, of the Consumer Code. </w:t>
        <w:br/>
        <w:t xml:space="preserve">5. The professional was accused, among other things, of disseminating misleading messages regarding the offer of the Calcio package for the 2021/2024 seasons, which did not allow understanding of the actual content of the package. </w:t>
        <w:br/>
        <w:t xml:space="preserve">6. By act of July 1, 2021, communicated on July 13, 2021, it was resolved not to adopt precautionary measures, pursuant to Article 27, paragraph 3, of the Consumer Code, as the examination of the measures adopted by the professional, after receiving the initiation notification, revealed elements that excluded the existence of the requirement of particular urgency. </w:t>
        <w:br/>
        <w:t xml:space="preserve">7. On July 13, 2021, a request for participation in the procedure was received from Tim, which was accepted on July 16, 2021. By note of July 16, 2021, Sky was informed of the acceptance of Tim's participation request. </w:t>
        <w:br/>
        <w:t xml:space="preserve">8. On July 22, 2021, Sky provided a response to the request for information contained in the initiation of the investigation and, concurrently, sent the defense memorandum. </w:t>
        <w:br/>
        <w:t xml:space="preserve">9. On August 9, 2021, a memorandum was received from Tim. </w:t>
        <w:br/>
        <w:t xml:space="preserve">10. On October 5, 2021, a new request for information was made to Sky, whose response was received on October 26, 2021. </w:t>
        <w:br/>
        <w:t xml:space="preserve">11. On November 4, 2021, the Parties were notified of the extension of the deadline for concluding the procedure. </w:t>
        <w:br/>
        <w:t xml:space="preserve">12. On December 14, 2021, the Parties were notified of the conclusion date of the investigative phase pursuant to Article 16, paragraph 1, of the Regulation. </w:t>
        <w:br/>
        <w:t xml:space="preserve">1 See doc. No. 5. </w:t>
        <w:br/>
        <w:t xml:space="preserve">2 See doc. No. 24. </w:t>
        <w:br/>
        <w:t xml:space="preserve">3 See doc. No. 23. </w:t>
        <w:br/>
        <w:t xml:space="preserve">4 See doc. No. 26. </w:t>
        <w:br/>
        <w:t xml:space="preserve">5 See doc. No. 27. </w:t>
        <w:br/>
        <w:t xml:space="preserve">6 See doc. No. 33. </w:t>
        <w:br/>
        <w:t xml:space="preserve">7 See doc. No. 32. </w:t>
        <w:br/>
        <w:t xml:space="preserve">8 See doc. No. 37. </w:t>
        <w:br/>
        <w:t xml:space="preserve">9 See doc. No. 44. </w:t>
        <w:br/>
        <w:t xml:space="preserve">10 See doc. No. 46. </w:t>
        <w:br/>
        <w:t xml:space="preserve">11 See doc. Nos. 50-51. </w:t>
        <w:br/>
        <w:t>12 See doc. Nos. 59-60.</w:t>
      </w:r>
    </w:p>
    <w:p>
      <w:r>
        <w:rPr>
          <w:b/>
        </w:rPr>
        <w:t>[Pages 112–114]</w:t>
      </w:r>
    </w:p>
    <w:p>
      <w:r>
        <w:t>BULLETIN NO. 9 OF MARCH 14, 2022 115</w:t>
        <w:br/>
        <w:t>13. On December 21, 2021, the Parties were informed of the extension of the deadline for the conclusion of the proceedings.</w:t>
        <w:br/>
        <w:t>14. The hearing requested by the professional on December 21, 2021, took place on January 17, 2022.</w:t>
        <w:br/>
        <w:t>15. On January 20, 2022, an additional memorandum was received from the company Tim.</w:t>
        <w:br/>
        <w:t>16. On January 21, 2022, the final memorandum from Sky was received.</w:t>
        <w:br/>
        <w:t>17. On January 21, 2022, a request for an opinion was submitted to the Authority for Communications Guarantees (hereinafter also AGCOM), pursuant to Article 27, paragraph 6, of the Consumer Code. The opinion was received on February 18, 2022.</w:t>
        <w:br/>
        <w:t>2) The evidence acquired</w:t>
        <w:br/>
        <w:t>18. It emerges from the reports received and the documents on file that Sky disseminated information with the following contents and methods:</w:t>
        <w:br/>
        <w:t>- on its website, on May 2, 2021, Sky published an open letter titled "a message for all Sky subscribers" and subtitled "the cost of Sky Calcio is zeroed from July 1 to September 30"; the text of the letter continues, "we are aware that the situation related to the assignment of Serie A rights for the three-year period 2021-2024 remains highly uncertain at this time" and reiterates "from July 1 to September 30, the cost of Sky Calcio is zeroed, and will therefore be deducted from your monthly fee, without you having to do anything, not even a phone call [...] as soon as the situation of uncertainty is definitively resolved, we will promptly provide information regarding all the competitions that will make up the Sky Calcio package, and if you still wish to abandon it, you can do so at no cost, even if you have active promotions, with the methods and times that we will take care to communicate, without you having to do anything";</w:t>
        <w:br/>
        <w:t>- through a video uploaded at the top of the same webpage that plays in autoplay, which emphasizes the "state of uncertainty" that would characterize the awarding of the 2021-2024 television rights for Serie A, as well as the fact that, in the meantime, the consumer should not "do anything, not even a phone call," but only benefit from the promotion reserved for them by Sky. The video concludes with a reassuring message followed by a "call to action" that states: "all you have to do is enjoy the show in your home, the home of great sports";</w:t>
        <w:br/>
        <w:t>- through a widespread series of individual communications, sent in the first week of May (May 4, 2021) via SMS, with the following content: "In the uncertainty regarding Serie A rights 21/24, for you the cost of Sky is zeroed from 1/7 to 30/9. Relax and enjoy the summer with Sky.it/infocalcio." The text of the individual communications concludes with the following phrase "if we are unable to offer you the usual Sky Calcio package and you still wish to leave us, you can do so at no cost";</w:t>
        <w:br/>
        <w:t>- by clicking on the aforementioned link Sky.it/infocalcio, one would land on a landing page that illustrated the discount contents: "from July 1 to September 30, we will deduct 16 euros from your monthly fee for the Sky Calcio package if you are a Sky Smart profile customer and 20 euros if you are a Sky Open profile customer. For all other Sky customers with a subscription via satellite or via the internet, from July 1 to September 30, Sky will deduct the sum of 15.20 euros from the monthly subscription fee, including Sky Calcio";</w:t>
        <w:br/>
        <w:t>- through personalized email communications, sent to its customers a few days after the SMS were sent (e.g., May 6, 2021), with a subject line that reads: "For you this summer the cost of Sky Calcio is zeroed." In the message, it states: "we wrote to you two weeks ago to give you an update regarding the assignment of Serie A rights for the three-year period 2021-2024. At this time, the context remains highly uncertain and we have thus thought of some initiatives to ensure, in the meantime, your satisfaction [...] this summer relax and enjoy the best of Sky as soon as the situation of uncertainty is definitively resolved [...]";</w:t>
        <w:br/>
        <w:t>- through overlay messages during sports broadcasts aired, for example, on May 5, 2021, on its Sky Calcio channel: "Update on the assignment of Serie A 2021-2024: the context remains highly uncertain and we have thought of some initiatives for you. From July 1 to September 30, the cost of Sky Calcio is zeroed. Relax and enjoy the summer with Sky! Discover more at sky.it/infocalcio."</w:t>
        <w:br/>
        <w:t>19. Despite the situation having become absolutely certain as of May 14, 2021, with the awarding of Package 2 and the withdrawal of the appeal against the awarding of the remaining seven matches scheduled for exclusive absolute coverage for each matchday, Sky did not send any corrective/integrative/modifying individual communication to its customer base to inform its customers of the actual contents, which had now become certain, of the Calcio package in effect from the following autumn. Instead, Sky limited itself to removing previous messages from its website, except for what was present on the landing page that remained active on the server of the site and the video contained in the news archive of the Sky site. The Professional also replaced the previous message on its site with the following: "Serie A TIM 2021-24 with 3 matches out of 10 each matchday, the Saturday match at 20:45, the Sunday match at 12:30, and the Monday match at 20:45. Serie BKT 2021-24 with all 380 seasonal matches, plus playoffs and playouts. A selection of matches from the Premier League for the 2021/2022 season, from the Bundesliga for the 2021-2025 seasons, from Ligue 1 for the 2021-2024 seasons. All matches of UEFA Euro 2020 also in 4K HDR."</w:t>
        <w:br/>
        <w:t>20. Furthermore, Sky disseminated the following information on its website aimed at customers with a subscription to the Sky Calcio Package: "Free to choose. Sky takes maximum care and attention towards its customers. Before the start of the Serie A Championship season 2021/22, we will take care to send you a specific communication to inform you of the methods and times with which you will be free to leave us or remove Sky Calcio at no cost, as well as provide any other relevant information also on this site." Finally, Sky issued the following press release: "SERIE A TV RIGHTS 2021/2024. SKY WINS 3 MATCHES PER DAY. Sky has acquired for the three-year period 2021/2024 the co-exclusive rights to three Serie A matches for each matchday. From the next season, it will therefore broadcast the matches on Saturday at 20:45, on Sunday at 12:30, and on Monday at 20:45. In the three-year period 2021/2024, Sky and NOW will offer a wide number of national and international football matches per season, with 114 Serie A matches, all matches of the Serie B Championship, more than 400 matches of UEFA Champions League, UEFA Europa League, and UEFA Europa Conference League, along with three major international leagues such as Ligue 1, Bundesliga, and Premier League for the next season. Not to mention the rest of the great live sports, with motors, basketball, tennis, rugby, golf, and much more. A programming with many unmissable events, starting from the next two UEFA Europa League and UEFA Champions League finals (May 26 and 29) and the upcoming football European Championships with all 51 matches live on Sky (from June 11 to July 11). Sky will continue in the coming months to enrich its offering with new content and to propose a wide choice of sports in Italy with the passion and editorial and technological quality that have always made the difference for our subscribers."</w:t>
        <w:br/>
        <w:t>21. From June 23, 2021, Sky began, completing it on July 1, 2021, an informational campaign directed individually at its subscribers regarding the Sky Calcio package, containing specific and detailed information about the characteristics of the package.</w:t>
        <w:br/>
        <w:t>3) The defensive arguments of the Professional</w:t>
        <w:br/>
        <w:t>22. Sky, in its defensive memoranda and during the hearing on January 17, 2022, represented, regarding the alleged misleading conduct consisting of the inadequacy of the information provided to its customers holding the Calcio package concerning the awarding of rights to the football events underlying the content of the package available from the 2021-2022 football season, that no form of misleadingness can be found regarding the contested messages, asserting the legitimacy of its conduct.</w:t>
        <w:br/>
        <w:t>23. In summary, the Company highlighted that, starting from the day following the final awarding of the television rights, therefore on May 15, 2021, it replaced the message on its website informing its customers that, from the following football season and through its Sky Calcio package, they would be able to see three matches out of ten for each matchday of the Serie A Championship.</w:t>
        <w:br/>
        <w:t>24. Furthermore, Sky stated that it continued to disseminate the message regarding the possibility for its customers with a subscription including the Sky Calcio package to exercise – before the start of the new Serie A Championship and with the methods/timings that would be communicated – the withdrawal at no additional cost from the subscription (so-called free exit) or the downgrade, that is, the cancellation, also at no cost, from the Sky Calcio package. The Professional also noted that it had disseminated before the start of the Serie A Championship season 2021/22 an informative notice aimed at customers with an active subscription to the Sky Calcio Package as of May 14, 2021, on the methods and times with which they could choose to withdraw at no cost, and had provided any other relevant information also on its website.</w:t>
        <w:br/>
        <w:t>25. Sky therefore believes that, starting from July 1, 2021, it has duly informed customers about the contents of the Calcio package and the methods of exercising the free exit through its website also through the sending of individual communications.</w:t>
        <w:br/>
        <w:t>26. According to the Professional, its conduct confirms that consumers were indeed granted the right to withdraw from the Calcio package or from the entire package. Sky emphasizes that it sent, starting from July 15, 2021, a communication to represent that subscribers could withdraw from the contract without costs and penalties until September 30, 2021, and provided the possibility, until December 31, 2021, to cancel only the Calcio package, maintaining discounts on other packages that, at the time of contract conclusion, had been conditioned on the activation of said package. Previous messages also included all the information that Sky itself had at the time of their dissemination and at a time when the programming of Serie A for the 2020-21 season was still ongoing. In particular, consumers were provided with the certainty of being able to make their purchasing choice for the following season freely, without any kind of coercion, by communicating a measure.</w:t>
      </w:r>
    </w:p>
    <w:p>
      <w:r>
        <w:rPr>
          <w:b/>
        </w:rPr>
        <w:t>[Pages 115–117]</w:t>
      </w:r>
    </w:p>
    <w:p>
      <w:r>
        <w:t>118 BULLETIN NO. 9 OF MARCH 14, 2022</w:t>
        <w:br/>
        <w:t>unilateral customer care measure decided by Sky that could have influenced their future choices and of which subscribers had to be informed.</w:t>
        <w:br/>
        <w:t>27. According to the Professional, considering the period during which each message was disseminated, the factual situation was correctly represented also taking into account the fact that, in the initial period, there was an objective uncertainty regarding Sky's future ability to offer the entire Serie A championship to its customers. Furthermore, during the period when the first messages were disseminated, customers were not interested in making any purchasing decisions, given that the 2020/2021 Serie A season was still ongoing and DAZN, whose assignment of rights was provisional, had not yet launched its offer for the following season (2021/2022), which took place starting from July 1, 2021. The messages accessible to the general public were then removed on the day of the "closure" of the Auction (May 14, 2021) and replaced with messages that clearly indicated that Sky had the possibility, for the subsequent championship that would start after more than three months, to broadcast only three Serie A matches for each matchday.</w:t>
        <w:br/>
        <w:t>28. In conclusion, according to Sky, evaluating the information campaign in its entirety, at its conclusion – on July 1, 2021 – the consumer was informed of the content of the Sky Calcio package, with the possibility to choose without costs a full two months before the start of the new Serie A championship, as well as before DAZN and TIM launched their respective offers dedicated to the new Serie A season.</w:t>
        <w:br/>
        <w:t>4) Tim's Arguments</w:t>
        <w:br/>
        <w:t>29. According to Tim, Sky did not highlight, in favor of its customer base, the essential informational elements regarding the content of the Calcio offer from the 2021-22 season, considering that as of March 26, 2021, the Professional was aware that it would not be able to provide "the usual Sky Calcio package" consisting of seven matches out of ten per matchday. As of May 14, 2021, the Company was awarded only the "Package 2", limited to three matches in co-exclusive, and following this award had withdrawn the appeal against the assignment of the other seven matches exclusively to DAZN. Thus clarified the situation, Sky did not send any corrective/integrative/modifying individual communication regarding those previously addressed to the customer base, nor did it remove or correct the informational materials that still appear on the Company's website, in order to inform its customers of the actual contents of the Calcio package from autumn 2021.</w:t>
        <w:br/>
        <w:t>30. The set of actions taken, according to Tim, would have been aimed at inducing the subscribing consumer not to change their choices regarding the Calcio package and/or the contract with Sky, making them believe they could still enjoy the same content of the package with the same professional, and keeping them in a state of absence of information, even regarding the incentive of the summer discount. Such actions would have led, in Tim's opinion, Sky customers, already subscribed to the Professional's services, and in particular to the Calcio package, to maintain the existing relationship, with the hope that the state of uncertainty represented would cease, thus continuing to incur monthly charges without, alternatively, choosing to withdraw from the package or the contract, counting on being able to do so at any time without incurring the cost of any penalties.</w:t>
        <w:br/>
        <w:t>31. Tim also highlights that, even after May 14, 2021, the date on which the procedure for the assignment of Serie A viewing rights was definitively concluded, Sky did not sufficiently remedy the effects generated by the dissemination of the previous misleading messages, addressed individually to the individual subscribers. Only on July 1, 2021, and thus following the communication of the Start and in the face of the threat of a precautionary intervention, the Professional sent its customers individual communications aimed at rectifying, at least in part, what had been misleadingly presented up to that point.</w:t>
        <w:br/>
        <w:t>IV. OPINION OF THE AUTHORITY FOR GUARANTEES IN COMMUNICATIONS</w:t>
        <w:br/>
        <w:t>32. Since the conduct concerns an operator active in the communications sector, on January 21, 2022, the opinion was requested from the Authority for Guarantees in Communications, pursuant to Article 27, paragraphs 1-bis and 6, of the Consumer Code.</w:t>
        <w:br/>
        <w:t>33. With the opinion received on February 18, 2022, AGCOM first clarified that in light of the amended Article 27, paragraph 1-bis, of the Code, the opinion on the specific case is rendered pursuant to Article 27, paragraph 6, of the same Code, and reported its assessments regarding the suitability of the specific means of communication used to disseminate the commercial practice to impact and amplify any misleading and/or unfairness of the same practice, concluding that they constitute tools capable of significantly influencing the realization of the commercial practice for which its opinion is requested.</w:t>
        <w:br/>
        <w:t>V. CONCLUDING EVALUATIONS</w:t>
        <w:br/>
        <w:t>34. The evidence on file proves the existence of a commercial practice in violation of Article 21 of the Consumer Code, carried out by Sky Italia S.r.l. through the dissemination, on its website (https://www.sky.it) and via personalized messages (via SMS, personalized communications, and emails), of misleading information regarding the assignment of football rights underlying the content of the Sky Calcio package, available to its subscribers from the 2021-2022 football season. In fact, the Company represented a situation of uncertainty regarding the assignment of Serie A rights, suggesting the possibility for its subscribers to continue enjoying the content related to the Serie A championship, as in the previous season.</w:t>
        <w:br/>
        <w:t>35. Thus, Sky did not take into account in its communications the outcome of the auction held by the Lega Calcio for the assignment of broadcasting rights for Serie A football matches.</w:t>
        <w:br/>
        <w:t>36. In fact, contrary to what the Professional claimed, regarding the uncertainty existing between March 26, 2021, the date of the assignment of Packages 1 and 3 to DAZN, and May 14, 2021, the date of the assignment of Package 2 in co-exclusive to Sky, it is worth noting that, already following the conclusion of the auction for the assignment of exclusive television rights for seven Serie A matches per matchday, which took place on March 26, 2021, Sky was aware that it could not provide the Sky Calcio package composed, as before, of seven matches out of ten per matchday.</w:t>
        <w:br/>
        <w:t>37. Nevertheless, the Company still provided its subscribing customers – on the website and through personalized messages (SMS and emails) – information that did not allow them to understand the actual content of the offer related to the Sky Calcio package for the 2021/2022 season, instead allowing the possibility that the offer in question could remain unchanged from previous years.</w:t>
        <w:br/>
        <w:t>38. The messages disseminated between May 2 and May 6, 2021, contrary to what Sky claimed, in addition to informing consumers about the promotional elimination of the cost of the Sky Calcio package for the summer period, also represented a situation of uncertainty regarding the possession of Serie A rights that, as seen, did not exist.</w:t>
        <w:br/>
        <w:t>39. The statements contained in the messages in question were reassuring also in light of the fact that in the past Sky had broadcast seven matches of each matchday of the Serie A football tournament. Consequently, the football fan consumer, in the absence of clear information regarding the contents of the offer and in particular the news regarding the number of available matches, could easily fall into the error of believing that Sky would be able to guarantee the viewing of most matches for the subsequent championship as well.</w:t>
        <w:br/>
        <w:t>40. This circumstance consequently oriented Sky customers, already subscribed to the Company's services, and in particular to the Calcio package, to maintain the existing package, with the prospect of being able to benefit from the promised discounts for the summer months but also, subsequently, to be able to withdraw without penalties; the state of alleged uncertainty was indeed compensated by information that tended to reassure the customer in order to prevent their exit from the Sky subscription.</w:t>
        <w:br/>
        <w:t>41. On the other hand, contrary to what the party claimed regarding the historical moment in which the messages were sent, during the period May 2-6, 2021, it does not matter that the aforementioned messages were disseminated while the old football championship was still ongoing, as this does not affect the misleading and deceptive nature of the same, also in light of the fact that they were not followed by timely individual communications to the contrary.</w:t>
        <w:br/>
        <w:t>42. The information that was clarified from May 14, 2021, following the assignment of "Package 2", and thus three matches per matchday in co-exclusive, did not remedy the effects generated by the dissemination of the previous misleading messages.</w:t>
        <w:br/>
        <w:t>43. In fact, Sky's observation that it had already activated itself from May 14, 2021, to update the messages present in the public areas of the site, replacing them with others that acknowledged the assignment of Package 2, and disseminating a press release widely picked up by national media, unequivocally stating the outcome of the auction for the assignment of Serie A rights, would have prevented any conditioning of consumers' commercial behavior cannot be shared. In fact, in the promotional campaign disseminated during the period May 14, 2021 - June 23, 2021, the Professional limited itself to replacing the previous message on its website with one illustrating the contents of the Sky package, but did not accompany this information with a similar one addressed individually to the individual subscribers to whom the previous messages had been directed, capable of ensuring the removal of the uncertainty generated by such communications.</w:t>
        <w:br/>
        <w:t>44. Only with the campaign that ended on July 1, 2021, the informational contents regarding the new configuration of the Calcio package, as disseminated by Sky in the individual communications sent to its subscribers, proved suitable to provide precise and effective information on the actual contents of the football offer in question. Only with the completion of the personalized communication cycle was the result finally ensured of providing correct and exhaustive information on the contents of the new Calcio package, as such capable of removing the uncertainty generated by the previous individual communications sent to Sky customers.</w:t>
        <w:br/>
        <w:t>45. In particular, Sky sent through the available channels (SMS, email), to all customers with the Sky Calcio package, individual communications in which the content of the package and the method of exercising the right of withdrawal were specified.</w:t>
        <w:br/>
        <w:t>46. In conclusion, the conduct carried out by Sky, concerning the dissemination on its website and through personalized messages (via SMS and email), of misleading information regarding the assignment of football rights underlying the content of the Sky package.</w:t>
      </w:r>
    </w:p>
    <w:p>
      <w:r>
        <w:rPr>
          <w:b/>
        </w:rPr>
        <w:t>[Pages 118–120]</w:t>
      </w:r>
    </w:p>
    <w:p>
      <w:r>
        <w:t>BULLETIN NO. 9 OF MARCH 14, 2022 121</w:t>
        <w:br/>
        <w:t>Football, available to its subscribers from the 2021-2022 football season, constitutes an unfair and misleading commercial practice in violation of Article 21 of the Consumer Code, as it is capable of misleading consumers regarding the actual nature and convenience of the advertised offer, particularly concerning the composition of the Football package for the 2021-2022 Serie A football season, resulting in them making commercial decisions they would not have otherwise made.</w:t>
        <w:br/>
        <w:t>VI. QUANTIFICATION OF THE SANCTION</w:t>
        <w:br/>
        <w:t>47. Pursuant to Article 27, paragraph 9 of the Consumer Code, with the provision that prohibits an unfair commercial practice, the Authority orders the application of an administrative pecuniary sanction from €5,000 to €5,000,000, taking into account the seriousness and duration of the violation.</w:t>
        <w:br/>
        <w:t>48. Regarding the quantification of the sanction, the criteria identified by Article 11 of Law No. 689/81 must be considered, as applicable, by virtue of the reference provided in Article 27, paragraph 13, of the Consumer Code: in particular, the seriousness of the violation, the efforts made by the company to eliminate or mitigate the infringement, the personality of the agent, as well as the economic conditions of the company itself.</w:t>
        <w:br/>
        <w:t>49. With regard to the seriousness of the violation, account is taken of the nature of the practice, which involved the dissemination of misleading information regarding highly popular content such as that related to Serie A football matches, which constitute a driving element of the entire television offer of pay-TV operators capable of broadcasting them. In relation to the economic size of the professional, based on available chamber data, it appears that it generated approximately €3 billion in revenue in 2020.</w:t>
        <w:br/>
        <w:t>50. In further assessing the seriousness of the violation, account is also taken in the case at hand: i) of the dissemination of advertising messages, also conveyed via the internet; ii) of the national extent of the practice, which involved approximately [omitted]* Sky customers27 located throughout the Italian territory.</w:t>
        <w:br/>
        <w:t>51. As for the duration of the violation, the available evidence indicates that the commercial practice was carried out from May 2, 2021, at least until July 1, 2021, when the information campaign on the new configuration of the Football package was completed.</w:t>
        <w:br/>
        <w:t>52. Based on these elements, it is deemed appropriate to determine the amount of the base administrative pecuniary sanction applicable to Sky Italia S.r.l. at €1,000,000 (one million euros).</w:t>
        <w:br/>
        <w:t>53. Considering that there is, in this case, an aggravating circumstance related to recidivism as the professional has already been the subject of measures confirming violations of the Consumer Code28, as well as a mitigating circumstance, namely a loss in the balance sheet, it is deemed appropriate to set the amount of the sanction at €1,000,000 (one million euros).</w:t>
        <w:br/>
        <w:t>CONSIDERING, therefore, in accordance with the opinion of the Authority for Communications Guarantees, based on the above considerations, that the commercial practice in question is unfair under Article 21 of the Consumer Code as it is capable, through the misleading dissemination of messages regarding the composition of the Football package starting from the 2021-2022 season, in the terms outlined above, of appreciably distorting the economic behavior of the average consumer in relation to the service offered and advertised by the professional;</w:t>
        <w:br/>
        <w:t>RESOLVES</w:t>
        <w:br/>
        <w:t>a) that the commercial practice described in point II of this provision, carried out by the company Sky Italia S.r.l., constitutes, for the reasons and within the limits outlined, an unfair commercial practice under Article 21 of the Consumer Code;</w:t>
        <w:br/>
        <w:t>b) to impose on the company Sky Italia S.r.l. an administrative pecuniary sanction of €1,000,000 (one million euros).</w:t>
        <w:br/>
        <w:t>The imposed administrative sanction must be paid within thirty days from the notification of this provision, using the tax codes indicated in the attached F24 model with identifying elements, pursuant to Legislative Decree No. 241/1997.</w:t>
        <w:br/>
        <w:t>Payment must be made electronically with a debit from one's bank or postal account, through home banking and CBI services provided by banks or Poste Italiane S.p.A., or by using the telematic services of the Revenue Agency, available on the website www.agenziaentrate.gov.it.</w:t>
        <w:br/>
        <w:t>After the aforementioned deadline, for a delay period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collection agent; in this case, the increase absorbs the late interest accrued during the same period.</w:t>
        <w:br/>
        <w:t>Immediate communication of the payment must be given to the Authority by sending documentation certifying the payment made.</w:t>
        <w:b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r>
    </w:p>
    <w:p>
      <w:r>
        <w:t>BULLETIN NO. 9 OF MARCH 14, 2022 123</w:t>
        <w:br/>
        <w:t>Against this provision, an appeal may be filed with the TAR of Lazio, pursuant to Article 135, paragraph 1, letter b), of the Code of Administrative Procedure (Legislative Decree No. 104 of July 2, 2010), within sixty days from the date of notification of the provision itself, without prejudice to the longer terms provided for in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notification of the provision itself.</w:t>
        <w:br/>
        <w:t>THE DEPUTY SECRETARY GENERAL THE PRESIDENT</w:t>
        <w:br/>
        <w:t>Serena Stella Roberto Rustichelli</w:t>
      </w:r>
    </w:p>
    <w:p>
      <w:r>
        <w:rPr>
          <w:b/>
        </w:rPr>
        <w:t>[Pages 121–121]</w:t>
      </w:r>
    </w:p>
    <w:p>
      <w:r>
        <w:t>Antitrust Authority Weekly Bulletin</w:t>
        <w:br/>
        <w:t>of Competition and Market Year XXXII - No. 9 - 2022</w:t>
        <w:br/>
        <w:t>Editorial Coordination Giulia Antenucci</w:t>
        <w:br/>
        <w:t>Editorial Team Valerio Ruocco, Simonetta Schettini, Manuela Villani</w:t>
        <w:br/>
        <w:t>Antitrust Authority for Competition and Market</w:t>
        <w:br/>
        <w:t>Statistics and IT Applications Office</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