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https://www.agcm.it/dotcmsdoc/bollettini/2023/9-23.pdf</w:t>
      </w:r>
    </w:p>
    <w:p>
      <w:r>
        <w:t>Pages translated : 43</w:t>
      </w:r>
    </w:p>
    <w:p/>
    <w:p>
      <w:r>
        <w:rPr>
          <w:b/>
        </w:rPr>
        <w:t>[Pages 1–3]</w:t>
      </w:r>
    </w:p>
    <w:p>
      <w:r>
        <w:t>Bulletin</w:t>
        <w:br/>
        <w:t>Weekly</w:t>
        <w:br/>
        <w:t>Year XXXIII - No. 9</w:t>
        <w:br/>
        <w:t>Published on the website www.agcm.it</w:t>
        <w:br/>
        <w:t>March 6, 2023</w:t>
      </w:r>
    </w:p>
    <w:p>
      <w:r>
        <w:t>SUMMARY</w:t>
        <w:br/>
        <w:t>AGREEMENTS AND ABUSE OF DOMINANT POSITION 5</w:t>
        <w:br/>
        <w:t>A552 - GOOGLE - OBSTACLES TO DATA PORTABILITY</w:t>
        <w:br/>
        <w:t>Measure No. 30481 5</w:t>
        <w:br/>
        <w:t>I861 - ITALIAN VOLLEYBALL FEDERATION / SPORTS BOND</w:t>
        <w:br/>
        <w:t>Measure No. 30492 6</w:t>
        <w:br/>
        <w:t>CONCENTRATION OPERATIONS 8</w:t>
        <w:br/>
        <w:t>C12519 - HERAMBIENTE INDUSTRIAL SERVICES / A.C.R. OF REGGIANI ALBERTINO - R.I.ECO BUSINESS UNIT</w:t>
        <w:br/>
        <w:t>Measure No. 30482 8</w:t>
        <w:br/>
        <w:t>C12520 - FREEDOM 1 - NATURAL PERSON / ASSIST DIGITAL</w:t>
        <w:br/>
        <w:t>Measure No. 30483 14</w:t>
        <w:br/>
        <w:t>C12521 - F2I SGR / HISI HOLDING OF INVESTMENT IN HEALTHCARE AND INFRASTRUCTURE</w:t>
        <w:br/>
        <w:t>Measure No. 30484 19</w:t>
        <w:br/>
        <w:t>TELEVISION RIGHTS 22</w:t>
        <w:br/>
        <w:t>SR44 - FIGC / MARKETING OF AUDIOVISUAL RIGHTS FOR WOMEN'S FOOTBALL FROM SEASON 2023/2024</w:t>
        <w:br/>
        <w:t>Measure No. 30491 22</w:t>
        <w:br/>
        <w:t>UNFAIR COMMERCIAL PRACTICES 34</w:t>
        <w:br/>
        <w:t>PS12159 - MUNICIPALITY OF SAN NICOLA LA STRADA - BIENNIAL PRESCRIPTION IN THE WATER SECTOR</w:t>
        <w:br/>
        <w:t>Measure No. 30487 34</w:t>
        <w:br/>
        <w:t>CONFLICT OF INTEREST 42</w:t>
        <w:br/>
        <w:t>SI1203B - VITTORIO COLAO - MINISTER OF TECHNOLOGICAL INNOVATION AND DIGITAL TRANSITION - OPINION POST APPOINTMENT</w:t>
      </w:r>
    </w:p>
    <w:p>
      <w:r>
        <w:t>BULLETIN NO. 9 OF MARCH 6, 2023 5</w:t>
        <w:br/>
        <w:t>AGREEMENTS AND ABUSE OF DOMINANT POSITION</w:t>
        <w:br/>
        <w:t>A552 - GOOGLE - OBSTACLES TO DATA PORTABILITY</w:t>
        <w:br/>
        <w:t>Measure No. 30481</w:t>
        <w:br/>
        <w:t>THE COMPETITION AND MARKET AUTHORITY</w:t>
        <w:br/>
        <w:t>IN ITS MEETING of February 15, 2023;</w:t>
        <w:br/>
        <w:t>HEARD the Rapporteur President Roberto Rustichelli;</w:t>
        <w:br/>
        <w:t>HAVING REGARD to the law of October 10, 1990, No. 287;</w:t>
        <w:br/>
        <w:t>HAVING REGARD to the Presidential Decree of April 30, 1998, No. 217;</w:t>
        <w:br/>
        <w:t>HAVING REGARD to its measure 30215 of July 5, 2022, which initiated an investigation pursuant to Article 14 of Law No. 287/90, against the companies Alphabet Inc., Google LLC, Google Ireland Limited, and Google Italy S.r.l., to ascertain the existence of competition violations pursuant to Article 102 TFEU;</w:t>
        <w:br/>
        <w:t>HAVING REGARD to the documents of the proceeding;</w:t>
        <w:br/>
        <w:t>CONSIDERING it necessary to replace the person in charge of the proceeding due to subsequent organizational needs;</w:t>
        <w:br/>
        <w:t>RESOLVES</w:t>
        <w:br/>
        <w:t>a) to replace Dr. Carlo Piazza with Dr. Lara Magnani as the person in charge of the proceeding;</w:t>
        <w:br/>
        <w:t>b) that the documents of the proceeding may be viewed, at the Digital Platforms and Communications Directorate of the Department for Competition 1 of this Authority, by the legal representatives of the parties or by persons delegated by them.</w:t>
        <w:br/>
        <w:t>This measure will be notified to the interested parties and published in the bulletin of the Competition and Market Authority.</w:t>
        <w:br/>
        <w:t>THE SECRETARY GENERAL THE PRESIDENT</w:t>
        <w:br/>
        <w:t>Guido Stazi Roberto Rustichelli</w:t>
      </w:r>
    </w:p>
    <w:p>
      <w:r>
        <w:rPr>
          <w:b/>
        </w:rPr>
        <w:t>[Pages 4–6]</w:t>
      </w:r>
    </w:p>
    <w:p>
      <w:r>
        <w:t>6 BULLETIN NO. 9 OF MARCH 6, 2023</w:t>
        <w:br/>
        <w:t>I861 - ITALIAN VOLLEYBALL FEDERATION/SPORTING BOND</w:t>
        <w:br/>
        <w:t>Measure no. 30492</w:t>
        <w:br/>
        <w:t>THE COMPETITION AND MARKET AUTHORITY</w:t>
        <w:br/>
        <w:t>IN ITS MEETING of February 28, 2023;</w:t>
        <w:br/>
        <w:t>HEARD the Rapporteur, Professor Michele Ainis;</w:t>
        <w:br/>
        <w:t>HAVING REGARD to Article 101 of the Treaty on the Functioning of the European Union (TFEU);</w:t>
        <w:br/>
        <w:t>HAVING REGARD to Regulation No. 1/2003 of the Council of December 16, 2002, concerning the application of the competition rules laid down in Articles 81 and 82 of the EC Treaty (now 101 and 102 TFEU);</w:t>
        <w:br/>
        <w:t>HAVING REGARD to the law of October 10, 1990, No. 287 and, in particular, Article 14-ter introduced by the law of August 4, 2006, No. 248, which amended and converted the decree-law of July 4, 2006, No. 223;</w:t>
        <w:br/>
        <w:t>HAVING REGARD to the Decree of the President of the Republic of April 30, 1998, No. 217;</w:t>
        <w:br/>
        <w:t>HAVING REGARD to the “Communication on the procedures for the application of Article 14-ter of the law of October 10, 1990, No. 287,” adopted in the meeting of September 6, 2012 and published in the Bulletin of September 17, 2012, No. 35;</w:t>
        <w:br/>
        <w:t>HAVING REGARD to its measure of September 27, 2022, No. 30314, with which an investigation was initiated, pursuant to Article 14 of law No. 287/1990, against FIPAV - Italian Volleyball Federation to ascertain the existence of violations of Article 101 TFEU, considering that the Statute adopted by FIPAV in October 2021 raises competitive concerns insofar as it may lead to market allocation and a consequent crystallization of clientele by sports clubs, disincentivizing competition among them;</w:t>
        <w:br/>
        <w:t>HAVING REGARD to the communication of February 2, 2023, with which FIPAV, pursuant to Article 14-ter of law No. 287/1990, according to the methods indicated in the specific “Form for the submission of commitments pursuant to Article 14-ter of law No. 287/1990,” presented commitments consisting, in summary, of the amendment of Articles 10-bis, 10-ter, and 69 of the federal statute, aimed at abolishing the “sporting bond” of multi-year duration and replacing it with “membership,” of a duration equal to that of the sports year, with entry into force set simultaneously with the entry into force of Legislative Decree No. 36/2021 and subsequent amendments or, in any case, at the end of the 2023-2024 sports season, for all federal athletes, including those still subject to sporting bond as of that date.</w:t>
        <w:br/>
        <w:t>CONSIDERING that the commitments presented, as a whole, do not appear manifestly unfounded and are such as to be susceptible to publication, without prejudice to any assessment by the Authority on their suitability to resolve the competitive issues raised at the outset;</w:t>
        <w:br/>
        <w:t>THEREFORE CONSIDERED, to proceed with the publication of the aforementioned commitments presented by FIPAV, so that interested third parties may express their observations;</w:t>
      </w:r>
    </w:p>
    <w:p>
      <w:r>
        <w:t>BULLETIN NO. 9 OF MARCH 6, 2023 7</w:t>
        <w:br/>
        <w:t>RESOLUTION</w:t>
        <w:br/>
        <w:t>a) to publish on March 2, 2023, on the Authority's website the aforementioned commitments presented by FIPAV, pursuant to Article 14-ter of law No. 287/1990, attached to this measure, which constitute an integral part thereof;</w:t>
        <w:br/>
        <w:t>b) that any observations on the commitments presented by FIPAV must be submitted in writing, no later than April 1, 2023, to the Directorate for Credit, Insurance, Postal Services, Tourism, and Sports of the Department for Competition 2 of the Authority, Piazza G. Verdi, 6/A, 00198 Rome, tel. 06/85821, pec: protocollo.agcm@pec.agcm.it;</w:t>
        <w:br/>
        <w:t>c) that any representations by FIPAV regarding its position in relation to the observations submitted by third parties on the commitments, as well as any introduction of ancillary modifications to them, must be submitted in writing to the Authority no later than May 1, 2023.</w:t>
        <w:br/>
        <w:t>THE SECRETARY GENERAL THE PRESIDENT</w:t>
        <w:br/>
        <w:t>Guido Stazi Roberto Rustichelli</w:t>
      </w:r>
    </w:p>
    <w:p>
      <w:r>
        <w:t>8 BULLETIN NO. 9 OF MARCH 6, 2023</w:t>
        <w:br/>
        <w:t>CONCENTRATION OPERATIONS</w:t>
        <w:br/>
        <w:t>C12519 - HERAMBIENTE INDUSTRIAL SERVICES/A.C.R. DI REGGIANI ALBERTINO - R.I.ECO BUSINESS UNIT</w:t>
        <w:br/>
        <w:t>Measure no. 30482</w:t>
        <w:br/>
        <w:t>THE COMPETITION AND MARKET AUTHORITY</w:t>
        <w:br/>
        <w:t>IN ITS MEETING of February 15, 2023;</w:t>
        <w:br/>
        <w:t>HEARD the Rapporteur Professor Elisabetta Iossa;</w:t>
        <w:br/>
        <w:t>HAVING REGARD to Regulation (EU) No. 139/2014;</w:t>
        <w:br/>
        <w:t>HAVING REGARD to the law of October 10, 1990, No. 287;</w:t>
        <w:br/>
        <w:t>HAVING REGARD to the Presidential Decree of April 30, 1998, No. 217;</w:t>
        <w:br/>
        <w:t>HAVING REGARD to the communication from Herambiente Industrial Services S.r.l., received on January 19, 2023;</w:t>
        <w:br/>
        <w:t>HAVING REGARD to the documentation on file;</w:t>
        <w:br/>
        <w:t>CONSIDERING the following:</w:t>
        <w:br/>
        <w:t>I. THE PARTIES</w:t>
        <w:br/>
        <w:t>1. Herambiente Industrial Services S.r.l. (“Hasi”) is a company of the Hera group active in the management of industrial waste and related environmental services (including remediation and environmental recovery activities and development for service companies aimed at improving processes and environmental impact), wholly owned by Herambiente S.p.A., which is in turn exclusively controlled by the parent company Hera S.p.A. The Hera group is active in the sectors of production, distribution, and marketing of electricity and natural gas, in water services, in waste and environmental services. The Hera Group achieved a global turnover of approximately [10-20]* billion euros in 2021, of which approximately [7-8] were generated in Italy.</w:t>
        <w:br/>
        <w:t>2. A.C.R. di Reggiani Albertino S.p.A. (“ACR”) is a company specialized in providing various services in the management and treatment of hazardous and non-hazardous industrial waste, including remediation and environmental recovery of industrial areas, management, treatment, and disposal of industrial waste, decommissioning and dismantling of industrial plants and pipelines, earthmoving, construction and civil works, infrastructure, reinforced concrete works, management, treatment, and disposal of waste and water services. ACR is a family business controlled by three individuals. In 2021, ACR achieved a global turnover of approximately [100-517] million euros, of which [100-517] were generated in Italy.</w:t>
        <w:br/>
        <w:t>* In this version, some data is omitted, as elements of confidentiality or secrecy of the information were deemed to exist.</w:t>
      </w:r>
    </w:p>
    <w:p>
      <w:r>
        <w:rPr>
          <w:b/>
        </w:rPr>
        <w:t>[Pages 7–9]</w:t>
      </w:r>
    </w:p>
    <w:p>
      <w:r>
        <w:t xml:space="preserve">BULLETIN NO. 9 OF MARCH 6, 2023 9  </w:t>
        <w:br/>
        <w:t xml:space="preserve">3. R.I.ECO S.p.A. (“RIECO”) is a company specialized in providing integrated environmental services, active, among other things, in the collection and transportation of urban and special waste and in the treatment of industrial waste. RIECO is a family business controlled by the same individuals who control ACR. Among RIECO's activities is the management of a storage and treatment platform for hazardous and non-hazardous waste located in Mirandola (MO) (“RIECO Business Unit”). The RIECO business unit achieved a global turnover of approximately [1-10] million euros in 2021, of which [1-10] were generated in Italy.  </w:t>
        <w:br/>
        <w:t xml:space="preserve">II. DESCRIPTION OF THE TRANSACTION  </w:t>
        <w:br/>
        <w:t xml:space="preserve">4. The notification under examination concerns the acquisition by Hasi – and thus the Hera group – of joint control of ACR, resulting in a lasting change in the quality of control. In fact, the transaction involves the purchase and sale of a majority stake equal to [omitted] of the share capital of ACR, which will grant Hasi the majority of voting rights in the assembly and the election of the majority of the members of the board of directors ([omitted])1. However, Hasi will simultaneously subscribe to the shareholders' agreements at the time of the purchase and sale, with a duration set at five years from the signing, which will grant the minority shareholders (two of the three individuals currently controlling the company) the power to block strategic decisions for ACR within the board of directors and the shareholders' meeting2.  </w:t>
        <w:br/>
        <w:t xml:space="preserve">5. Prior to the purchase and sale, a proportional partial demerger of ACR in favor of RIECO is planned, concerning the activities (“excluded activities”) that are not of interest to Hasi, namely those not related to the management and treatment of hazardous and non-hazardous industrial waste and to the environmental services related to remediation activities in the Italian territory. This preparatory operation, concerning the same individuals, does not involve a change in the control of the related assets and is therefore outside the scope of the assessment in question3. Instead, the acquisition by ACR of the RIECO Business Unit related to the storage facility and the contribution to ACR of a Business Unit of Hasi, subsequent to the purchase and sale of the majority stake by the latter, fall within the scope of the concentration.  </w:t>
        <w:br/>
        <w:t xml:space="preserve">6. The Parties have also entered into two separate non-compete agreements related to remediation and waste treatment activities. In the first agreement, each of the current shareholders of ACR (and RIECO) undertakes, for as long as they hold a stake in ACR, as well as for a period of five years from any potential divestment of the same, not to carry out in Italy environmental remediation or waste treatment activities similar to those carried out by ACR (with some specifically identified exceptions). The second agreement provides that Hasi, for as long as it holds a stake in ACR as well as for five years from any potential divestment of the same, will not be able to carry out in Italy activities in the field of environmental remediation or global service services similar to those carried out by ACR, nor activities related or connected to these that are carried out by ACR itself, its current shareholders, or RIECO (with some specifically identified exceptions). The Parties have finally provided for the stipulation of various service contracts between ACR and RIECO and between ACR and Hasi, aimed at ensuring the continuity of the provision of certain activities.  </w:t>
        <w:br/>
        <w:t xml:space="preserve">III. QUALIFICATION OF THE TRANSACTION  </w:t>
        <w:br/>
        <w:t xml:space="preserve">7. The notified Transaction, as it involves, for the five-year duration of the aforementioned shareholders' agreement, the acquisition of joint control of a company and two business units, constitutes a concentration pursuant to Article 5, paragraph 1 letter b), of Law No. 287/1990.4 It falls within the scope of application of Law No. 287/1990, as the conditions set out in Article 1 of EC Regulation 139/2004 do not apply, and is subject to the obligation of prior notification provided for by Article 16, paragraph 1, of the same law as the total turnover achieved, in the last financial year at the national level, by the group of companies involved was over 517 million euros and the total turnover achieved individually, in the last financial year at the national level, by at least two of the companies involved was over 31 million euros.  </w:t>
        <w:br/>
        <w:t xml:space="preserve">8. The non-compete agreements described, as functional to protect the value of the business units contributed to ACR, can be considered ancillary restrictions to the transaction, for the duration of the joint venture. The service contracts, finally, can be considered ancillary to the Transaction insofar as they do not exceed the duration of five years.5  </w:t>
        <w:br/>
        <w:t xml:space="preserve">IV. ASSESSMENT OF THE CONCENTRATION  </w:t>
        <w:br/>
        <w:t xml:space="preserve">Relevant markets and effects of the transaction  </w:t>
        <w:br/>
        <w:t xml:space="preserve">9. Following the described demerger and downstream of the acquisition of the RIECO business unit related to the storage facility, ACR will operate through the Environment Division, the Decommissioning Division, the Civil Works Division, the owned platform (“ACR platform”) for waste treatment, the RIECO business unit related to the storage facility, and the assets that will be contributed by Hasi, functional to environmental remediation activities. The activities that, following the transaction, will pertain to RIECO and individually to the two individuals who will hold joint control of ACR (including the excluded activities through the demerger) concern sectors different from those in which ACR will operate.6 That said, due to ACR's operations, the transaction concerns the relevant markets that follow.  </w:t>
        <w:br/>
        <w:t xml:space="preserve">4 Where, at the date of termination of such agreement, the joint nature of the control of the company and the business units subject to this transaction should change, such event will, in the event of exceeding the relevant turnover thresholds, be subject to notification obligations to the Authority.  </w:t>
        <w:br/>
        <w:t xml:space="preserve">5 See Commission Communication on restrictions directly related and necessary to concentrations (2005/C 56/03), paras. 17-44.  </w:t>
        <w:br/>
        <w:t>6 Therefore, there are no horizontal overlaps between such activities and the business unit that will be contributed by Hasi to ACR.</w:t>
      </w:r>
    </w:p>
    <w:p>
      <w:r>
        <w:t xml:space="preserve">BULLETIN NO. 9 OF MARCH 6, 2023 11  </w:t>
        <w:br/>
        <w:t xml:space="preserve">The market for monitoring and remediation services aimed at restoring environmental integrity  </w:t>
        <w:br/>
        <w:t xml:space="preserve">10. Following the completion of the transaction, ACR will primarily be active in providing remediation and environmental recovery services for industrial areas, also as an integral part of the broader activities of dismantling decommissioned industrial sites or parts of operational plants (so-called decommissioning). These services mainly consist of environmental remediation activities of contaminated sites, remediation of tanks using robotic technologies with the issuance of gas-free certificates, remediation of plants and equipment aimed at the removal of processing residues or the decommissioning of plants, asbestos remediation (both compact and friable) and environmental emergency response.7  </w:t>
        <w:br/>
        <w:t xml:space="preserve">11. Such activities, which in this case play a central role for the acquired company, as configured, are suitable to constitute, on a commodity level, a distinct relevant market for monitoring and remediation services, in line with some precedents of the Authority.8 This market, based on such precedents, has a national geographical dimension.  </w:t>
        <w:br/>
        <w:t xml:space="preserve">12. Based on the estimated market shares in value provided by the Parties, they would hold, following the Transaction, a cumulative market share of less than 5% in terms of value.9  </w:t>
        <w:br/>
        <w:t xml:space="preserve">The market for the selection and treatment of non-hazardous differentiated waste  </w:t>
        <w:br/>
        <w:t xml:space="preserve">13. The market for the selection and treatment of differentiated waste is downstream of the collection and transportation activities and is distinguished based on the type of waste treated, regardless of the origin of the waste itself (urban or special).10 Since there is no regulatory constraint limiting the scope of action of companies for this type of waste, the geographical extent of this market should be understood as limited only by transportation costs. In this regard, the Authority, in its precedents, has therefore considered that this market has a macro-regional geographical dimension.11  </w:t>
        <w:br/>
        <w:t xml:space="preserve">14. Using publicly available data from ISPRA12 and the breakdown by type based on the European Waste List (“EER”), the Parties have identified six distinct segments of differentiated waste into which the activities they carry out in the sector can be divided, providing an estimate of market shares, at both the national level and the macro-regions used.  </w:t>
        <w:br/>
        <w:t xml:space="preserve">7 The current regulations on remediation services can be found in Legislative Decree No. 152/2006, Title V (“Remediation of contaminated sites”), Articles 239 and following. In particular, Article 240, letter p) defines the service of 'remediation' as “the set of interventions aimed at eliminating sources of pollution and pollutants or reducing their concentrations present in the soil, subsoil, and groundwater to a level equal to or lower than the threshold risk concentration values (CSR).”  </w:t>
        <w:br/>
        <w:t xml:space="preserve">8 See measure No. 16161 of November 15, 2006, C8060 – SADI/Industrial Services and measure No. 17088 of July 12, 2007, C8624 – Veolia Environmental Services/Thermomechanical.  </w:t>
        <w:br/>
        <w:t xml:space="preserve">9 The estimated market share is obtained with data from 2019, as this year is the last for which the Parties have data regarding the total market.  </w:t>
        <w:br/>
        <w:t xml:space="preserve">10 See measure No. 23932 of September 28, 2012, C11744 – HERA/ACEGAS-APS HOLDING and measure No. 30250 of July 19, 2022, C12464 – ACEA/ASM Terni.  </w:t>
        <w:br/>
        <w:t xml:space="preserve">11 See, inter alia, C12035 – Ireti/Atena, measure No. 25938 of March 23, 2016, C11744 – Hera/Acegas-APS Holding, measure No. 23932 of September 28, 2012, measure No. 30250 of July 19, 2022, C12464 – ACEA/ASM Terni.  </w:t>
        <w:br/>
        <w:t>12 See ISPRA, Special Waste Report Edition 2022 No. 367/2022 (p. 24 and 269-271) and the Waste Cadastre section, https://www.catastorifiuti.isprambiente.it/index.php?pg=prodrsnazione&amp;aa=2020&amp;atecocer=cerp&amp;width=1920&amp;height=1080.</w:t>
      </w:r>
    </w:p>
    <w:p>
      <w:r>
        <w:rPr>
          <w:b/>
        </w:rPr>
        <w:t>[Pages 10–12]</w:t>
      </w:r>
    </w:p>
    <w:p>
      <w:r>
        <w:t>12 BULLETIN NO. 9 OF MARCH 6, 2023</w:t>
        <w:br/>
        <w:t>from ISPRA. More specifically, the categories of waste concerned are: i) waste resulting from exploration, mining or quarry extraction, as well as from the physical or chemical treatment of minerals, ii) waste from thermal processes, iii) “waste not otherwise specified in the list” (Chapter 16 EER, consisting, in the case of the Parties, predominantly of liquid waste), iv) waste from construction and demolition activities (including soil from contaminated sites), v) waste produced by waste management facilities, off-site wastewater treatment plants, as well as from water purification and its preparation for industrial use vi) non-hazardous separated waste attributable to other categories, different from those previously indicated.</w:t>
      </w:r>
    </w:p>
    <w:p>
      <w:r>
        <w:t>15. Analyzing the position of the Parties in the relevant markets as segmented, it is observed that both the Hera group and ACR each hold, prior to the Transaction, a share of less than 5% in all possible articulations (merchandise and geographical) identified and often of negligible size. Similarly, the share attributable to the RIECO business unit is in all cases less than 1%.</w:t>
      </w:r>
    </w:p>
    <w:p>
      <w:r>
        <w:t>The market for the treatment of hazardous waste</w:t>
        <w:br/>
        <w:t>16. The market for the treatment of hazardous waste includes activities aimed at the chemical-physical inertization of this type of waste. The geographical dimension of this market is at least multi-regional, considering the transportation costs of hazardous waste and the availability of suitable treatment facilities.</w:t>
      </w:r>
    </w:p>
    <w:p>
      <w:r>
        <w:t>17. That said, the market shares held by the Parties following the Transaction are, in each macro-area, below 10%, with a contribution attributable to ACR and the RIECO business unit that is in all cases less than 1%.</w:t>
      </w:r>
    </w:p>
    <w:p>
      <w:r>
        <w:t>The market for the design and execution of civil and industrial engineering works</w:t>
        <w:br/>
        <w:t>18. The Parties are finally active in the market for the design and execution of civil and industrial engineering works, of national or supranational geographical dimension (also based on the type and size of the works carried out). In this case, it is not necessary to arrive at an exact definition of the market's extent, as this would not change the assessment of the effects of the concentration under examination. In fact, even limiting to the positions of the Parties at the national level, it is observed that only ACR is active in it, with a market share that is extremely limited (less than 1%).</w:t>
      </w:r>
    </w:p>
    <w:p>
      <w:r>
        <w:t>19. Furthermore, considering the nature and operations of the parent companies, whose main activities concern distinct sectors and have very different dimensional characteristics from each other and from those of the common company ACR, it is observed that the operation does not appear to have as its object or effect the coordination of the same.</w:t>
      </w:r>
    </w:p>
    <w:p>
      <w:r>
        <w:t>THEREFORE CONSIDERED, that the operation under examination does not significantly impede effective competition in the relevant markets pursuant to Article 6, paragraph 1, of Law No. 287/1990 and does not result in the establishment or strengthening of a dominant position;</w:t>
      </w:r>
    </w:p>
    <w:p>
      <w:r>
        <w:t>THEREFORE CONSIDERED, that the agreements between the Parties accompanying the operation can be considered accessory to the operation itself only to the limits indicated above and that the Authority reserves the right to assess, where the conditions exist, the aforementioned agreements if they exceed those limits;</w:t>
      </w:r>
    </w:p>
    <w:p>
      <w:r>
        <w:t>RESOLVES</w:t>
        <w:br/>
        <w:t>not to initiate the investigation referred to in Article 16, paragraph 4, of Law No. 287/1990.</w:t>
      </w:r>
    </w:p>
    <w:p>
      <w:r>
        <w:t>The above conclusions will be communicated, pursuant to Article 16, paragraph 4, of Law No. 287/90, to the interested companies and to the Minister of Enterprises and Made in Italy.</w:t>
      </w:r>
    </w:p>
    <w:p>
      <w:r>
        <w:t>This measure will be published in the Bulletin of the Competition and Market Authority.</w:t>
      </w:r>
    </w:p>
    <w:p>
      <w:r>
        <w:t>THE SECRETARY GENERAL THE PRESIDENT</w:t>
        <w:br/>
        <w:t>Guido Stazi Roberto Rustichelli</w:t>
      </w:r>
    </w:p>
    <w:p>
      <w:r>
        <w:t>14 BULLETIN NO. 9 OF MARCH 6, 2023</w:t>
        <w:br/>
        <w:t>C12520 - FREEDOM 1-NATURAL PERSON/ASSIST DIGITAL</w:t>
        <w:br/>
        <w:t>Measure no. 30483</w:t>
        <w:br/>
        <w:t>THE COMPETITION AND MARKET AUTHORITY</w:t>
        <w:br/>
        <w:t>IN ITS MEETING of February 15, 2023;</w:t>
        <w:br/>
        <w:t>HEARD the Rapporteur, Professor Michele Ainis;</w:t>
        <w:br/>
        <w:t>HAVING REGARD to Regulation (EC) No. 139/2004;</w:t>
        <w:br/>
        <w:t>HAVING REGARD to Law of October 10, 1990, No. 287;</w:t>
        <w:br/>
        <w:t>HAVING REGARD to the communication received on January 20, 2023, from the company Freedom 1 S.r.l. and a natural person;</w:t>
        <w:br/>
        <w:t>HAVING REGARD to the documentation on file;</w:t>
        <w:br/>
        <w:t>CONSIDERING the following:</w:t>
        <w:br/>
        <w:t>I. THE PARTIES</w:t>
        <w:br/>
        <w:t>1. Freedom 1 S.r.l. (“Freedom”) is a company under Italian law controlled by Ardian France S.A. (“Ardian”), a société anonyme under French law, in turn controlled by Ardian holding S.A.S. (“Ardian Group”), also established under the laws of the French Republic. Ardian is a private equity fund management company that, through the Ardian Group, engages in investment activities in Europe, North America, and Asia. The turnover of the Ardian Group generated in Italy in 2021 was approximately [4-5]* billion euros.</w:t>
      </w:r>
    </w:p>
    <w:p>
      <w:r>
        <w:t>2. A natural person, currently a manager and shareholder of Assist Digital S.p.A. (hereinafter the “Manager” and jointly with Freedom the “Notifying Parties” or “Acquirers”), who does not hold controlling interests in other companies other than Assist Digital S.p.A.</w:t>
      </w:r>
    </w:p>
    <w:p>
      <w:r>
        <w:t>3. Assist Digital S.p.A. (hereinafter “Assist Digital” or the “Target”) is currently controlled by Wide Open S.r.l., in turn controlled by Progressio SGR S.p.A., a private equity fund management company, and by the group of shareholders holding “A” and “B” category shares. Assist Digital is a company that operates, mainly in the European Union, also through its subsidiaries (together the “Group Companies”), in contact center management services and digital &amp; tech services in customer relationship management (CRM). The turnover generated by Assist Digital in Italy in 2021 was approximately [31-100] million euros. The Group Companies are active in providing support services, through an IT and telecommunications structure (call centers, help desks, front-line, data centers), for various economic operators in their processes of contacting their end customers, as well as in the * In this version, some data are omitted, as it was deemed that there were elements of confidentiality or secrecy of the information.</w:t>
      </w:r>
    </w:p>
    <w:p>
      <w:r>
        <w:rPr>
          <w:b/>
        </w:rPr>
        <w:t>[Pages 13–15]</w:t>
      </w:r>
    </w:p>
    <w:p>
      <w:r>
        <w:t>BULLETIN NO. 9 OF MARCH 6, 2023 15</w:t>
        <w:br/>
        <w:t>provision of system integrator services and consulting to companies in the areas of digital development, marketing, sales, and customer care activities.</w:t>
      </w:r>
    </w:p>
    <w:p>
      <w:r>
        <w:t>II. DESCRIPTION OF THE TRANSACTION</w:t>
        <w:br/>
        <w:t>4. The notified transaction concerns the acquisition of joint control of Assist Digital by Freedom and the Manager, through a vehicle company that will be established prior to the closing of the transaction, named Freedom Digital S.p.A. (hereinafter “HoldCo”).</w:t>
        <w:br/>
        <w:t>5. To this end, on December 24, 2022, the Notifying Parties signed a share purchase agreement (hereinafter the “SPA”) and an Investment Agreement. In execution of the SPA, HoldCo will acquire 100% of the share capital of the Target. At the date of completion of the transaction, in light of the provisions of the Investment Agreement, the Buyers will exercise joint control over Assist Digital1. In particular, the share capital of HoldCo will be held by Freedom at 63.081% and by the Manager at 11.101%. The remaining 26% of the share capital will be held by other shareholders (natural and legal persons).</w:t>
      </w:r>
    </w:p>
    <w:p>
      <w:r>
        <w:t>III. QUALIFICATION OF THE TRANSACTION</w:t>
        <w:br/>
        <w:t>6. The notified transaction, as it involves the acquisition of joint control of an undertaking, constitutes a concentration pursuant to Article 5, paragraph 1, letter b), of Law No. 287/90.</w:t>
        <w:br/>
        <w:t>7. It falls within the scope of application of Law No. 287/90, as the conditions set out in Article 1 of EC Regulation No. 139/04 are not met, and is subject to the prior notification obligation provided for by Article 16, paragraph 1, of the same law, as the total turnover, calculated pursuant to Article 16, paragraph 2, of Law No. 287/90, achieved in the last financial year at the national level by the group of undertakings concerned, exceeded 517 million euros and the turnover achieved individually, at the national level, by at least two of them is greater than 31 million euros.</w:t>
      </w:r>
    </w:p>
    <w:p>
      <w:r>
        <w:t>IV. ASSESSMENTS</w:t>
        <w:br/>
        <w:t>8. This transaction concerns the following sectors: (a) call/contact center activities sector, (b) IT services sector, (c) software sector, (d) marketing and communication services sector.</w:t>
        <w:br/>
        <w:t>a) Call/contact center activities sector</w:t>
        <w:br/>
        <w:t>9. The call/contact center sector includes the provision and development of services (via telephone, fax, e-mail, internet) of an informational and professional nature for companies and public entities. The activities carried out in the sector can be divided into reception services (so-called inbound), falling within the broader genus of customer services, or external services (so-called outbound), such as telemarketing and teleselling.</w:t>
        <w:br/>
        <w:t>1 Pursuant to the combined provisions of Articles 6 and 9 of the Investment Agreement, following the transaction, the Manager will exercise decisive influence, by virtue of which he will acquire, together with Freedom, joint control over Assist Digital.</w:t>
      </w:r>
    </w:p>
    <w:p>
      <w:r>
        <w:t>16 BULLETIN NO. 9 OF MARCH 6, 2023</w:t>
        <w:br/>
        <w:t>10. From a geographical point of view, the market for call/contact center activities can be considered predominantly national in size, given the linguistic barriers and considering that companies are influenced, in the selection of call centers, by the telephone rates present at the national level2. However, in this specific case, the geographical dimension of the market may be left open.</w:t>
        <w:br/>
        <w:t>11. Assist Digital is primarily active in the Italian market for contact/call center services, having generated more than 60% of its total revenues in the same, with a market share of [5-10%] in the national market. The Ardian Group, on the other hand, is not active in the Italian market for contact/call center services, nor in vertically integrated markets. Therefore, the transaction does not result in overlaps in market shares.</w:t>
        <w:br/>
        <w:t>b) IT services sector</w:t>
        <w:br/>
        <w:t>12. The activities of the parties overlap in some segments of Information Technology services (“IT Services”). The high rate of innovation and the rapid and constant technological evolution that characterize the IT sector make it not always easy to draw a clear demarcation between the various segments that make up this sector. Companies operating in this sector tend to offer a multitude of services, adapting their offerings to the same technological evolution, demand, and customer needs3.</w:t>
        <w:br/>
        <w:t>13. More generally, within IT Services, the European Commission has identified seven segments that identify a plurality of IT services directed at businesses4. These include: (i) IT management, for the use of specific skills to create and optimize business processes and information flows; (ii) transaction IT management, for transactions that require IT support; (iii) consulting for the analysis and improvement of technological strategies; (iv) software development, to develop and integrate solutions into existing infrastructures; (v) software maintenance, for the maintenance of products and technical assistance; (vi) hardware maintenance, to optimize systems through installation, maintenance, and technical assistance of hardware components; (vii) training, for the transfer of knowledge outside of professional training.</w:t>
        <w:br/>
        <w:t>14. From a geographical point of view, it is considered appropriate to leave the definition of the market open, particularly whether this market is national or broader, as in both configurations there would be no detrimental effects on competition. In fact, with regard to the position of the Parties in the overall IT Services sector, the Ardian Group holds a national market share in any segment below 2.5%, while the Target holds an estimated market share below 0.5%.</w:t>
        <w:br/>
        <w:t>15. Therefore, following the transaction, the position of the Ardian Group in the IT Services sector at the national level will experience a marginal increase and will remain overall below 2.5%. The transaction does not therefore appear capable of altering the competitive structure of the sector.</w:t>
        <w:br/>
        <w:t>c) Software sector</w:t>
        <w:br/>
        <w:t>16. With reference to the software sector, some segments are identified depending on the end use of the product, particularly for domestic use (consumer software) or for professional use (business software). Business-type software can be further divided into system infrastructure programs (so-called system infrastructure software) and application programs (application software) supporting the main business functions5.</w:t>
        <w:br/>
        <w:t>17. From a geographical point of view, it is considered appropriate to leave the definition of the market open, particularly whether this market is national or broader (global or at least extended to the EEA), as in both configurations there would be no detrimental effects on competition.</w:t>
        <w:br/>
        <w:t>18. With regard to the position of the Parties in the software sector, both Parties hold shares in the individual segments largely below 1%. Regarding the application software segment, in which an overlap occurs following the transaction, the overall share will still be largely below 5%, while in other segments such as operational software and CRM (Customer Relationship Management) software, Assist Digital is exclusively active and, moreover, not significantly. Therefore, the transaction does not appear capable of altering the competitive structure in the sector as a whole.</w:t>
        <w:br/>
        <w:t>d) Marketing and communication services sector</w:t>
        <w:br/>
        <w:t>19. Also in the marketing and communication services sector, the multiplicity of operational segments, which often involves the use of digital resources, as well as the diachronic variations in demand, prevents precise segmentation6. From a geographical perspective, the Commission has defined a relevant market of national scope, while noting a trend towards globalization, particularly in relation to international clients7.</w:t>
        <w:br/>
        <w:t>20. Although the activities of the Parties overlap in this sector, the Target is active to a negligible extent, so the Ardian Group's share will experience a marginal increase, which will in any case be below 3.5%.</w:t>
        <w:br/>
        <w:t>21. Therefore, considering the extent of the Parties' position in this market, and noting the presence of numerous competitors, the transaction does not appear likely to alter the current competitive dynamics.</w:t>
        <w:br/>
        <w:t>22. In light of the above considerations, the concentration under examination does not appear capable of significantly hindering effective competition in the relevant market or of resulting in the establishment or strengthening of a dominant position.</w:t>
        <w:br/>
        <w:t>5 See C11174 – Robert Bosch/Inubit, decision of August 4, 2011, No. 22701.</w:t>
        <w:br/>
        <w:t>6 See C12453 - Jakala/Maize-Hes-Hdm, decision No. 30172 of May 24, 2022; C12367 - Mowgli-Jakala Holding/Jakala, decision No. 28623 of March 30, 2021.</w:t>
        <w:br/>
        <w:t>7 See Commission Decisions of January 25, 2005 in case M.3579 WPP/Grey and of January 9, 2014 in case M.7023 Publicis/Omnicom.</w:t>
      </w:r>
    </w:p>
    <w:p>
      <w:r>
        <w:rPr>
          <w:b/>
        </w:rPr>
        <w:t>[Pages 16–18]</w:t>
      </w:r>
    </w:p>
    <w:p>
      <w:r>
        <w:t>18 BULLETIN NO. 9 OF MARCH 6, 2023</w:t>
        <w:br/>
        <w:t>CONSIDERED, therefore, that the transaction under examination does not significantly impede effective competition in the relevant market pursuant to Article 6, paragraph 1, of Law No. 287/90 and does not result in the establishment or strengthening of a dominant position;</w:t>
        <w:br/>
        <w:t>RESOLVES</w:t>
        <w:br/>
        <w:t>not to initiate the investigation referred to in Article 16, paragraph 4, of Law No. 287/90.</w:t>
        <w:br/>
        <w:t>The above conclusions will be communicated, pursuant to Article 16, paragraph 4, of Law No. 287/90, to the interested companies and to the Ministry of Enterprises and Made in Italy.</w:t>
        <w:br/>
        <w:t>This measure will be published in the Bulletin of the Competition and Market Authority.</w:t>
        <w:br/>
        <w:t>THE SECRETARY GENERAL THE PRESIDENT</w:t>
        <w:br/>
        <w:t>Guido Stazi Roberto Rustichelli</w:t>
      </w:r>
    </w:p>
    <w:p>
      <w:r>
        <w:t>BULLETIN NO. 9 OF MARCH 6, 2023 19</w:t>
        <w:br/>
        <w:t>C12521 - F2I SGR/HISI HOLDING OF INVESTMENT IN HEALTHCARE AND INFRASTRUCTURE</w:t>
        <w:br/>
        <w:t>Measure No. 30484</w:t>
        <w:br/>
        <w:t>THE COMPETITION AND MARKET AUTHORITY</w:t>
        <w:br/>
        <w:t>IN ITS MEETING of February 15, 2023;</w:t>
        <w:br/>
        <w:t>HEARD the Rapporteur Professor Michele Ainis;</w:t>
        <w:br/>
        <w:t>HAVING REGARD to Council Regulation (EC) No. 139/2004 of January 20, 2004, on the control of concentrations between undertakings;</w:t>
        <w:br/>
        <w:t>HAVING REGARD to the law of October 10, 1990, No. 287;</w:t>
        <w:br/>
        <w:t>HAVING REGARD to the Presidential Decree of April 30, 1998, No. 217;</w:t>
        <w:br/>
        <w:t>HAVING REGARD to the act of the company F2i SGR S.p.A., received on January 23, 2023;</w:t>
        <w:br/>
        <w:t>HAVING REGARD to the documentation on file;</w:t>
        <w:br/>
        <w:t>CONSIDERING the following:</w:t>
        <w:br/>
        <w:t>I. THE PARTIES</w:t>
        <w:br/>
        <w:t>1. F2i SGR S.p.A. (hereinafter, F2i SGR) is an asset management company which currently manages four closed-end reserved alternative investment equity funds: F2i-Second Italian Fund for Infrastructure (hereinafter, Fund II), F2i-Third Fund for Infrastructure (hereinafter, Fund III), Ania-F2i Fund (hereinafter, Fund IV) and the Fund for Sustainable Infrastructure (hereinafter, Fund V), as well as a debt investment fund (F2i - Infrastructure Debt Fund 1) (hereinafter, collectively, the Funds).</w:t>
        <w:br/>
        <w:t>2. The share capital of F2i SGR is held by 19 shareholders and is distributed as follows: (i) 26% is held by pension funds; (ii) 25% is held by banking foundations; (iii) 20% is held by banks; (iv) 15% is held by sovereign funds and asset managers; and (v) 14% is held by public institutions. None of the shareholders exercises any form of control over F2i SGR.</w:t>
        <w:br/>
        <w:t>3. In 2021, F2i SGR achieved a global turnover of approximately [6-7]* billion euros, of which approximately [6-7] billion euros from sales in the European Union and approximately [5-6] billion euros from sales in Italy.</w:t>
        <w:br/>
        <w:t>4. HISI – Holding di Investimento in Sanità ed Infrastrutture S.r.l. (hereinafter, HISI or the Target) is a company at the head of a group (hereinafter, the Target Group) active in the design and construction of non-residential buildings, specifically in the healthcare sector, and in the integrated management of non-healthcare services (integrated facility management) for the same facilities, by virtue of the concession titles held by some of the companies in the Target Group (in particular, Genesi Uno S.p.A. (hereinafter, Genesi Uno) and Genesi Due S.p.A. (hereinafter, Genesi Due)).</w:t>
        <w:br/>
        <w:t>* In this version, some data is omitted, as there were deemed to be elements of confidentiality or secrecy of the information.</w:t>
      </w:r>
    </w:p>
    <w:p>
      <w:r>
        <w:t>20 BULLETIN NO. 9 OF MARCH 6, 2023</w:t>
        <w:br/>
        <w:t>5. The share capital of HISI is held by Fininfra S.A. to the extent of 62.21% and by AXA Infrastructure Investissement S.A.S. to the extent of 37.79%. HISI is currently subject to the joint control of Fininfra S.A. and AXA Infrastructure Investissement S.A.S.</w:t>
        <w:br/>
        <w:t>6. In 2021, the Target Group achieved a global turnover of approximately 43 million euros, entirely generated in Italy.</w:t>
        <w:br/>
        <w:t>II. DESCRIPTION OF THE TRANSACTION</w:t>
        <w:br/>
        <w:t>7. On December 23, 2022, F2i SGR, on one side, and Fininfra S.A. and AXA Infrastructure Investissement S.A.S. (hereinafter, the Sellers) on the other side, signed the Sale and Purchase Agreement (hereinafter, SPA) whereby the former committed to purchase from the Sellers the entire share capital of the Target.</w:t>
        <w:br/>
        <w:t>8. In particular, F2i SGR, on behalf, for the account, and in the interest of Fund IV, committed to purchase the entire share capital of HISI, acquiring respectively the share currently held by Fininfra S.A., representing 62.21% of the share capital of the Target, and the share currently held by AXA Infrastructure Investissement S.A.S., representing 37.79% of the share capital of the Target. It is expected that the Transaction will be completed through a newly established company (hereinafter, NewCo), which will be designated by F2i SGR by the date of the Closing of the Transaction and which will assume the rights and obligations of F2i SGR under the SPA.</w:t>
        <w:br/>
        <w:t>9. According to the statements made by the Parties, the transaction does not involve ancillary restrictions.</w:t>
        <w:br/>
        <w:t>III. QUALIFICATION OF THE TRANSACTION</w:t>
        <w:br/>
        <w:t>10. The notified transaction, as it involves the acquisition of exclusive control of a company, constitutes a concentration pursuant to Article 5, paragraph 1, letter b), of Law No. 287/90.</w:t>
        <w:br/>
        <w:t>11. It falls within the scope of application of Law No. 287/90, as the conditions set out in Article 1 of EC Regulation No. 139/04 do not apply, and is subject to the obligation of prior notification provided for by Article 16, paragraph 1, of the same law, as the total turnover achieved in the last financial year at the national level by the group of interested companies exceeded 517 million euros and the turnover achieved individually at the national level by at least two of the interested companies exceeded 31 million euros.</w:t>
        <w:br/>
        <w:t>IV. ASSESSMENT OF THE CONCENTRATION</w:t>
        <w:br/>
        <w:t>The relevant markets</w:t>
        <w:br/>
        <w:t>12. Considering the activity of the company subject to acquisition, the transaction concerns: (i) the market for non-residential construction, of a national geographical dimension; (ii) the markets for (i) facility management services, (ii) property management, and (iii) laundering &amp; sterilization, of a national geographical dimension or confined to a narrower scope; the set of</w:t>
        <w:br/>
        <w:t>1 See AGCM Measure No. 23908 of September 12, 2012, C11768 – ITALIAN COMPANY FOR WATER CONDUITS/INSO - SYSTEMS FOR SOCIAL INFRASTRUCTURES.</w:t>
        <w:br/>
        <w:t>2 See AGCM Measure No. 19313 of December 18, 2008, C9617 – MANUTENCOOP/MANUTENCOOP FACILITY MANAGEMENT.</w:t>
      </w:r>
    </w:p>
    <w:p>
      <w:r>
        <w:rPr>
          <w:b/>
        </w:rPr>
        <w:t>[Pages 19–21]</w:t>
      </w:r>
    </w:p>
    <w:p>
      <w:r>
        <w:t>BULLETIN NO. 9 OF MARCH 6, 2023 21</w:t>
        <w:br/>
        <w:t>of the three mentioned markets can be considered to constitute a single market concerning the provision of integrated management and governance services for real estate (so-called Integrated facility management), of national geographical dimension.</w:t>
      </w:r>
    </w:p>
    <w:p>
      <w:r>
        <w:t>Effects of the transaction</w:t>
        <w:br/>
        <w:t>13. The Target Group is active in the design and construction of non-residential buildings (in particular, hospitals) and in the integrated management of non-healthcare services (Integrated facility management) for the same facilities, usually based on public-private partnership structures, while the stakes held by the funds managed by F2i SGR in companies active, inter alia, in the design/construction and/or management of infrastructures do not concern the hospital sector.</w:t>
        <w:br/>
        <w:t>14. In the national market for non-residential construction (under public-private partnership and specifically in the healthcare sector), the Target Group currently holds a zero share3 and F2i SGR is not active.</w:t>
        <w:br/>
        <w:t>15. In each of the national markets for (i) facility management, (ii) property management, and (iii) laundering &amp; sterilization (in favor of healthcare facilities), as well as in the national market for Integrated facility management services (in favor of healthcare facilities), the Target Group holds a share of less than 1%, while F2i SGR is not active.</w:t>
        <w:br/>
        <w:t>16. Numerous qualified competitors are present in these markets.</w:t>
        <w:br/>
        <w:t>17. In light of the above considerations, the concentration under examination does not appear to significantly hinder effective competition in the relevant markets or to result in the establishment or strengthening of a dominant position.</w:t>
      </w:r>
    </w:p>
    <w:p>
      <w:r>
        <w:t>CONSIDERED, therefore, that the transaction under examination does not significantly hinder effective competition in the relevant markets pursuant to Article 6, paragraph 1, of Law No. 287/90 and does not entail the establishment or strengthening of a dominant position;</w:t>
      </w:r>
    </w:p>
    <w:p>
      <w:r>
        <w:t>RESOLVES</w:t>
        <w:br/>
        <w:t>not to initiate the investigation referred to in Article 16, paragraph 4, of Law No. 287/90.</w:t>
        <w:br/>
        <w:t>The above conclusions will be communicated, pursuant to Article 16, paragraph 4, of Law No. 287/90, to the interested companies and to the Minister of Enterprises and Made in Italy.</w:t>
        <w:br/>
        <w:t>This measure will be published in the Bulletin of the Competition and Market Authority.</w:t>
      </w:r>
    </w:p>
    <w:p>
      <w:r>
        <w:t>THE SECRETARY GENERAL THE PRESIDENT</w:t>
        <w:br/>
        <w:t>Guido Stazi Roberto Rustichelli</w:t>
        <w:br/>
        <w:t>3 For the Target Group, the data takes into account the completion of the construction phase of the relevant hospital facilities.</w:t>
      </w:r>
    </w:p>
    <w:p>
      <w:r>
        <w:t>22 BULLETIN NO. 9 OF MARCH 6, 2023</w:t>
        <w:br/>
        <w:t>TELEVISION RIGHTS</w:t>
        <w:br/>
        <w:t>SR44 - FIGC/COMMERCIALIZATION OF AUDIOVISUAL RIGHTS FOR WOMEN'S FOOTBALL FROM SEASON 2023/2024</w:t>
        <w:br/>
        <w:t>Measure no. 30491</w:t>
        <w:br/>
        <w:t>THE COMPETITION AND MARKET AUTHORITY</w:t>
        <w:br/>
        <w:t>IN ITS MEETING of February 15, 2023;</w:t>
        <w:br/>
        <w:t>HEARD the Rapporteur, Professor Elisabetta Iossa;</w:t>
        <w:br/>
        <w:t>HAVING REGARD to Law No. 287 of October 10, 1990;</w:t>
        <w:br/>
        <w:t>HAVING REGARD to Legislative Decree No. 9 of January 9, 2008, concerning the Regulation of ownership and commercialization of sports audiovisual rights and related distribution of resources;</w:t>
        <w:br/>
        <w:t>HAVING REGARD to Article 6, paragraph 1, of the aforementioned Legislative Decree, under which the Italian Football Federation is required to predetermine, for the football competitions under its jurisdiction, Guidelines “for the commercialization of audiovisual rights containing rules regarding the offer and assignment of the audiovisual rights themselves, criteria regarding the formation of the related packages and the further rules” provided for by the decree in order to guarantee participants in the competitive procedures “conditions of absolute fairness, transparency, and non-discrimination”;</w:t>
        <w:br/>
        <w:t>HAVING REGARD to Article 6, paragraph 6, of the same Legislative Decree, which establishes that the Authority for Guarantees in Communications and the Competition and Market Authority shall verify, for their respective areas of competence, the compliance of the Guidelines with the principles and provisions of Legislative Decree No. 9/2008 and approve them within sixty days of receipt;</w:t>
        <w:br/>
        <w:t>HAVING REGARD to the Guidelines, pursuant to Legislative Decree No. 9/2008, transmitted by the Italian Football Federation on December 21, 2022;</w:t>
        <w:br/>
        <w:t>HAVING REGARD to the public consultation convened by the Authority with resolution of January 10, 2023;</w:t>
        <w:br/>
        <w:t>HAVING REGARD to the contribution provided on January 31, 2023, by a company active in the audiovisual production sector;</w:t>
        <w:br/>
        <w:t>CONSIDERING the following:</w:t>
        <w:br/>
        <w:t>I. THE ITALIAN FOOTBALL FEDERATION</w:t>
        <w:br/>
        <w:t>1. The Italian Football Federation (hereinafter also referred to as “FIGC”) is the private association federated to the Italian National Olympic Committee and the only one accredited for the purpose of promoting football, futsal, and beach soccer in Italy, as well as managing the related aspects of the football clubs registered in the Single Division Championship.</w:t>
        <w:br/>
        <w:t>2. Due to the strong growth of women's football and the consequent transition to professionalism1, the Women's Football Division of FIGC (hereinafter also referred to as the “Division”) is starting, in accordance with federal regulations, the necessary steps for the establishment of a league that will associate all sports clubs participating in the Women's Serie A football Championship. Pending this establishment, the role of organizer of the competitions and the commercialization of audiovisual rights under applicable regulations is held by the Division.</w:t>
        <w:br/>
        <w:t>3. As soon as the League is established, it will replace the Division, taking over the rights and obligations specified in the invitations to offer. For these reasons, the FIGC's proposed Guidelines use the legal definition of “Organizer of the competition”2 (also referred to in the plural), which currently refers to the Division, but subsequently – according to FIGC – will refer to the newly established League.</w:t>
        <w:br/>
        <w:t>4. Among the tasks assigned to the organizer of the competition are the organization and management of women's football competitions called “National Serie A Championship”3, “Coppa Italia” and “Supercoppa” (hereinafter, the “Competitions”, whose individual matches will be referred to as “Events”).</w:t>
      </w:r>
    </w:p>
    <w:p>
      <w:r>
        <w:t>II. THE CONTENTS OF THE GUIDELINES</w:t>
        <w:br/>
        <w:t>a) Introduction</w:t>
        <w:br/>
        <w:t>5. As is known, pursuant to and for the effects of Article 6 of the Melandri Decree, the Organizer of the competition prepares and submits to the scrutiny of the Competition and Market Authority (“AGCM”) and the Authority for Guarantees in Communications (“AGCOM”), for their respective areas of competence, the Guidelines for the commercialization of audiovisual rights for a maximum of three seasons or for the longer period that may be permitted by law (“Duration”).</w:t>
        <w:br/>
        <w:t>6. Law No. 6 of January 13, 2023, converting Decree-Law No. 176 of November 18, 2022, (containing “Urgent measures to support the energy sector and public finance”) has recently amended Article 10, paragraph 1, of Legislative Decree No. 9 of January 9, 2008 (the so-called “Melandri Decree”), extending the maximum Duration from three to five years.</w:t>
        <w:br/>
        <w:t>7. The Guidelines proposed by FIGC - in place of the organizing entity of the Competitions - subject of the measure were issued prior and relate to the single season 2023-2024.</w:t>
        <w:br/>
        <w:t>8. Below are summarized the main contents of the Guidelines prepared by FIGC on behalf of the organizer of the competition, as communicated on December 21, 2022.</w:t>
        <w:br/>
        <w:t>2 See Article 2, letter e), of Legislative Decree No. 9 of January 9, 2008: “«organizer of the competition»: the entity to which the organization of the competition is entrusted or delegated by the sports federation recognized by the Italian national Olympic committee, competent for the respective sports discipline.”</w:t>
        <w:br/>
        <w:t>3 As of today, 10 Sports Clubs participate in the Championship, 26 Sports Clubs participate in the Women's Coppa Italia, and 2 Sports Clubs participate in the Women's Supercoppa, according to the formats approved by the Organizer of the competition, it being understood that these may be modified at the discretion, binding and uncontestable, of the Organizer of the competition.</w:t>
      </w:r>
    </w:p>
    <w:p>
      <w:r>
        <w:rPr>
          <w:b/>
        </w:rPr>
        <w:t>[Pages 22–24]</w:t>
      </w:r>
    </w:p>
    <w:p>
      <w:r>
        <w:t>24 BULLETIN NO. 9 OF MARCH 6, 2023</w:t>
        <w:br/>
        <w:t>b) The Guidelines</w:t>
        <w:br/>
        <w:t>9. The Guidelines under examination govern the audiovisual and radio broadcasting rights related to the following football competitions, organized by the competition organizer starting from the 2023/2024 sports season: National Serie A Championship, Coppa Italia, and Supercoppa.</w:t>
        <w:br/>
        <w:t>10. For the mentioned competitions, FIGC has until now licensed, in the national market, the Audiovisual Rights through an offer divided between the broadcasting of free-to-air content (in particular, the live broadcast of a match) and the broadcasting of pay-per-view content (in particular, the live broadcast of all matches). With the issuance of the Guidelines, FIGC intends to verify whether the national market is able to confirm the interest - from communication operators and independent intermediaries also in linear and/or non-linear modes as well as through innovative public communication methods - for an offer of free-to-air content and for an offer of pay-per-view content.</w:t>
        <w:br/>
        <w:t>c) General marketing criteria</w:t>
        <w:br/>
        <w:t>11. Regarding the marketing of Audiovisual Rights, FIGC has identified a series of criteria that it may follow in forming the packages of Audiovisual Rights (hereinafter, the “Packages”), for the Sports Seasons (within the period in question) that it deems useful at the time of preparing the invitations to offer:</w:t>
        <w:br/>
        <w:t>a) the content of the Packages will be determined taking into account both the requests of communication operators (and possibly also independent intermediaries), as well as the needs of users and fans related to the audiovisual product, as well as the needs of the Sports Clubs;</w:t>
        <w:br/>
        <w:t>b) the marketing method of the Audiovisual Rights related to live broadcasts may be based on a distribution both “by platform” and “by product,” with any mixed and/or cross-combination of the two criteria;</w:t>
        <w:br/>
        <w:t>c) the audiovisual production of the Events will be characterized by uniformity and homogeneity, whether it is entrusted to the licensees of the Audiovisual Rights (but still under the editorial control of the competition organizer), or whether it is borne by the same competition organizer or the Sports Clubs that intend to produce independently. Whether the Licensee of the Audiovisual Rights acquires the right to produce the Events, or whether, although the production is carried out by the competition organizer or the Sports Clubs, the Licensee expresses the need to integrate and/or customize the production (for example, by using a greater number of cameras), in both cases the Licensee must necessarily comply with the provisions of the “Regulations on audiovisual productions, access to stadiums, and interviews” as per the circulars that will be issued from time to time (presumably at the beginning of each Sports Season) by the competition organizer (hereinafter “Media Operational Regulations”) and any subsequent modifications and any other applicable regulations or sources, including the general licensing conditions contained in the invitations to offer. In any case, it remains their obligation to make available to the competition organizer and the organizing and/or participating Sports Clubs in the Event the “integrated” signal containing the images of the Event itself and including any source of filming, without any compensation or reimbursement of technical costs, for each use by both the competition organizer and the Sports Clubs. The ownership of the footage resulting from the audiovisual productions belongs to the Sports Club organizing the Event, without prejudice to the right of the competition organizer to use it for all purposes of the Guidelines.</w:t>
        <w:br/>
        <w:t>d) within the invitations to offer, the minimum production standards will be specified in relation to each type of exploitation of each of the Audiovisual Rights, as well as the costs for access to the signal, which may not exceed what is provided in the tariff schedule in Annex 1 to the Guidelines. The competition organizer reserves the right to make changes to the Media Operational Regulations, the minimum production standards, and the tariff schedule in the presence of significant innovations in the market related to filming and broadcasting technologies of the Events as well as in the presence of structural modifications or changes to the stadiums where the Events are held;</w:t>
        <w:br/>
        <w:t>e) in the event of a negative outcome of the competitive procedure (in the terms and with the methods indicated below), the competition organizer reserves the right to market in subsequent procedures new Packages, also prepared through the aggregation of existing ones or through separate licensing of the individual rights that are part of the original Package or other Packages, verifying from time to time the opportunity to continue the competitive procedure with the phase of private negotiation.</w:t>
        <w:br/>
        <w:t>d) Types of packages</w:t>
        <w:br/>
        <w:t>12. Based on the criteria mentioned above, the competition organizer, while maintaining its broad discretion in preparing different or differently packaged Packages during the competitive procedures, may offer the national market of independent intermediaries and communication operators Packages with the following characteristics:</w:t>
        <w:br/>
        <w:t>a) regarding the marketing of Live broadcasts and/or Highlights (as defined by the Melandri Decree), one or more Packages for the transmission of Live broadcasts on any broadcasting platform (Satellite, Digital, Internet also with OTT mode, IPTV, Wireless) may be prepared, free-to-air and/or pay-per-view, of all Events of the competitions or of Events chosen by the Licensee. Such Packages may provide for transmission both free-to-air and pay-per-view, also on a non-exclusive basis. Highlights of the Competitions may also be marketed in specific Packages or included within the Live Packages. All Packages may be marketed individually for each of the Competitions or phases of Competition (Regular Season, Relegation Round, and Championship Round);</w:t>
        <w:br/>
        <w:t>b) regarding the non-exclusive national audiovisual transmission of Related Images (as defined by the Melandri Decree), Packages may be prepared containing the non-exclusive right to create and broadcast, live and free-to-air, generally with transmission methods via satellite and/or digital terrestrial and/or OTT platform, sports programs of the “stadium - studio” type, aired live during the Regular Season matches (excluding Events of the Championship Round and Relegation Round) and the Coppa Italia (excluding semifinals and finals) played by a single Sports Club, or by multiple Sports Clubs. In conjunction with the Package of a single Sports Club, Highlights may also be licensed non-exclusively. Specific Packages, free-to-air or pay-per-view, may also be prepared for the transmission of “stadium - studio” programs for the Events of the Championship Round and Relegation Round, the semifinals and finals of the Coppa Italia, and the Supercoppa;</w:t>
        <w:br/>
        <w:t>c) regarding radio broadcasting, Packages may be prepared for the live transmission, in full or in excerpts, of the radio commentary of all Events of the Regular Season of the Championship and the Coppa Italia (excluding Events of the semifinals and finals) played by a single team, or of the Events of the Championship Round and Relegation Round, of the Events of the semifinals and finals of the Coppa Italia, as well as the Supercoppa, or Packages for transmission on IP platform (for example, the so-called web-commentary).</w:t>
        <w:br/>
        <w:t>e) General licensing conditions</w:t>
        <w:br/>
        <w:t>13. The “General licensing conditions,” which will be detailed within the invitations to offer, provide that only Communication Operators who possess the necessary qualification, if required by current regulations, for the distribution of audiovisual content on the distribution platform provided by the relevant package may become Licensees of one or more packages of Audiovisual Rights, and that guarantee the requirements analytically described in the Guidelines regarding the possession of an adequate organizational structure to broadcast the events provided in each package.</w:t>
        <w:br/>
        <w:t>14. Furthermore, the awardee of the packages will be required to comply with specific obligations regarding access to stadiums, signal transmission, and the protection and promotion of the image of the competitions organized by the competition organizer.</w:t>
        <w:br/>
        <w:t>f) Reserved rights</w:t>
        <w:br/>
        <w:t>15. The Sports Clubs reserve the secondary rights related to the Events they participate in, as detailed in the Invitations to offer and the Media Operational Regulations (and its subsequent modifications and integrations). Currently, and without prejudice to the right of the competition organizer to proceed with a better calibration of the aforementioned rights through the update of the Invitation to offer and the Media Operational Regulations in the interest of all parties involved, the rights exercisable by the Sports Clubs may be exercised in compliance with the rights recognized to them by the Melandri Decree, within the official media channels of the Sports Clubs (including, by way of example and not exhaustively: the official website, thematic television channels, the official social profiles of the Sports Clubs).</w:t>
        <w:br/>
        <w:t>g) General rules for offers and competitive procedure: Exclusive Packages</w:t>
        <w:br/>
        <w:t>16. The competition organizer will proceed with the marketing of the Packages in exclusive form, pursuant to Article 7 of the Melandri Decree, through a specific competitive procedure at the national level in which communication operators and independent intermediaries may participate. Notice of the start of this procedure and the deadlines for submitting offers will be given on the official website of the competition organizer. The content of the individual Packages will be detailed within the Invitations to offer.</w:t>
      </w:r>
    </w:p>
    <w:p>
      <w:r>
        <w:rPr>
          <w:b/>
        </w:rPr>
        <w:t>[Pages 25–27]</w:t>
      </w:r>
    </w:p>
    <w:p>
      <w:r>
        <w:t>BULLETIN NO. 9 OF MARCH 6, 2023 27</w:t>
      </w:r>
    </w:p>
    <w:p>
      <w:r>
        <w:t>17. The minimum price of the individual Packages will be determined according to reasonableness and taking into account market prices and dynamics, the value of the product, and the needs of enthusiasts.</w:t>
      </w:r>
    </w:p>
    <w:p>
      <w:r>
        <w:t>18. The submission of offers, which must relate to a single and autonomous Package, as well as being free of any type of condition, by operators or independent intermediaries must be made through the methods determined in the Invitation to Offer (e.g., in a sealed envelope or dedicated electronic platform), completing the form in all its parts containing the offer for the exclusive Package(s) indicated, accompanied by the required documentation.</w:t>
      </w:r>
    </w:p>
    <w:p>
      <w:r>
        <w:t>19. The opening of the offers will be carried out by a commission specifically appointed at the headquarters of the competition organizer or at another location specifically indicated; representatives and/or delegates of communication operators, intermediaries participating in the procedure, and Sports Companies may be present during the operations and the drafting of the award minutes.</w:t>
      </w:r>
    </w:p>
    <w:p>
      <w:r>
        <w:t>20. Following the opening of the envelopes, a ranking of the offers that have exceeded the minimum price will be drawn up, and if no irregularities are found in the documentation provided, the competition organizer will proceed to award the Package to the communication operator and/or independent intermediary that submitted the highest offer.</w:t>
      </w:r>
    </w:p>
    <w:p>
      <w:r>
        <w:t>21. If no offers exceeding the minimum price are received, the Competition Organizer shall have the right, pursuant to Article 8, paragraph 4, of the Melandri Decree, after notifying the AGCM, to revoke the offer for the Package or decide to award it nonetheless. In any case, the Packages cannot be awarded at the end of the competitive procedure to communication operators or independent intermediaries against whom there is pending litigation, even extrajudicial, with the competition organizer for the non-payment or partial payment of the fees provided for in the License Contracts of the previous seasons, unless the operator or intermediary has deposited, together with the offer, a bank guarantee on first demand (according to the model prepared by the competition organizer) for the payment of any accrued and unpaid fees.</w:t>
      </w:r>
    </w:p>
    <w:p>
      <w:r>
        <w:t>22. The competition organizer will use the tool of private negotiation for the licensing of Audiovisual Rights in the event of a negative outcome of the competitive procedure (due to lack of offers, failure to reach the minimum price of the same, for reasons of extreme urgency, or for any other reason that does not allow the awarding of the Packages). In this case:</w:t>
        <w:br/>
        <w:t>a) if two or more communication operators or independent intermediaries who have submitted an offer express interest in acquiring the Package, the competition organizer will proceed with private negotiation allowing the aforementioned parties to make counter-offers, with the submission of the offer in a sealed envelope or via a dedicated electronic platform. The Package will be awarded to the party that offers the highest price;</w:t>
        <w:br/>
        <w:t>b) if, on the other hand, only one communication operator or independent intermediary expresses interest in purchasing the Package, a true negotiation will take place, which will conclude with the awarding or not of the Audiovisual Rights.</w:t>
      </w:r>
    </w:p>
    <w:p>
      <w:r>
        <w:t>28 BULLETIN NO. 9 OF MARCH 6, 2023</w:t>
      </w:r>
    </w:p>
    <w:p>
      <w:r>
        <w:t>23. In any case, the Packages cannot be awarded at the end of the competitive procedure to communication operators or independent intermediaries against whom there is pending litigation, even extrajudicial, with the competition organizer for the non-payment or partial payment of the fees provided for in the License Contracts of the previous seasons, unless the communication operator or independent intermediary has deposited, together with the offer, a bank guarantee on first demand (according to the model prepared by the competition organizer) for the payment of any accrued and unpaid fees.</w:t>
      </w:r>
    </w:p>
    <w:p>
      <w:r>
        <w:t>h) Non-exclusive Packages</w:t>
      </w:r>
    </w:p>
    <w:p>
      <w:r>
        <w:t>24. In the case of non-exclusive Packages, the Licensee must:</w:t>
        <w:br/>
        <w:t>a) submit the invitation to offer form specifically prepared and published on the official website of the competition organizer, completed in all its parts, indicating the Package for which the adherence to the offer prepared by the competition organizer is presented, as well as express and full acceptance of the General License Conditions provided in the market offer;</w:t>
        <w:br/>
        <w:t>b) make the payment via home banking of the entire fee (or the first installment of payment if provided), including the cost of the Package and the access price to the signal for each event of the Package, to the account of the competition organizer indicated in the market offer. The certification document of the payment made must be attached to the delivery of the document referred to in point a);</w:t>
        <w:br/>
        <w:t>c) deliver the self-certification declaration of the qualification requirements.</w:t>
      </w:r>
    </w:p>
    <w:p>
      <w:r>
        <w:t>25. Following the receipt of the request for adherence to the offer, the competition organizer will proceed with a formal check of the documentation and verification of the payment made, as well as its compliance. At the end of these operations, if no irregularities are found, the competition organizer will proceed to confirm the assignment of the Package with a specific communication to the PEC address of the offeror. The license contract, although subject to the suspensive condition of receiving the third-party liability insurance policy, will be considered perfected at the time of the aforementioned communication, without the need for an additional written contract, even merely acknowledging.</w:t>
      </w:r>
    </w:p>
    <w:p>
      <w:r>
        <w:t>i) Unsold Rights</w:t>
      </w:r>
    </w:p>
    <w:p>
      <w:r>
        <w:t>26. In the event of a negative outcome of the procedures for the assignment of Audiovisual Rights, the competition organizer will provide, with its assembly resolution, at a later time, to regulate, in compliance with the applicable provisions of the Melandri Decree, the methods of exercise also by the Sports Companies of such unsold rights, taking into account the limitations provided by other contracts already defined by the competition organizer. The individual Sports Company retains the right to waive the exercise of unsold rights in favor of the competition organizer, who will have the right to market them in a centralized manner together with the unsold rights of other Sports Companies that have expressly waived.</w:t>
      </w:r>
    </w:p>
    <w:p>
      <w:r>
        <w:t>27. The possibility remains that, in the event of a future resolution by the Assembly of Sports Companies in this regard, the competition organizer, before considering the related rights unsold, reserves the right to establish its own distribution channel for the Events should it find, at the end of the private negotiation phase, the absence of satisfactory offers.</w:t>
      </w:r>
    </w:p>
    <w:p>
      <w:r>
        <w:t>III. THE PUBLIC CONSULTATION</w:t>
      </w:r>
    </w:p>
    <w:p>
      <w:r>
        <w:t>28. On January 11, 2023, the public consultation concerning the Guidelines prepared by the competition organizer, transmitted on December 21, 2022, was initiated.</w:t>
      </w:r>
    </w:p>
    <w:p>
      <w:r>
        <w:t>29. On January 31, 2023, a contribution to the public consultation was received from a company active in the audiovisual production sector (hereinafter, the "Operator"), specialized in the coverage of major sporting events. The company first emphasized that the process of drafting and approving the Guidelines has been initiated although the structure of the main actors involved in the centralized sale of audiovisual rights for women's football is still being defined, with a time horizon limited to a single sports season. These aspects could affect the programming by market operators of their activities, including in relation to the audiovisual production of sporting events of the top competitions in women's football.</w:t>
      </w:r>
    </w:p>
    <w:p>
      <w:r>
        <w:t>30. In particular, the Operator pointed out, in addition to limited clarity regarding the formation of audiovisual rights packages (also based on important elements such as the number of matches included in each package), that a particularly relevant aspect concerns the absence of references regarding the choice, for each club, to proceed with the self-production of the sporting event or not.</w:t>
      </w:r>
    </w:p>
    <w:p>
      <w:r>
        <w:t>31. From a technical point of view, the Operator identified unclear criteria in the formulation of the audiovisual production tariffs for the events, specifically regarding the use of cameras (distinguishing between broadcast, i.e., manned by an operator or non-broadcast), also with reference to events of greater interest (the so-called top matches).</w:t>
      </w:r>
    </w:p>
    <w:p>
      <w:r>
        <w:t>32. Further critical aspects are noted by the Operator regarding the costs for ancillary activities, expressly not included – according to its reading of the Guidelines – in the indicated costs. These activities, complementary to the on-site technical realization, are fundamental for the construction and subsequent distribution of the product to the entities assigned the audiovisual sports rights.</w:t>
      </w:r>
    </w:p>
    <w:p>
      <w:r>
        <w:t>33. The Operator also complains about the low profitability of the production activities of the Events, when compared to a measure calculated based on the Guidelines of Men's Professional Football.</w:t>
      </w:r>
    </w:p>
    <w:p>
      <w:r>
        <w:t>34. Finally, the Operator suggests specifying within the Guidelines the methods by which it will be possible, for the thematic channels of the individual clubs, to continue to distribute live images of their teams' matches as is currently done.</w:t>
      </w:r>
    </w:p>
    <w:p>
      <w:r>
        <w:t>IV. EVALUATIONS</w:t>
      </w:r>
    </w:p>
    <w:p>
      <w:r>
        <w:t>a) Preliminary considerations</w:t>
      </w:r>
    </w:p>
    <w:p>
      <w:r>
        <w:t>35. The fundamental objective of Legislative Decree No. 9/2008 is to create a transparent and efficient market for audiovisual rights. To this end, Articles 6 and 7 of the Decree impose on the competition organizer the obligation to enable all operators on all platforms to compete for acquiring audiovisual rights, through appropriate competitive procedures suitable to guarantee participants conditions of absolute fairness, transparency, and non-discrimination. In this</w:t>
      </w:r>
    </w:p>
    <w:p>
      <w:r>
        <w:rPr>
          <w:b/>
        </w:rPr>
        <w:t>[Pages 28–30]</w:t>
      </w:r>
    </w:p>
    <w:p>
      <w:r>
        <w:t>30 BULLETIN NO. 9 OF MARCH 6, 2023</w:t>
        <w:br/>
        <w:t>In this context, the aforementioned Legislative Decree provides for an ex ante intervention by the Competition and Market Authority, which evaluates and approves the Guidelines prepared by the competition organizer before proceeding to the tender.</w:t>
      </w:r>
    </w:p>
    <w:p>
      <w:r>
        <w:t>36. Pursuant to Article 6, paragraph 1, of the Decree, the Guidelines must provide rules regarding the offer and assignment of audiovisual rights, criteria regarding the formation of the related packages, and further rules in order to guarantee participants in the competitive procedures conditions of absolute fairness, transparency, and non-discrimination.</w:t>
      </w:r>
    </w:p>
    <w:p>
      <w:r>
        <w:t>37. These rules concern the entirety of the audiovisual rights subject to the commercialization procedure called by the competition organizer, considering the broad definition of audiovisual rights adopted by Article 2 of the Melandri Decree, letter o). It expressly includes “the use of images of the event […] for the purpose of associating the images of the event with games and bets and for carrying out related activities” (letter o), number 6), and is characterized by a broad formulation, such as to also include the exploitation of audiovisual content through innovative digital platforms, such as those accessible through the Metaverse, in addition to those related to a separate segment of demand, such as betting rights.</w:t>
      </w:r>
    </w:p>
    <w:p>
      <w:r>
        <w:t>38. That said, the Authority intends to make observations regarding the Guidelines transmitted by the FIGC on December 21, 2022, considering it appropriate to remind that, should the interested parties not adhere to its indications during the concrete preparation of the packages and final assignment, adopting behaviors that undermine competition in the acquisition of specific rights and in downstream markets, to the detriment of consumers, it is called to intervene, using the powers conferred by Articles 101 and 102 of the Treaty on the Functioning of the European Union (“TFEU”) and Law No. 287/1990.</w:t>
      </w:r>
    </w:p>
    <w:p>
      <w:r>
        <w:t>39. In particular, in this context, the Authority is called to approve, for the aspects of its competence, the Guidelines after verifying their compliance with the principles and provisions of the Decree (Article 6, paragraph 6).</w:t>
      </w:r>
    </w:p>
    <w:p>
      <w:r>
        <w:t>5 “Article 2 - Definitions</w:t>
        <w:br/>
        <w:t>1. For the purposes of this legislative decree, the following definitions apply:</w:t>
        <w:br/>
        <w:t>o) “audiovisual rights”: the exclusive rights, lasting fifty years from the date of the event, which include:</w:t>
        <w:br/>
        <w:t>1) the fixation and reproduction, direct or indirect, temporary or permanent, in any manner or form, in whole or in part, of the images of the event, in any place where the event takes place;</w:t>
        <w:br/>
        <w:t>2) the communication to the public of the recordings, fixations, and reproductions, as well as their availability to the public in such a way that each individual can access them from the place and at the time individually chosen, on electronic communication networks. This right does not exhaust with any act of communication to the public or of making the images of the event available to the public;</w:t>
        <w:br/>
        <w:t>3) the distribution in any manner, including sale, of the original and copies of the recordings, fixations, or reproductions of the event. The right of distribution does not exhaust in the territory of the European Community except in the case of the first sale made or authorized by the right holder in a Member State;</w:t>
        <w:br/>
        <w:t>4) the rental and lending of the original and copies of the fixations of the event. The sale or distribution, in any form, does not exhaust the right of rental and lending;</w:t>
        <w:br/>
        <w:t>5) the fixation, processing, or reproduction, in whole or in part, of the broadcasts of the event for new transmissions or retransmissions or for new fixations concerning the event;</w:t>
        <w:br/>
        <w:t>6) the use of images of the event for promotional and advertising purposes of products and services, as well as for the purpose of associating the images of the event with games and bets and for carrying out related activities;</w:t>
        <w:br/>
        <w:t>7) the preservation of the fixations of the images of the event for the purpose of establishing an archive or database to be reproduced, processed, communicated to the public, and distributed in any manner and form under the terms set forth, starting from midnight of the eighth day following the event itself;”</w:t>
      </w:r>
    </w:p>
    <w:p>
      <w:r>
        <w:t>BULLETIN NO. 9 OF MARCH 6, 2023 31</w:t>
        <w:br/>
        <w:t>40. The evaluations carried out below will concern solely the text of the Guidelines transmitted on December 21, 2022, by the FIGC, taking into account the competitive dynamics that have manifested in the national territory regarding the commercialization of audiovisual rights for the competitions organized by it and the fact that this entity is not, in perspective, the organizing entity of the competition as identified by the Melandri Decree.</w:t>
      </w:r>
    </w:p>
    <w:p>
      <w:r>
        <w:t>b) On the criteria for forming the packages</w:t>
        <w:br/>
        <w:t>41. With regard to the level of detail of the criteria for forming the packages, at the time of presenting the Guidelines, the FIGC – on behalf of the future organizer of the competition – did not proceed to an analytical articulation of the packages, limiting itself to describing the types of groups of packages taking into account both the requests of communication operators (and possibly also independent intermediaries), as well as the needs of users and enthusiasts regarding the audiovisual product, as well as the needs of Sports Societies.</w:t>
      </w:r>
    </w:p>
    <w:p>
      <w:r>
        <w:t>42. It is noted that the description of the specific contents of the packages must be evaluated in light of the need to provide a minimum number of information suitable to allow an assessment regarding compliance with the guiding principles of the Melandri Decree, as well as the limits imposed by it, with particular regard to the characteristics of the events – such as their attractiveness – from which the possibility of proposing to the public the events of greater interest follows. However, it should be noted that the rights in question currently have less appeal and relevance to the public and, therefore, their exclusive commercialization appears to be of lesser importance for competition in audiovisual markets. To this end, it is recalled that the Melandri Decree, in Article 7, paragraph 8, provides for less stringent limits on the commercialization of rights compared to those provided for the Serie A Championship organized by the Lega Nazionale Professionisti Serie A. In particular, for competitions other than Serie A, it is possible to assign all packages related to exclusive live broadcasts to a single entity.</w:t>
      </w:r>
    </w:p>
    <w:p>
      <w:r>
        <w:t>43. That said, it is emphasized that, following the publication of the invitations to offer, the eventual assessment of the compliance of the concrete declination of the packages, as well as the subsequent assignment of rights, remains unaffected, pursuant to national and EU legislation and Article 8 of the Melandri Decree. The Authority, in fact, believes that national and EU legislation on competition is sufficient to allow intervention where the competition organizer, in the concrete preparation of the packages and final assignment, does not adhere to the Authority's indications and such behavior undermines competition in the acquisition of specific rights and in downstream markets, to the detriment of consumers.</w:t>
      </w:r>
    </w:p>
    <w:p>
      <w:r>
        <w:t>44. Regarding the costs of access to the signal, quality standards, and methods of television production, on which considerations were made during the public consultation, it is noted that the regulation is entrusted to the Authority for Guarantees in Communications, pursuant to Article 4, paragraph 7, of the Melandri Decree. Therefore, they are not the subject of this evaluation.</w:t>
      </w:r>
    </w:p>
    <w:p>
      <w:r>
        <w:t>c) On the assignment criteria</w:t>
        <w:br/>
        <w:t>45. In general, it is believed that the rules set out in the Guidelines under examination regarding the offer and assignment of audiovisual rights and, in particular, the provision of a minimum offer price, the criteria for determining it, and the use of selective competitive procedures, are currently suitable to allow full and impartial competition among participants, in accordance with Article 6, paragraph 1, of Legislative Decree No. 9/2008.</w:t>
      </w:r>
    </w:p>
    <w:p>
      <w:r>
        <w:t>46. In this regard, it should be emphasized the importance of defining a minimum price appropriate to the content of each package and such as to minimize the likelihood that the sale of one or more packages results in a negative outcome. This provision appears justifiable in the specific case of the rights related to the competitions organized by the competition organizer as it aims to maintain the overall attractiveness of the packages offered in a perspective of lesser appeal of such rights compared to competitions organized by other sports leagues.</w:t>
      </w:r>
    </w:p>
    <w:p>
      <w:r>
        <w:t>47. With regard to the commercialization criteria, it is stated that the FIGC – on behalf of the future organizer of the competitions – reserves the right to modify the packages, regarding their configuration in the Guidelines, at the time of publication of the invitations to offer, while maintaining the criteria for their formation.</w:t>
      </w:r>
    </w:p>
    <w:p>
      <w:r>
        <w:t>48. Regarding the duration of the licenses, it is recalled that, pursuant to paragraphs 1 and 2 of Article 10 of the Melandri Decree, license contracts must have a maximum duration of five (following the intervened legislative amendment, see above) years or in any case a maximum duration that guarantees equal treatment of all communication operators. That said, the provision of licenses for a shorter duration, proposed in the Guidelines presented by the FIGC and identified only for the 2023-2024 season, is commendable as, while maintaining the considerations made above regarding the preparation of balanced and genuinely valuable packages that ensure the enhancement of the rights commercialized by the competition organizer, it allows for greater contestability, even dynamic, of the audiovisual rights in question.</w:t>
      </w:r>
    </w:p>
    <w:p>
      <w:r>
        <w:t>CONSIDERING that the Authority's power to assess the compliance of the invitations to offer and the procedure for the sale of the audiovisual rights subject to this measure with national and EU antitrust legislation and Legislative Decree No. 9/2008 remains unaffected and to proceed with the verification of any violations of the aforementioned legislation in the event that the competition organizer, in the concrete preparation of the packages and final assignment, does not adhere to the Authority's indications and such behavior undermines competition in the acquisition of specific rights and in downstream markets, to the detriment of consumers;</w:t>
      </w:r>
    </w:p>
    <w:p>
      <w:r>
        <w:t>THEREFORE CONSIDERED, to be able to approve, for the reasons and within the limits set forth in the motivation, the Guidelines under examination pursuant to Article 6, paragraph 6, of Legislative Decree No. 9/2008;</w:t>
      </w:r>
    </w:p>
    <w:p>
      <w:r>
        <w:t>RESOLVES</w:t>
        <w:br/>
        <w:t>to approve, pursuant to Article 6, paragraph 6, of Legislative Decree No. 9/2008, for the reasons and within the limits set forth in the motivation, the Guidelines of the Italian Football Federation – Women's Football Division deposited on December 21, 2022, concerning the commercialization of audiovisual sports rights relating to the 2023/2024 sports season.</w:t>
      </w:r>
    </w:p>
    <w:p>
      <w:r>
        <w:rPr>
          <w:b/>
        </w:rPr>
        <w:t>[Pages 31–33]</w:t>
      </w:r>
    </w:p>
    <w:p>
      <w:r>
        <w:t>BULLETIN NO. 9 OF MARCH 6, 2023 33</w:t>
        <w:br/>
        <w:t>This measure will be notified to the interested parties and will be published in the bulletin of the Competition and Market Authority.</w:t>
        <w:br/>
        <w:t>THE SECRETARY GENERAL THE PRESIDENT</w:t>
        <w:br/>
        <w:t>Guido Stazi Roberto Rustichelli</w:t>
      </w:r>
    </w:p>
    <w:p>
      <w:r>
        <w:t>34 BULLETIN NO. 9 OF MARCH 6, 2023</w:t>
        <w:br/>
        <w:t>UNFAIR TRADE PRACTICES</w:t>
        <w:br/>
        <w:t>PS12159 - MUNICIPALITY OF SAN NICOLA LA STRADA - TWO-YEAR PRESCRIPTION</w:t>
        <w:br/>
        <w:t>WATER SECTOR</w:t>
        <w:br/>
        <w:t>Measure no. 30487</w:t>
        <w:br/>
        <w:t>THE COMPETITION AND MARKET AUTHORITY</w:t>
        <w:br/>
        <w:t>IN ITS MEETING of February 15, 2023;</w:t>
        <w:br/>
        <w:t>HEARD the Rapporteur Professor Michele Ainis;</w:t>
        <w:br/>
        <w:t>HAVING REGARD to Part II, Title III, of Legislative Decree No. 206 of September 6, 2005,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the communication of July 22, 2022, by which the Municipality of San Nicola La Strada was informed of the initiation of the investigative procedure PS12159 for possible violation of Articles 20, 22, 24, and 25 of the Consumer Code;</w:t>
        <w:br/>
        <w:t>HAVING REGARD to the communication, received on October 31, 2022, by which the Municipality of San Nicola La Strada submitted commitments pursuant to Article 27, paragraph 7, of the Consumer Code and Article 9 of the Regulation;</w:t>
        <w:br/>
        <w:t>HAVING REGARD to the measure of November 15, 2022, by which, pursuant to Article 7, paragraph 3, of the Regulation, a forty-five-day extension of the conclusion deadline of the procedure was ordered;</w:t>
        <w:br/>
        <w:t>HAVING REGARD to the documents of the procedure;</w:t>
        <w:br/>
        <w:t>I. THE PARTY</w:t>
        <w:br/>
        <w:t>1. The Municipality of San Nicola La Strada (hereinafter also the Municipality), in its capacity as Professional, pursuant to Article 18, letter b), of the Consumer Code (hereinafter “the Professional”), as the manager of the integrated water service (hereinafter “SII”) in its municipal territory.</w:t>
        <w:br/>
        <w:t>II. THE CONDUCTS SUBJECT TO THE PROCEDURE</w:t>
        <w:br/>
        <w:t>2. The procedure in question concerns the conducts carried out by the Municipality of San Nicola La Strada (CE), in possible violation of the Consumer Code, relating to:</w:t>
        <w:br/>
        <w:t>A) failure to comply with the informational obligations regarding the two-year or short prescription as per Law No. 205/2017 (hereinafter also “PB”), which require adequate information to users, both within the invoice that contains amounts related to consumption dating back more than two years, and through its website (or through other communication/dissemination supports);</w:t>
      </w:r>
    </w:p>
    <w:p>
      <w:r>
        <w:t>BULLETIN NO. 9 OF MARCH 6, 2023 35</w:t>
        <w:br/>
        <w:t>B) failure to accept requests for recognition of the two-year prescription related to credits for water consumption billed after January 1, 2020, and dating back more than two years from the date of issuance of the relevant bill.</w:t>
        <w:br/>
        <w:t>III. THE OUTCOMES OF THE PROCEDURE: THE PRESENTATION OF COMMITMENTS</w:t>
        <w:br/>
        <w:t>1) The procedure process</w:t>
        <w:br/>
        <w:t>3. Based on the information acquired for the application of the Consumer Code, on July 22, 2022, the Municipality of San Nicola La Strada was informed of the initiation of the investigative procedure PS12159.</w:t>
        <w:br/>
        <w:t>4. The procedure concerns the behavior carried out by the Municipality of San Nicola La Strada for having engaged in certain conducts that circumvent the obligations set by the current legislative and regulatory framework regarding PB for operators in the water sector starting from January 1, 2020.</w:t>
        <w:br/>
        <w:t>5. In particular, the Municipality of San Nicola La Strada, as evidenced by the documents on file, issued, during the period January – October 2020, invoices regarding water consumption for the years 2016/2017: (i) without indicating the presence of amounts subject to prescription and the information required by the regulations on the two-year prescription, (ii) without attaching to the bills the relevant form to contest the prescription. Furthermore, the evidence acquired highlights that the Municipality did not accept multiple prescription requests.</w:t>
        <w:br/>
        <w:t>7. On October 31, 2022, the Municipality of San Nicola La Strada sent the requested information in the communication initiating the procedure.</w:t>
        <w:br/>
        <w:t>8. The Municipality of San Nicola La Strada was heard in a hearing on September 20, 2022.</w:t>
        <w:br/>
        <w:t>9. On October 31, 2022, the Municipality submitted a proposal for commitments, pursuant to Article 27, paragraph 7, of the Consumer Code and Article 9 of the Regulation.</w:t>
        <w:br/>
        <w:t>9. On November 15, 2022, the deadline for concluding the procedure was extended.</w:t>
        <w:br/>
        <w:t>10. On November 21, 2022, the Municipality was informed of the conclusion date of the investigative phase pursuant to Article 16, paragraph 1, of the Regulation.</w:t>
        <w:br/>
        <w:t>2) The regulation of the two-year prescription in the water sector</w:t>
        <w:br/>
        <w:t>11. Law No. 205 of December 27, 2017 (so-called 2018 Budget Law), in Article 1, paragraphs 4 and following, introduced a new two-year prescription regime for credits held by operators in the utilities sectors, including water services: in particular, it established the right of consumer-users, both domestic and professional and micro-enterprises, to contest the prescription of amounts related to consumption dating back more than two years, indicated in invoices issued from January 1, 2020, where the delay in billing was not due to “established responsibility of the user.”</w:t>
      </w:r>
    </w:p>
    <w:p>
      <w:r>
        <w:rPr>
          <w:b/>
        </w:rPr>
        <w:t>[Pages 34–36]</w:t>
      </w:r>
    </w:p>
    <w:p>
      <w:r>
        <w:t>36 BULLETIN NO. 9 OF MARCH 6, 2023</w:t>
        <w:br/>
        <w:t>12. The same Article 1 assigned to the sector Regulator – currently, ARERA – the task, among other things, of defining both “the measures regarding billing timelines among operators in the supply chain necessary for the implementation of what is provided in the first and second period” (paragraph 4), and “the measures to protect consumers by determining the forms through which distributors ensure the verification and acquisition of actual consumption data”5.</w:t>
        <w:br/>
        <w:t>13. In implementation of the legislative provision, ARERA adopted, in relation to the water sector, Resolution no. 547/2019/R/IDR identifying, in the related Annex B, the “measures to strengthen the protections for end users in cases of billing amounts for water services related to consumption dating back more than two years.” Therefore, in reference “to invoices related to water services issued before January 1, 2020, with deadlines after that date, for amounts related to consumption dating back more than two years,” various obligations have been meticulously provided for the SII Managers, starting from the transparent communication to the end user – distinct and highlighted detail in the invoice or with a separate document – regarding the amounts related to consumption dating back more than two years as well as regarding the right to raise the two-year prescription by completing and sending an ad hoc form in reference.</w:t>
        <w:br/>
        <w:t>14. Also in Annex B to Resolution no. 547/2019/R/IDR, the Regulatory Authority for Energy, Networks and Environment (hereinafter “ARERA”) expressly provided (in Article 2.3)6, that the PB “starts from the deadline by which the manager is obliged to issue the billing document, as identified by the current regulation” that is once forty-five days have passed since the expiration of the last day of the reference period.</w:t>
        <w:br/>
        <w:t>15. The entry into force of the PB regulation referred to in the 2018 Budget Law was set, for the water sector, at January 1, 2020: however, the legislator subsequently intervened with Article 1, paragraph 295, of Law December 27, 2019, no. 160 (c.d. 2020 Budget Law) which, also effective from January 1, 2020, repealed paragraph 5 of Article 1 of Law no. 205/2017 (in which the operation of the PB was excluded when the failure/incorrect detection of consumption data was due to “established responsibility of the user”).</w:t>
        <w:br/>
        <w:t>16. Following this legislative amendment, ARERA adopted a new Resolution (of May 26, 2020, no. 186/2020/R/IDR) which, in order to adapt the previous regulation to the 2020 Budget Law, provided, among other things7, to modify and update the informational obligations regarding the PB, already defined by Recommendation 2003/361/EC of the Commission, of May 6, 2003, or the professionals, as defined by Article 3, paragraph 1, letter c), of the Consumer Code, and the seller, both in the relationships between the distributor and the seller, and in those with the transport operator and with other subjects of the supply chain. In contracts for the supply of water services, relating to the categories referred to in the first period, the right to compensation is subject to a two-year prescription” (bold added). The subsequent paragraph 5 established that “the provisions of paragraph 4 do not apply if the failure or incorrect detection of consumption data is due to established responsibility of the user.”</w:t>
        <w:br/>
        <w:t>5 Furthermore, the subsequent paragraph 7 of Article 1 established that ARERA “may define, with its own resolution, measures aimed at incentivizing self-reading without costs to the user.”</w:t>
        <w:br/>
        <w:t>6 “the manager is obliged to inform the end user, using one or more communication channels suitable to ensure completeness and transparency, of the possibility of raising the prescription, by means of the following textual notice: “The invoice [specify invoice number] contains amounts for consumption dating back more than two years, which may not be paid if the responsibility for the delay in billing of such amounts is not attributable to you, in application of the 2018 Budget Law (Law 205/2017). We invite you to promptly communicate your intention not to pay such amounts to the contacts listed below [specify contacts]” (Resolution 547/2019/R/IDR - Annex B, Article 3.2).</w:t>
        <w:br/>
        <w:t>7 With Resolution 86/2020/R/IDR, ARERA also made changes to Annex A to Resolution 311/2019/IDR (REMSI), regulating the “establishment of default,” setting updated obligations for the Managers, always in line with the amendment made by the 2020 Budget Law. Specifically, in place of paragraph 2.bis of Article 4 of Annex A to Resolution 311/2019/R/IDR, it was established that “if the establishment of default relates to amounts owed by the Managers to the users under the aforementioned Resolution no. 547/2019/R/IDR, providing for the inclusion of coherent communication in the invoice regarding amounts related to consumption dating back more than two years8.</w:t>
        <w:br/>
        <w:t>17. With Resolution 186/2020/R/IDR, ARERA stated that, as a result of the amendment introduced by Law no. 160/2019 (in force from January 1, 2020), “the PB provided for by the 2018 Budget Law is based on the mere passage of time”; it also reiterated the binding nature of the regulation contained in the primary norm on PB (with reference to the 2018 and 2020 Budget Laws) and the specific and immediately prescriptive content for the operators of this primary regulation, in force, for the water sector, since January 1, 2020.</w:t>
        <w:br/>
        <w:t>18. Lastly, in compliance with certain rulings of the Administrative Judge9, ARERA issued Resolution of December 21, 2021, no. 610/2021/R/IDR, with which it provided: a) to update its regulation confirming, in general terms, the prescriptive content of Resolution no. 186/2020/R/IDR, redefining the informational obligations as a result of the legislative generalization of the two-year prescription term; b) to ensure adequate information to the end user in cases where the manager believes it can bill amounts related to consumption dating back more than two years, affirming, in such cases, the existence of an obstacle to the maturation of the prescription pursuant to the relevant primary legislation.</w:t>
        <w:br/>
        <w:t>19. Specifically, and to strengthen the protection of end users, the aforementioned Resolution no. 610/2021/R/IDR provided, in substantial continuity with previous resolutions, that: i) in cases of billing amounts related to consumption dating back more than two years that may be declared prescribed, the manager shall prepare a standard textual notice to be attached to the invoice informing the end user of the presence of such amounts, indicating the methods to raise the prescription; ii) in cases of billing amounts related to consumption dating back more than two years, but for which the manager believes there is a cause for suspension of the prescription, the manager shall adequately communicate to the end user the specific reasons for the (alleged) failure to mature the prescription of the right to payment of the amounts, pursuant to the primary and general reference regulation, as well as the possibility of submitting a written complaint regarding the billing of the aforementioned amounts.</w:t>
        <w:br/>
        <w:t>not paid for consumption dating back more than two years for which the end user has not raised the prescription, despite the existence of the prerequisites, the manager is obliged to attach to the communication referred to in the subsequent paragraph 4.5 the following textual notice: “Amounts for consumption dating back more than two years may not be paid, in application of the 2018 Budget Law (Law 205/2017) as amended by the 2020 Budget Law (Law no. 160/2019). We invite you to promptly communicate your intention to raise the prescription regarding such amounts, for example by sending the attached prescription exception form to invoice [specify invoice number], to the contacts listed below [specify contacts].”</w:t>
        <w:br/>
        <w:t>8 Resolution ARERA no. 186/2020/R/IDR imposed on water service managers the inclusion, within invoices containing amounts subject to prescription under the new regulation, of the following wording: “This invoice contains amounts for consumption dating back more than two years, which may not be paid in application of the 2018 Budget Law (Law no. 205/2017) as amended by the 2020 Budget Law (Law no. 160/2019). We invite you to promptly communicate your intention to raise the prescription regarding such amounts, for example by sending the completed form attached to invoice [specify invoice number] to the contacts listed below [specify contacts].”</w:t>
        <w:br/>
        <w:t>9 Tar Lombardia, I sez, rulings no. 1442, 1443 and 1448 dated June 14, 2021.</w:t>
      </w:r>
    </w:p>
    <w:p>
      <w:r>
        <w:t>38 BULLETIN NO. 9 OF MARCH 6, 2023</w:t>
        <w:br/>
        <w:t>20. Also with Resolution no. 610/2021/R/IDR, ARERA has also proceeded to realign the provisions regarding complaints, default procedures, and minimum contents of billing documents as per the previous regulation10.</w:t>
        <w:br/>
        <w:t>3) The commitments presented by the Professional</w:t>
        <w:br/>
        <w:t>21. The Municipality of San Nicola La Strada submitted, on October 31, 2022, pursuant to Article 27, paragraph 7, of the Consumer Code and Article 9 of the Regulation, a proposal for commitments, attached to this measure and which constitutes an integral part thereof. In particular, the Municipality committed to:</w:t>
        <w:br/>
        <w:t>1) proceed with the acceptance of the prescription requests already received by the date of sending the proposal for commitments;</w:t>
        <w:br/>
        <w:t>2) send suitable information to consumers who have received the invoices, regarding the validity of the two-year prescription regime and the possibility of raising the prescription as well as of reclaiming any sums already paid (according to what is indicated in the form attached to the declaration of commitments). The Municipality expressly commits to send such information, by mail (the same means used for sending the invoice), no later than January 31, 2023;</w:t>
        <w:br/>
        <w:t>3) publish, by January 31, 2023, suitable information for consumers on the website of the Municipality of San Nicola La Strada (Annex 2).</w:t>
        <w:br/>
        <w:t>22. On February 1, 2023, the Municipality communicated that it had implemented the proposed measures with the commitment form of October 31, 2022, transmitting evidence such as, in particular, a copy of a bill sent to consumers with the appropriate information, the text of the information published on the institutional website of the entity, and the form for submitting the related request.</w:t>
        <w:br/>
        <w:t>IV. OPINION OF THE REGULATORY AUTHORITY FOR ENERGY, NETWORKS AND ENVIRONMENT</w:t>
        <w:br/>
        <w:t>23. Since the commercial practice subject to this measure concerns the water sector, on December 6, 2022, the opinion was requested from ARERA, pursuant to and for the effects of Article 27, paragraph 1-bis, of the Consumer Code, introduced by Article 1, paragraph 6, letter a), of Legislative Decree no. 21/2014.</w:t>
        <w:br/>
        <w:t>24. On December 16, ARERA requested an extension of the deadline for submitting the opinion until January 31, 2023. The extension was accepted on January 10, 2023, and communicated to the Regulatory Authority on the following January 12, 2023.</w:t>
        <w:br/>
        <w:t>25. The opinion was received on January 30, 2023, and summarizes the observations and evaluations that follow.</w:t>
        <w:br/>
        <w:t>26. The aforementioned Authority specified the evolution of the sector regulation on the issue of the two-year prescription, introduced by the 2018 Budget Law, the principles underlying this implementing regulation, and the most significant interventions aimed at “strengthened protection of end customers.”</w:t>
        <w:br/>
        <w:t>27. With reference to the commitments presented by the Municipality, ARERA observes that it has no critical elements to highlight regarding the commitment to proceed with the acceptance of the prescription requests already received.</w:t>
        <w:br/>
        <w:t>10 In reference, respectively, to Annex A to Resolution no. 655/2015/R/IDR (RQSII), to Annex A to Resolution no. 311/2019/R/IDR (REMSI) as well as to Annex A to Resolution 586/2012/R/IDR.</w:t>
      </w:r>
    </w:p>
    <w:p>
      <w:r>
        <w:rPr>
          <w:b/>
        </w:rPr>
        <w:t>[Pages 37–39]</w:t>
      </w:r>
    </w:p>
    <w:p>
      <w:r>
        <w:t>BULLETIN NO. 9 OF MARCH 6, 2023 39</w:t>
      </w:r>
    </w:p>
    <w:p>
      <w:r>
        <w:t>28. With reference to the information addressed to end users, both through inclusion in the bill and via the website, ARERA highlights that the standard text notice, provided for by resolution of December 21, 2021, 610/2021/R/IDR, must specify: “This invoice contains amounts for consumption dating back more than two years, which may not be paid, in accordance with the 2018 Budget Law (Law No. 205/2017) as amended by the 2020 Budget Law (Law No. 160/2019). We invite you to promptly communicate your intention to raise the statute of limitations regarding such amounts, for example by sending the completed form available on this page to the contact details below [indicate contact details],” as well as with the other informational elements provided by the aforementioned resolution, consisting of the indication of: “b) the amount of the amounts subject to the statute of limitations; c) a section containing a format that the end user can use to raise the statute of limitations; […] d) the indication of a postal or fax address and an email address of the operator or an online method, to which it is possible to send the documents referred to in the previous letter c) or any text drafted by the end user with which they intend to raise the statute of limitations.”</w:t>
      </w:r>
    </w:p>
    <w:p>
      <w:r>
        <w:t>V. EVALUATION OF COMMITMENTS</w:t>
      </w:r>
    </w:p>
    <w:p>
      <w:r>
        <w:t>29. With the introduction of the 2018 Budget Law, as amended by the 2020 Budget Law, the legislator intended to curb and limit the phenomenon known as maxi bills due to the late issuance of adjustment invoices for water consumption by service providers. It had emerged, in fact, that due to the previous commercial regime of water supplies – characterized by frequent late billing and/or adjustment of consumption accompanied by the charge of significant amounts – consumers were penalized, not only by the amounts of the bills but also in their ability to monitor their consumption and plan the related expenses.</w:t>
      </w:r>
    </w:p>
    <w:p>
      <w:r>
        <w:t>30. That said, the Authority believes that the commitments presented by the Municipality of San Nicola La Strada are suitable to remedy the possible unfairness profiles identified in the notification of the initiation of the procedure of July 22, 2022.</w:t>
      </w:r>
    </w:p>
    <w:p>
      <w:r>
        <w:t>31. The proposed measures remove the contested behaviors by ensuring complete information to users on the profiles related to the statute of limitations and the reinstatement, for all consumers, of the rights due to them under the short statute of limitations legislation.</w:t>
      </w:r>
    </w:p>
    <w:p>
      <w:r>
        <w:t>32. In fact, the Municipality of San Nicola La Strada has committed, first of all, to adopt a new and complete information on the statute of limitations to consumers, also including, prominently on its official website, adequate information to all users on the recognition of the two-year statute of limitations and the methods for exercising it, with the presence of a hyperlink to easily access the relevant forms.</w:t>
      </w:r>
    </w:p>
    <w:p>
      <w:r>
        <w:t>33. Secondly, the Municipality has committed to provide supplementary information to all users who have received invoices with claimable credits to raise the statute of limitations (with the relevant form attached).</w:t>
      </w:r>
    </w:p>
    <w:p>
      <w:r>
        <w:t>34. Thirdly, it has committed to provide users who have already paid the amounts in question the possibility to request a refund, through appropriate information and related forms. Finally, the Municipality has undertaken the commitment to accept the requests for short statute of limitations on claimable credits already submitted.</w:t>
      </w:r>
    </w:p>
    <w:p>
      <w:r>
        <w:t>40 BULLETIN NO. 9 OF MARCH 6, 2023</w:t>
      </w:r>
    </w:p>
    <w:p>
      <w:r>
        <w:t>35. These commitments have already been implemented, as per the Municipality's communication dated February 1, 2023, through the adjustment of the information on the website, the sending of a communication to the affected users by the end of January 2023, and the preparation of a specific form to raise the statute of limitations.</w:t>
      </w:r>
    </w:p>
    <w:p>
      <w:r>
        <w:t>36. The Municipality of San Nicola La Strada has also undertaken the general commitment to interpret the current regulations in the manner indicated by the 2020 budget law and, therefore, to accept all statute of limitations exceptions raised regardless of whether the billing delays are attributable to consumers.</w:t>
      </w:r>
    </w:p>
    <w:p>
      <w:r>
        <w:t>37. In light of the above considerations, it is believed that the commitments presented meet the requirements set forth in Article 27, paragraph 7, of the Consumer Code.</w:t>
      </w:r>
    </w:p>
    <w:p>
      <w:r>
        <w:t>IT IS THEREFORE CONSIDERED that the commitments presented by the Municipality of San Nicola La Strada, in the terms outlined above, are suitable to eliminate the possible profiles of unfairness of the commercial practice under investigation;</w:t>
      </w:r>
    </w:p>
    <w:p>
      <w:r>
        <w:t>IT IS CONSIDERED to impose the obligation of the aforementioned commitments on the Municipality of San Nicola La Strada;</w:t>
      </w:r>
    </w:p>
    <w:p>
      <w:r>
        <w:t>IT IS THEREFORE CONSIDERED to be able to close the procedure without establishing the infringement;</w:t>
      </w:r>
    </w:p>
    <w:p>
      <w:r>
        <w:t>RESOLUTION</w:t>
      </w:r>
    </w:p>
    <w:p>
      <w:r>
        <w:t>a) to make mandatory, with respect to the Municipality of San Nicola La Strada, pursuant to Article 27, paragraph 7, of the Consumer Code and Article 9, paragraph 2, letter a), of the Regulation, the commitments proposed by it on October 31, 2022, described in the form attached to this measure and which constitute an integral part thereof;</w:t>
      </w:r>
    </w:p>
    <w:p>
      <w:r>
        <w:t>b) to close the procedure without establishing the infringement, pursuant to Article 27, paragraph 7, of the Consumer Code and Article 9, paragraph 2, letter a), of the Regulation;</w:t>
      </w:r>
    </w:p>
    <w:p>
      <w:r>
        <w:t>c) that the Municipality of San Nicola La Strada, within sixty days from the date of notification of this resolution, informs the Authority of the implementation of the commitments.</w:t>
      </w:r>
    </w:p>
    <w:p>
      <w:r>
        <w:t>Pursuant to Article 9, paragraph 3, of the Regulation, the procedure may be reopened ex officio, where:</w:t>
      </w:r>
    </w:p>
    <w:p>
      <w:r>
        <w:t>a) the Municipality does not implement the commitments;</w:t>
      </w:r>
    </w:p>
    <w:p>
      <w:r>
        <w:t>b) the factual situation changes regarding one or more elements on which the decision is based;</w:t>
      </w:r>
    </w:p>
    <w:p>
      <w:r>
        <w:t>c) the decision to accept commitments is based on information provided by the Party that is incomplete, inaccurate, or misleading.</w:t>
      </w:r>
    </w:p>
    <w:p>
      <w:r>
        <w:t>Pursuant to Article 27, paragraph 12, of the Consumer Code, in case of non-compliance with this resolution, the Authority applies an administrative pecuniary sanction from 10,000 to 5,000,000 euros. In cases of repeated non-compliance, the Authority may order the suspension of business activity for a period not exceeding thirty days.</w:t>
      </w:r>
    </w:p>
    <w:p>
      <w:r>
        <w:t>BULLETIN NO. 9 OF MARCH 6, 2023 41</w:t>
      </w:r>
    </w:p>
    <w:p>
      <w:r>
        <w:t>This measure will be notified to the interested parties and published in the Bulletin of the Competition and Market Authority.</w:t>
      </w:r>
    </w:p>
    <w:p>
      <w:r>
        <w:t>THE SECRETARY GENERAL THE PRESIDENT</w:t>
      </w:r>
    </w:p>
    <w:p>
      <w:r>
        <w:t>Guido Stazi Roberto Rustichelli</w:t>
      </w:r>
    </w:p>
    <w:p>
      <w:r>
        <w:rPr>
          <w:b/>
        </w:rPr>
        <w:t>[Pages 40–42]</w:t>
      </w:r>
    </w:p>
    <w:p>
      <w:r>
        <w:t>42 BULLETIN NO. 9 OF MARCH 6, 2023</w:t>
        <w:br/>
        <w:t>CONFLICT OF INTEREST</w:t>
        <w:br/>
        <w:t>SI1203B – VITTORIO COLAO – MINISTER OF TECHNOLOGICAL INNOVATION AND DIGITAL TRANSITION OPINION ON POST-OFFICE INCOMPATIBILITY</w:t>
        <w:br/>
        <w:t>Rome, December 15, 2022</w:t>
        <w:br/>
        <w:t>Subject: request for an opinion regarding the regime of post-office incompatibilities pursuant to Article 2, paragraph 4, of Law No. 215 of July 20, 2004, containing "Rules on the resolution of conflicts of interest," received on November 21, 2022.</w:t>
        <w:br/>
        <w:t>Dear Doctor,</w:t>
        <w:br/>
        <w:t>on November 21, 2022, a note was received by the Authority in which you request an opinion on the compatibility between the position of Minister for Technological Innovation and Digital Transition, held by you until October 21, 2022, and the assumption of the position of member of the Board of Directors of Bocconi University, the assumption of the position of board member in Verizon Inc, as well as the performance of advisory activities for the investment company General Atlantic.</w:t>
        <w:br/>
        <w:t>In relation to this request, the Authority, in its meeting on December 13, 2022, resolved the following opinion.</w:t>
        <w:br/>
        <w:t>The cases under examination fall under Article 2, paragraph 1, letter c) (the first two) and Article 2, paragraph 1, letter d) (the third) of Law No. 215 of July 20, 2004, provisions referred to in Article 2, paragraph 4, of the same law, according to which "the incompatibility provided for by the provisions of letters b), c) and d) of paragraph 1 lasts for twelve months from the end of the government position with respect to public law entities, including economic ones, as well as to profit-making companies operating mainly in sectors related to the position held."</w:t>
        <w:br/>
        <w:t>Regarding, specifically, the assumption of the position on the Board of Directors of the Università Commerciale Luigi Bocconi, the Authority deemed that this circumstance does not integrate the aforementioned case referred to in Article 2, paragraph 4, of Law No. 215/2004, since Bocconi University does not have the legal form of a commercial company and, pursuant to Article 1, paragraph 1 of the Statute, does not pursue profit-making purposes.</w:t>
        <w:br/>
        <w:t>As for the assumption of the position of member of the Board of Directors in Verizon Communications Inc, it is noted that the aforementioned provision in Article 2, paragraph 4, of Law No. 215/2004 is essentially intended to exclude even the mere possibility that the exercise of the powers related to the government position could be influenced or distorted by the holder's interest in pre-establishing future benefits, for example in terms of positions following the termination of the government position. In this sense, the element of discontinuity introduced by the legislator in the relationships between former office holders and the entities or companies that operate mainly in the sectors related to the specific functions exercised during the government mandate is aimed at safeguarding the impartiality of public action, which represents the cornerstone principle of the regulation on conflicts of interest.</w:t>
        <w:br/>
        <w:t>The investigation into the elements of connection and prevalence, referred to in Article 2, paragraph 4, second sentence, of Law No. 215 of July 20, 2004, is aimed at verifying what the predominant sectors of activity of the companies or entities in favor of which or at which the position will be performed are, investigating whether there are, for such activities, profiles of connection with the functions and institutional competencies of the office holder.</w:t>
        <w:br/>
        <w:t>The assessment focuses on the abstract analysis of the powers of the government position, verifying their suitability to involve those same sectors in which the companies or entities operate predominantly, also checking whether there may be, in fact, a link between the powers of the office holder and the entities or companies concerned (for example, through the power to appoint the top management or as a result of previous contractual relationships of the companies or entities with the relevant ministry).</w:t>
        <w:br/>
        <w:t>In the numerous precedents conducted by the Authority regarding post-office prohibitions, the requirements of connection and prevalence have been extensively examined. With regard to connection, it has been deemed that the analysis cannot be limited to ascertaining the mere coincidence of subjects, but must also be conducted considering the possible exercise of public powers and functions exercised over the companies or in the sectors in which they operate, as well as the legal and economic relationships between the parties. Regarding prevalence, the analysis must instead be carried out considering the weight of the related activities compared to the overall corporate activities.</w:t>
        <w:br/>
        <w:t>In this specific case, looking at the first and main profile of investigation and taking into account the powers delegated to you as Minister by D.P.C.M. March 15, 2021, no specific authoritative, administrative, or regulatory powers are found, pertaining to the Ministry in question and, in particular, to the functions you performed as Minister, capable of significantly impacting the operational areas of Verizon Communications Inc. The latter is indeed predominantly active in markets different from the national one, nor does Your Excellency appear to hold any position in the companies of the group active in Italy and indirectly controlled by Verizon Communications Inc.</w:t>
        <w:br/>
        <w:t>Under the second profile (existence of legal and/or economic relationships with the company concerned), from the information currently in the possession of the Authority, there is no evidence of legal and economic relationships established within the scope of the powers exercised by the applicant with companies of the Verizon Group during the period in which the government position was held.</w:t>
        <w:br/>
        <w:t>Lastly, regarding the possibility that Your Excellency may perform advisory activities for General Atlantic Service Company L.P., it is noted that professional activities referred to in Article 2, paragraph 1, letter d) are prohibited, in the twelve months following the termination of the government position, if they concern matters related to the previous institutional position and provided that they are performed in favor of public law entities or profit-making companies operating predominantly in sectors related to the same position.</w:t>
        <w:br/>
        <w:t>In consideration of the above, it is believed that your declared intention to refrain from dealing with issues concerning investments to be made in Italy in sectors related to your previous government position is abstractly suitable to exclude any profiles of criticality with reference to the regulation on post-office incompatibilities under Law No. 215/2004.</w:t>
      </w:r>
    </w:p>
    <w:p>
      <w:r>
        <w:t>44 BULLETIN NO. 9 OF MARCH 6, 2023</w:t>
        <w:br/>
        <w:t>In this regard, it is also noted that you have the option to consult this Authority in advance regarding the applicability of the regulation on post-office incompatibilities, with reference to specific concrete cases of the exercise of the professional position in question.</w:t>
        <w:br/>
        <w:t>It is made known that this opinion, pursuant to Article 23, second paragraph of the Regulation on conflicts of interest, is subject to publication in the Authority's bulletin, except for "any confidentiality needs duly represented."</w:t>
        <w:br/>
        <w:t>You are therefore requested to communicate to this Authority, within 15 days from the receipt of the opinion, the existence of any confidentiality needs, justifying the specific reasons.</w:t>
        <w:br/>
        <w:t>Best regards.</w:t>
        <w:br/>
        <w:t>THE SECRETARY GENERAL</w:t>
        <w:br/>
        <w:t>Guido Stazi</w:t>
      </w:r>
    </w:p>
    <w:p>
      <w:r>
        <w:rPr>
          <w:b/>
        </w:rPr>
        <w:t>[Pages 43–43]</w:t>
      </w:r>
    </w:p>
    <w:p>
      <w:r>
        <w:t>Competition and Market Authority Weekly Bulletin</w:t>
        <w:br/>
        <w:t>Year XXXIII - No. 9 - 2023</w:t>
        <w:br/>
        <w:t>Editorial Coordination Giulia Antenucci</w:t>
        <w:br/>
        <w:t>Editorial Team Valerio Ruocco, Simonetta Schettini, Manuela Villani</w:t>
        <w:br/>
        <w:t>Competition and Market Authority</w:t>
        <w:br/>
        <w:t>Document Management, Protocol and Statistical Services Department</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