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https://www.agcm.it/dotcmsdoc/bollettini/2024/9-24.pdf</w:t>
      </w:r>
    </w:p>
    <w:p>
      <w:r>
        <w:t>Pages translated : 83</w:t>
      </w:r>
    </w:p>
    <w:p/>
    <w:p>
      <w:r>
        <w:rPr>
          <w:b/>
        </w:rPr>
        <w:t>[Pages 1–3]</w:t>
      </w:r>
    </w:p>
    <w:p>
      <w:r>
        <w:t>Bulletin</w:t>
        <w:br/>
        <w:t>Weekly</w:t>
        <w:br/>
        <w:t>Year XXXIV - No. 9</w:t>
        <w:br/>
        <w:t>Published on the website www.agcm.it</w:t>
        <w:br/>
        <w:t>March 4, 2024</w:t>
      </w:r>
    </w:p>
    <w:p>
      <w:r>
        <w:t>SUMMARY</w:t>
        <w:br/>
        <w:t>CONCENTRATION OPERATIONS 5</w:t>
        <w:br/>
        <w:t>C12583 - IGPDECAUX/CLEAR CHANNEL ITALIA</w:t>
        <w:br/>
        <w:t>Measure No. 31062 5</w:t>
        <w:br/>
        <w:t>C12602 - FSI SGR/RETEX</w:t>
        <w:br/>
        <w:t>Measure No. 31063 10</w:t>
        <w:br/>
        <w:t>C12603 - AGRICULTURAL CONSORTIA-BF/AGRICULTURAL CONSORTIA OF ITALY</w:t>
        <w:br/>
        <w:t>Measure No. 31064 15</w:t>
        <w:br/>
        <w:t>C12586 - IGNAZIO MESSINA &amp; C/TERMINAL SAN GIORGIO</w:t>
        <w:br/>
        <w:t>Measure No. 31066 24</w:t>
        <w:br/>
        <w:t>REPORTING AND CONSULTATIVE ACTIVITIES 45</w:t>
        <w:br/>
        <w:t>AS1940 - ALTO CALORE SERVIZI - ASSIGNMENT OF POSTAL SERVICES FOR SENDING</w:t>
        <w:br/>
        <w:t>BILLS RELATED TO THE INTEGRATED WATER SERVICE 45</w:t>
        <w:br/>
        <w:t>AS1941 - MUNICIPALITY OF TARANTO - REVIEW SPL 2023 50</w:t>
        <w:br/>
        <w:t>AS1942 - ROME CAPITAL - REVIEW SPL 2023 53</w:t>
        <w:br/>
        <w:t>AS1943 - PROVINCE OF IMPERIA - REVIEW SPL 2023 56</w:t>
        <w:br/>
        <w:t>AS1944 - MUNICIPALITY OF BERGAMO - REVIEW SPL 2023 58</w:t>
        <w:br/>
        <w:t>UNFAIR TRADE PRACTICES 60</w:t>
        <w:br/>
        <w:t>PS12578 - SUPERMONEY-GAS AND ELECTRICITY OFFERS</w:t>
        <w:br/>
        <w:t>Measure No. 31065 60</w:t>
        <w:br/>
        <w:t>PS12661 - HOT CHIP CHALLENGE</w:t>
        <w:br/>
        <w:t>Measure No. 31067 79</w:t>
      </w:r>
    </w:p>
    <w:p>
      <w:r>
        <w:t>BULLETIN NO. 9 OF MARCH 4, 2024 5</w:t>
        <w:br/>
        <w:t>CONCENTRATION OPERATIONS</w:t>
        <w:br/>
        <w:t>C12583 - IGPDECAUX/CLEAR CHANNEL ITALIA</w:t>
        <w:br/>
        <w:t>Measure No. 31062</w:t>
        <w:br/>
        <w:t>THE COMPETITION AND MARKET AUTHORITY</w:t>
        <w:br/>
        <w:t>IN ITS MEETING of February 13, 2024;</w:t>
        <w:br/>
        <w:t>HEARD the Rapporteur, Professor Elisabetta Iossa;</w:t>
        <w:br/>
        <w:t>HAVING REGARD to Regulation (EC) No. 139/2004;</w:t>
        <w:br/>
        <w:t>HAVING REGARD to Law No. 287 of October 10, 1990;</w:t>
        <w:br/>
        <w:t>HAVING REGARD to Presidential Decree No. 217 of April 30, 1998;</w:t>
        <w:br/>
        <w:t>HAVING REGARD to the communication from IGPDecaux S.p.A., received on October 31, 2023;</w:t>
        <w:br/>
        <w:t>HAVING REGARD to the request for information sent, on November 29, 2023, to IGPDecaux S.p.A., with consequent interruption of the deadlines pursuant to Article 5, paragraph 3, of Presidential Decree No. 217 of April 30, 1998;</w:t>
        <w:br/>
        <w:t>HAVING REGARD to the information received, on January 19, 2024, from IGPDecaux S.p.A.;</w:t>
        <w:br/>
        <w:t>HAVING REGARD to the documentation on file;</w:t>
        <w:br/>
        <w:t>CONSIDERING the following:</w:t>
        <w:br/>
        <w:t>I. THE PARTIES</w:t>
        <w:br/>
        <w:t>1. IGPDecaux S.p.A. (hereinafter, “IGPD”), an Italian joint-stock company with its registered office in Milan, operates as an outdoor advertising concessionaire, using urban furniture and public transport vehicles, in subways, airports, and other public or open-to-the-public places. IGPDecaux is part of the JCDecaux group, a French multinational active worldwide in the outdoor advertising sector, which in 2022 achieved a total revenue of 3,316 million euros, of which 988 million euros were generated in Europe.</w:t>
        <w:br/>
        <w:t>2. The share capital of IGPD is held: (i) 20.48% by JCDecaux S.E., (ii) 39.52% by JCDecaux Europe Holding S.a.S., (iii) 4% by I.D.A. S.p.A., and (iv) 36% by Publitransport S.r.l. In the fiscal year 2022, IGPDecaux generated revenue attributable to advertising services amounting to 117.4 million euros, an increase compared to the revenue generated in 2021, which was 80.6 million euros. IGP's sales are entirely made in Italy and are territorially concentrated in major urban centers.</w:t>
        <w:br/>
        <w:t>3. Clear Channel Italia S.p.A. (hereinafter, “CCI” or “Target” but now named IGP S.p.A.), an Italian joint-stock company with its registered office in Rome, primarily operates as an outdoor advertising concessionaire, but is also active in the sustainable mobility sector, managing bike-sharing services in the cities of Milan and Verona. CCI was wholly owned until May 31, 2023, the date of the concentration operation, by Clear Channel International Holdings B.V., a company of the American group Clear Channel Outdoor. In</w:t>
      </w:r>
    </w:p>
    <w:p>
      <w:r>
        <w:rPr>
          <w:b/>
        </w:rPr>
        <w:t>[Pages 4–6]</w:t>
      </w:r>
    </w:p>
    <w:p>
      <w:r>
        <w:t>6 BULLETIN NO. 9 OF MARCH 4, 2024</w:t>
      </w:r>
    </w:p>
    <w:p>
      <w:r>
        <w:t>In 2022, the group achieved a total revenue of 2.481 million dollars, of which 1.033 million dollars were generated in Europe.</w:t>
      </w:r>
    </w:p>
    <w:p>
      <w:r>
        <w:t>4. The share capital of CCI is currently held by the sole shareholder IGPDecaux S.p.A. In the fiscal year 2022, CCI generated revenue from sales and services amounting to 57 million euros, an increase compared to the 45.2 million euros achieved in 2021. In particular, in 2022 (2021), approximately 89% (96%) of the revenue from sales and services of the Target - amounting to 51 million euros (43.2 million euros) - was generated in Italy.</w:t>
      </w:r>
    </w:p>
    <w:p>
      <w:r>
        <w:t>II. DESCRIPTION OF THE TRANSACTION</w:t>
      </w:r>
    </w:p>
    <w:p>
      <w:r>
        <w:t>5. The transaction in question consists of the acquisition, by IGPD, of exclusive control of CCI. The closing of the transaction between IGPD and Clear Channel International Holdings B.V., governed by a share purchase agreement signed on [omitted]1, was completed on May 31, 2023, through the transfer of all the shares of CCI to IGPD.</w:t>
      </w:r>
    </w:p>
    <w:p>
      <w:r>
        <w:t>III. QUALIFICATION OF THE TRANSACTION</w:t>
      </w:r>
    </w:p>
    <w:p>
      <w:r>
        <w:t>6. The notified transaction involves the acquisition of control of a company and therefore constitutes a concentration pursuant to Article 5, paragraph 1, letter b), of Law No. 287/1990. It falls within the scope of application of Law No. 287/1990, as the conditions set out in Article 1 of Regulation (EC) No. 139/2004 do not apply, but it is not subject to the obligation of prior notification provided for by Article 16, paragraph 1, of the same law, as the total revenue generated, in the last fiscal year at the national level, by the group of companies involved did not exceed 532 million euros. However, the total revenue generated individually at the national level by each of the companies involved exceeds the threshold of 32 million euros, one of the revenue thresholds referred to in Article 16, paragraph 1-bis, of Law No. 287/1990, pursuant to which the Authority may require the companies involved to notify a concentration transaction within six months from its completion, even if only one of the two revenue thresholds referred to in paragraph 1 is exceeded, if there are concrete risks for competition in the national market or in a significant part of it.</w:t>
      </w:r>
    </w:p>
    <w:p>
      <w:r>
        <w:t>IV. EVALUATION OF THE CONCENTRATION</w:t>
      </w:r>
    </w:p>
    <w:p>
      <w:r>
        <w:t>7. Considering the activities carried out by the Parties, the transaction concerns the market for the sale of outdoor advertising spaces2 (out-of-home, hereinafter "OOH"), such as advertising posters, in public and private areas, on posters, urban furniture (benches, shelters, poles, barriers, bins, planters, bike racks), large formats (large tarpaulins made on scaffolding intended for the restoration of monuments and building facades), external signage (signs displayed along state, regional, and provincial roads), surface dynamics (trams, buses, trolleybuses, trains), subways, airports, railway stations, thematic circuits (e.g., stadiums and sports facilities), illuminated signs, and retail (for example, advertising displayed inside shopping centers and pharmacies).</w:t>
      </w:r>
    </w:p>
    <w:p>
      <w:r>
        <w:t>8. In this context, considering the most recent technological developments that allow for the digitalization of the outdoor advertising space offering, through external digital displays, digital out-of-home (DOOH) also comes into play, which spans multiple display modalities (including, in particular, urban furniture and advertising on transport vehicles). However, it is believed that the substitutability between OOH advertising and online advertising can be excluded, due to the different modalities of ad targeting and the different technologies for measuring the effectiveness of advertising campaigns: on one hand, in online advertising, ads can be delivered to individual users, through tracking their activities within their electronic devices, based on their specific preferences and behavioral habits, retargeting of ads to the same user is possible, and user interaction with such ads can be measured with a high level of detail based on consumer clicks; on the other hand, in the OOH sector, advertising is primarily based on geo-localization techniques for ads and there are data management platforms that allow for estimating the number of views of digital billboards, also thanks to the installation of webcams that ensure monitoring of the number of people viewing the advertising space.</w:t>
      </w:r>
    </w:p>
    <w:p>
      <w:r>
        <w:t>9. From a geographical perspective, the aforementioned market has dimensions coinciding with the national territory.</w:t>
      </w:r>
    </w:p>
    <w:p>
      <w:r>
        <w:t>10. According to the information provided by the parties, the size of the OOH market can be estimated at approximately 657 million euros in 2022. In this context, IGPD is the leading operator in the market, with a share of 17.9%, while CCI is the third operator in the market, with a share of 8.7%. Furthermore, other significant operators in this market include Acone Associati S.r.l., Urban Vision S.p.A., IPAS S.p.A., and Grandi Stazioni Retail S.p.A., as well as a plurality of medium and small concessionaires rooted in local territorial areas.</w:t>
      </w:r>
    </w:p>
    <w:p>
      <w:r>
        <w:t>8 BULLETIN NO. 9 OF MARCH 4, 2024</w:t>
      </w:r>
    </w:p>
    <w:p>
      <w:r>
        <w:t>Table 1: Estimated market shares of the Parties and some competitors</w:t>
      </w:r>
    </w:p>
    <w:p>
      <w:r>
        <w:t>Company          Revenue 2022      Share 2022</w:t>
        <w:br/>
        <w:t>Acone Associati   64,994            9.89%</w:t>
        <w:br/>
        <w:t>Urban Vision      47,771            7.27%</w:t>
        <w:br/>
        <w:t>IPAS             31,186            4.75%</w:t>
        <w:br/>
        <w:t>Grandi Stazioni   27,078            4.12%</w:t>
        <w:br/>
        <w:t>AVIP Italia       26,797            4.08%</w:t>
        <w:br/>
        <w:t>Street Vox       17,326            2.64%</w:t>
        <w:br/>
        <w:t>Publi Città      17,320            2.64%</w:t>
        <w:br/>
        <w:t>Media One       12,559            1.91%</w:t>
        <w:br/>
        <w:t>SCI              12,268            1.87%</w:t>
        <w:br/>
        <w:t>Cibra Pubblicità  11,976            1.82%</w:t>
        <w:br/>
        <w:t>One              11,704            1.78%</w:t>
        <w:br/>
        <w:t>Damir            11,069            1.68%</w:t>
        <w:br/>
        <w:t>Vivenda         10,979            1.67%</w:t>
        <w:br/>
        <w:t>GAP              9,396             1.43%</w:t>
        <w:br/>
        <w:t>VG Pubblicità     8,663             1.32%</w:t>
        <w:br/>
        <w:t>Alessi Pubblicità  8,398             1.28%</w:t>
        <w:br/>
        <w:t>Gruppo Publionda  8,223             1.25%</w:t>
        <w:br/>
        <w:t>TMC Pubblicità     7,498             1.14%</w:t>
        <w:br/>
        <w:t>LL Investments     2,708             0.41%</w:t>
        <w:br/>
        <w:t>Other medium-small operators 134,662 20.50%</w:t>
        <w:br/>
        <w:t>IGPDecaux        117,409           17.87%</w:t>
        <w:br/>
        <w:t>Clear Channel Italia 57,016        8.68%</w:t>
        <w:br/>
        <w:t>Cumulative share of IGPD and CCI 174,425 26.55%</w:t>
        <w:br/>
        <w:t>Estimated outdoor advertising revenue provided by the Parties 657,000 100%</w:t>
      </w:r>
    </w:p>
    <w:p>
      <w:r>
        <w:t>Source: the Parties and financial statements of some competing companies (data in thousands of euros). Processing: AGCM.</w:t>
      </w:r>
    </w:p>
    <w:p>
      <w:r>
        <w:t>11. As a result of the transaction, the market share held by IGPD will be 26.6%, slightly above the attention threshold of 25% indicated by the European Commission Guidelines for the assessment of horizontal concentrations3.</w:t>
      </w:r>
    </w:p>
    <w:p>
      <w:r>
        <w:t>12. In this regard, it is important to consider that this share, although not negligible, may be deemed insufficient to significantly hinder effective competition in the market.</w:t>
      </w:r>
    </w:p>
    <w:p>
      <w:r>
        <w:t>3 Guidelines on the assessment of horizontal concentrations under the Council Regulation on the control of concentrations between undertakings (2004/C 31/03), § 18.</w:t>
      </w:r>
    </w:p>
    <w:p>
      <w:r>
        <w:rPr>
          <w:b/>
        </w:rPr>
        <w:t>[Pages 7–9]</w:t>
      </w:r>
    </w:p>
    <w:p>
      <w:r>
        <w:t>BULLETIN NO. 9 OF MARCH 4, 2024 9</w:t>
      </w:r>
    </w:p>
    <w:p>
      <w:r>
        <w:t>concerned, considering the characteristics of the advertising clients of IGPD who, as large operators in the fashion, services, and distribution sectors, appear to be able to exert negotiating pressure during negotiations for the acquisition of the spaces necessary for the communication campaigns they intend to plan; furthermore, it seems reasonable to believe that other advertising communication channels, such as online, television, and radio channels, although not belonging to the relevant product market, can exert an external competitive constraint on the operators in the OOH market.</w:t>
      </w:r>
    </w:p>
    <w:p>
      <w:r>
        <w:t>CONSIDERED, therefore, that the operation in question does not significantly hinder effective competition in the concerned market,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Competition and Market Authority.</w:t>
      </w:r>
    </w:p>
    <w:p>
      <w:r>
        <w:t>THE SECRETARY GENERAL THE PRESIDENT</w:t>
      </w:r>
    </w:p>
    <w:p>
      <w:r>
        <w:t>Guido Stazi Roberto Rustichelli</w:t>
      </w:r>
    </w:p>
    <w:p>
      <w:r>
        <w:t>10 BULLETIN NO. 9 OF MARCH 4, 2024</w:t>
      </w:r>
    </w:p>
    <w:p>
      <w:r>
        <w:t>C12602 - FSI SGR/RETEX</w:t>
      </w:r>
    </w:p>
    <w:p>
      <w:r>
        <w:t>Measure No. 31063</w:t>
      </w:r>
    </w:p>
    <w:p>
      <w:r>
        <w:t>THE COMPETITION AND MARKET AUTHORITY</w:t>
      </w:r>
    </w:p>
    <w:p>
      <w:r>
        <w:t>IN ITS MEETING of February 13,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the company FSI SGR S.p.A., received on January 24, 2024;</w:t>
      </w:r>
    </w:p>
    <w:p>
      <w:r>
        <w:t>CONSIDERED the following:</w:t>
      </w:r>
    </w:p>
    <w:p>
      <w:r>
        <w:t>I. THE PARTIES</w:t>
      </w:r>
    </w:p>
    <w:p>
      <w:r>
        <w:t>1. FSI SGR S.p.A. (hereinafter also "FSI") is an Italian asset management company that, through two reserved Italian alternative investment funds, named FSI I and FSI II, invests in Italian companies to support their dimensional growth, promote internationalization, support sector consolidation, stabilize the shareholding, and manage succession processes. The share capital of FSI is predominantly held by Magenta 71 S.r.l., which therefore has exclusive control over it. In 2022, FSI and its controlled companies generated a total revenue of [532–700] million euros*, almost entirely realized in Italy.</w:t>
      </w:r>
    </w:p>
    <w:p>
      <w:r>
        <w:t>2. Retex S.p.A. Società Benefit (hereinafter also "Retex") is an Italian law tech company, active in the innovation and digital transformation of the retail world; in particular, it operates in the fields of business communication and consulting, as well as Marketing Technology (so-called MarTech) and Information Technology (hereinafter "IT"). Currently, it is under the joint control of Ottobre S.r.l. and Alkemia SGR S.p.A. In 2022, Retex achieved a revenue of approximately [31-100] million euros, of which approximately [31-100] million was generated in Italy.</w:t>
      </w:r>
    </w:p>
    <w:p>
      <w:r>
        <w:t>II. DESCRIPTION OF THE OPERATION</w:t>
      </w:r>
    </w:p>
    <w:p>
      <w:r>
        <w:t>3. The operation in question consists of FSI acquiring exclusive control of Retex. In particular, based on the Investment Agreement signed by the Parties, the operation will take place following FSI's subscription to a capital increase of Retex and the acquisition by FSI of some shares of the target already in circulation. As a result of the operation, FSI will hold the majority of the shares of Retex, allowing it to exercise exclusive control over the target company. In this regard, it is noted that, according to the new Statute of Retex, the governance of the company will be entrusted to the Board of Directors, which will consist of a number of directors between five and fifteen, of whom all but one will be representatives of FSI; furthermore, it is provided that the Board of Directors will deliberate with the favorable vote of the majority of the directors present, a governance element that guarantees FSI exclusive control over Retex.</w:t>
      </w:r>
    </w:p>
    <w:p>
      <w:r>
        <w:t>III. QUALIFICATION OF THE OPERATION</w:t>
      </w:r>
    </w:p>
    <w:p>
      <w:r>
        <w:t>4. The notified operation constitutes a concentration, pursuant to Article 5, paragraph 1, letter b), of Law No. 287/1990, as it involves the acquisition of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interested companies exceeded 532 million euros and the total revenue generated, in the last financial year at the national level, individually by at least two of the interested companies exceeded 32 million euros.</w:t>
      </w:r>
    </w:p>
    <w:p>
      <w:r>
        <w:t>IV. EVALUATION OF THE OPERATION</w:t>
      </w:r>
    </w:p>
    <w:p>
      <w:r>
        <w:t>Relevant markets</w:t>
      </w:r>
    </w:p>
    <w:p>
      <w:r>
        <w:t>5. Based on the information provided by the Parties, due to the activity carried out by the target, the present operation concerns the following sectors: i) the provision of IT services; ii) the software sector; iii) the marketing and communication services sector; iv) the provision of business consulting services.</w:t>
      </w:r>
    </w:p>
    <w:p>
      <w:r>
        <w:t>i) The provision of Information Technology services</w:t>
      </w:r>
    </w:p>
    <w:p>
      <w:r>
        <w:t>6. With regard to the provision of IT services, it is noted that, in the decision-making practice of the European Commission1 and the Authority2, this market has generally been considered segmentable based on the functionality of the services offered and the industrial sectors affected by the offer of such services.</w:t>
      </w:r>
    </w:p>
    <w:p>
      <w:r>
        <w:t>7. In this specific case and considering the activity carried out by the Parties, the following distinct segments based on the functionality of the service are relevant: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assistance (also online or by phone); (vi) hardware maintenance, to optimize systems through installation, maintenance, and technical assistance of hardware components; (vii) training and education, for the transfer of knowledge outside of professional training.</w:t>
      </w:r>
    </w:p>
    <w:p>
      <w:r>
        <w:t>1 See, among others, the Commission decision of June 27, 2019, case COMP/M.9205 - IBM/Red Hat, and the Commission decision of December 15, 2014, case COMP/M.7458 - IBM/INF Business of Deutsche Lufthansa.</w:t>
        <w:br/>
        <w:t>2 See, among others, Measure No. 31005 of December 5, 2023, case C12587 - Lutech/Eustema, in Bulletin No. 49/2023; Measure No. 30515 of March 14, 2023, case C12516 - Lutech/Atos Italia, in Bulletin No. 13/2023; Measure No. 30790 of September 26, 2023, case C12564 - Fibonacci Bidco/OCS, in Bulletin No. 39/2023.</w:t>
      </w:r>
    </w:p>
    <w:p>
      <w:r>
        <w:rPr>
          <w:b/>
        </w:rPr>
        <w:t>[Pages 10–12]</w:t>
      </w:r>
    </w:p>
    <w:p>
      <w:r>
        <w:t>12 BULLETIN NO. 9 OF MARCH 4, 2024</w:t>
      </w:r>
    </w:p>
    <w:p>
      <w:r>
        <w:t>8. As for the sectors to which the offer is directed, it emerges that Retex primarily provides services to companies active in the sectors: (i) fashion and luxury; (ii) food service; (iii) consumer retail; (iv) consumer product. However, for the purposes of this assessment, the exact definition of the product market can be left open, as the transaction in question does not raise competitive concerns either in the broader IT services market or in each of the segments where the Parties' activities overlap.</w:t>
      </w:r>
    </w:p>
    <w:p>
      <w:r>
        <w:t>9. With reference to the geographical definition of the IT services market, in its previous decisions, the Authority has traditionally noted the homogeneity of competitive conditions across the national territory and the absence of significant imports of IT services; this suggests a national market dimension. More recently, in line with what has also been highlighted by the European Commission, a trend towards the internationalization of demand and supply has emerged (services offered on a supranational basis, homogeneity of the nature and quality of services across different countries, high mobility of workers, use of the English language). In any case, for the purposes of this assessment, the exact definition of the geographical market can be left open as, even with reference to the national scope alone, no competitive concerns arise.</w:t>
      </w:r>
    </w:p>
    <w:p>
      <w:r>
        <w:t>10. In fact, with reference to the position of the Parties in the IT service provision sector, both the FSI Group and the target hold individually at the national level, both overall and in each of the segments identified above, a share of less than 1%. In the same sector, moreover, numerous qualified competitors operate with market shares that are even higher than those held by the Parties post-merger. The transaction, therefore, does not appear capable of altering the competitive structure in the provision of the services in question.</w:t>
      </w:r>
    </w:p>
    <w:p>
      <w:r>
        <w:t>ii) The software sector</w:t>
      </w:r>
    </w:p>
    <w:p>
      <w:r>
        <w:t>11. With reference to the software sector, based on the Authority's precedents, some segments can be identified depending on the end use of the product, particularly distinguishing between domestic use (consumer software) and professional use (business software). In turn, business-type software can be divided into system infrastructure software and application software supporting the main business functions. In this case, the target's activity concerns the following segments: (i) system infrastructure software; (ii) application software; (iii) ERP solutions (Enterprise Resource Planning); (iv) CRM solutions (Customer Relationship Management).</w:t>
      </w:r>
    </w:p>
    <w:p>
      <w:r>
        <w:t>12. From a geographical perspective, it is also considered appropriate to leave the definition of the market open for this sector, particularly whether this market is national or broader (global or at least extended to the EEA), as in both configurations there would be no detrimental effects on competition.</w:t>
      </w:r>
    </w:p>
    <w:p>
      <w:r>
        <w:t>13. In fact, according to the information provided by the Parties, the target holds a share of less than 1% in every possible defined market segment while the FSI Group is not active in this sector; thus, the transaction results in the mere replacement of one operator with another operator.</w:t>
      </w:r>
    </w:p>
    <w:p>
      <w:r>
        <w:t>3 Cf. Ibidem.</w:t>
      </w:r>
    </w:p>
    <w:p>
      <w:r>
        <w:t>4 Cf., among others, Measure No. 30483 of February 15, 2023, case C12520 - Freedom 1-Individual/Assist Digital, in Bulletin No. 9/2023.</w:t>
      </w:r>
    </w:p>
    <w:p>
      <w:r>
        <w:t>BULLETIN NO. 9 OF MARCH 4, 2024</w:t>
      </w:r>
    </w:p>
    <w:p>
      <w:r>
        <w:t>iii) The marketing and communication services sector</w:t>
      </w:r>
    </w:p>
    <w:p>
      <w:r>
        <w:t>14. Regarding the marketing and communication services sector, it is noted that the Authority in its previous decisions has defined, from a commodity perspective, a relevant market extending to a multitude of services (including advertising, consulting, event management, communication), without deeming it necessary to proceed with a precise segmentation of them, also considering the circumstance that the involvement of digital resources increasingly blurs the distinction between the different activities involved in delivering the service. Similar considerations have been reached by the European Commission in its precedents. In this case, Retex offers such services for companies active in the sectors: (i) fashion and luxury; (ii) food service; (iii) consumer retail; (iv) consumer product.</w:t>
      </w:r>
    </w:p>
    <w:p>
      <w:r>
        <w:t>15. From a geographical perspective, in the same precedents, the Commission has defined a relevant market of national scope, while noting "a trend towards globalization, particularly in relation to international clients."</w:t>
      </w:r>
    </w:p>
    <w:p>
      <w:r>
        <w:t>16. Also in the marketing and communication services sector, the Parties represent that the transaction will result in the mere replacement of one operator with another operator, given that the FSI Group does not engage in such activities; the target, in any case, holds a share of less than 1%, even considering the different possible definitions of the market.</w:t>
      </w:r>
    </w:p>
    <w:p>
      <w:r>
        <w:t>iv) The provision of business consulting services</w:t>
      </w:r>
    </w:p>
    <w:p>
      <w:r>
        <w:t>17. Finally, the transaction concerns the business consulting market. These services consist of providing consulting and/or implementing projects for strategic direction, organization, and development of services in various areas, such as business management, financial and managerial planning, and staff training. According to the Authority's practice, each type of consulting, responding to specific needs, could identify a separate relevant market.</w:t>
      </w:r>
    </w:p>
    <w:p>
      <w:r>
        <w:t>18. However, in this case, it does not appear necessary to establish whether the different segments described above represent distinct product markets; regardless of the definition adopted, in fact, the transaction does not entail substantial changes to the existing competitive conditions.</w:t>
      </w:r>
    </w:p>
    <w:p>
      <w:r>
        <w:t>19. From a geographical perspective, in line with previous decisions, it is believed that it can be confined to the national level. For the purposes of the competitive analysis of the transaction, however, it does not seem necessary to proceed with a precise identification of the relevant geographical market.</w:t>
      </w:r>
    </w:p>
    <w:p>
      <w:r>
        <w:t>20. In fact, in this area, even considering the different possible definitions of the market, the target holds a market share of less than 1% while the FSI Group does not engage in such activities; thus, the transaction results in the mere replacement of one operator with another operator.</w:t>
      </w:r>
    </w:p>
    <w:p>
      <w:r>
        <w:t>5 Cf., among others, Measure No. 30172 of May 24, 2022, case C12453 - Jakala/Maize-HES-HDM, in Bulletin No. 22/2022.</w:t>
      </w:r>
    </w:p>
    <w:p>
      <w:r>
        <w:t>6 Cf. Commission Decision of January 25, 2005, case M.3579 - WPP/Grey and Commission Decision of January 9, 2014, case M.7023 - Publicis/Omnicom.</w:t>
      </w:r>
    </w:p>
    <w:p>
      <w:r>
        <w:t>7 Cf., among others, Measure No. 29750 of July 13, 2021, case C12378 - CVC Capital Partners Sicav-Fis/Business Integration Partners, in Bulletin No. 31/2021.</w:t>
      </w:r>
    </w:p>
    <w:p>
      <w:r>
        <w:t>14 BULLETIN NO. 9 OF MARCH 4, 2024</w:t>
      </w:r>
    </w:p>
    <w:p>
      <w:r>
        <w:t>CONSIDERING, therefore, that the transaction in question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Italian Competition Authority.</w:t>
      </w:r>
    </w:p>
    <w:p>
      <w:r>
        <w:t>THE SECRETARY GENERAL THE PRESIDENT</w:t>
      </w:r>
    </w:p>
    <w:p>
      <w:r>
        <w:t>Guido Stazi Roberto Rustichelli</w:t>
      </w:r>
    </w:p>
    <w:p>
      <w:r>
        <w:rPr>
          <w:b/>
        </w:rPr>
        <w:t>[Pages 13–15]</w:t>
      </w:r>
    </w:p>
    <w:p>
      <w:r>
        <w:t>BULLETIN NO. 9 OF MARCH 4, 2024 15</w:t>
      </w:r>
    </w:p>
    <w:p>
      <w:r>
        <w:t>C12603 - AGRICULTURAL CONSORTIA-BF/AGRICULTURAL CONSORTIA OF ITALY</w:t>
      </w:r>
    </w:p>
    <w:p>
      <w:r>
        <w:t>Measure No. 31064</w:t>
      </w:r>
    </w:p>
    <w:p>
      <w:r>
        <w:t>THE COMPETITION AND MARKET AUTHORITY</w:t>
      </w:r>
    </w:p>
    <w:p>
      <w:r>
        <w:t>IN ITS MEETING of February 13,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made by the companies BF S.p.A., Consorzio Agrario dell’Emilia Soc. Coop., Consorzio Agrario Adriatico Soc. Coop., Consorzio Agrario del Tirreno Soc. Coop., Consorzio Agrario Centro Sud Soc. Coop., Società Consortile Consorzi Agrari S.c.p.A., Consorzio Agrario del Nordest Soc. Coop., Consorzi Agrari d’Italia S.p.A., Consorzio Agrario di Siena Soc. Coop., received on January 26, 2024;</w:t>
      </w:r>
    </w:p>
    <w:p>
      <w:r>
        <w:t>CONSIDERED the following:</w:t>
      </w:r>
    </w:p>
    <w:p>
      <w:r>
        <w:t>I. THE PARTIES</w:t>
      </w:r>
    </w:p>
    <w:p>
      <w:r>
        <w:t>I.1. The Agricultural Consortia</w:t>
      </w:r>
    </w:p>
    <w:p>
      <w:r>
        <w:t>1. In general terms, the Agricultural Consortia (hereinafter also referred to as "the Consortia") are entities established by groups of farmers, usually in the form of cooperative societies, whose activities are governed by Articles 2511 et seq. of the Civil Code1. The share capital of the Consortia is generally dispersed among thousands of members, none of whom is therefore able to exercise, directly or indirectly, control.</w:t>
      </w:r>
    </w:p>
    <w:p>
      <w:r>
        <w:t>The Consortia carry out activities related to the promotion of innovation and the improvement of agricultural production, also through the provision of services useful to agriculture, and are also authorized to exercise agricultural credit in kind2. Moreover, following a reorganization process characterized, among other things, by numerous closures and mergers, the number of Consortia active in the market has drastically decreased over time.</w:t>
      </w:r>
    </w:p>
    <w:p>
      <w:r>
        <w:t>That said, the following are the Agricultural Consortia involved in the operation.</w:t>
      </w:r>
    </w:p>
    <w:p>
      <w:r>
        <w:t>2. The Consorzio Agrario dell’Emilia Romagna Società Cooperativa (hereinafter CAE) is primarily active in the provinces of Bologna, Modena, Reggio Emilia, Ferrara, Parma, and Ravenna, and offers a range of products and services to agricultural companies, both members of the consortium and third parties, as well as agronomic consulting on correct cultivation practices through its subsidiaries. The share capital of CAE is distributed among more than 4,300 members, none of whom exercises, directly or indirectly, control over the company. In 2022, the company did not generate revenue.</w:t>
      </w:r>
    </w:p>
    <w:p>
      <w:r>
        <w:t>3. The Consorzio Agrario Adriatico Società Cooperativa (CAA) is active in the provinces of Forlì-Cesena, Rimini, Pesaro and Urbino, Ascoli Piceno, Fermo, Macerata, offering a range of products and services to agricultural companies, both members of the consortium and third parties, as well as agronomic consulting on correct cultivation practices. The share capital of CAA is distributed among nearly 2,000 members, none of whom exercises, directly or indirectly, control. The revenue generated in Italy by CAA in 2022 was approximately [less than 1 million]* euros.</w:t>
      </w:r>
    </w:p>
    <w:p>
      <w:r>
        <w:t>4. The Consorzio Agrario del Tirreno Società Cooperativa (CAT) is primarily active in the provinces of Grosseto, Livorno, Pisa, Lucca, Massa, Pistoia, and Viterbo, and offers a range of products and services to agricultural companies, both members of the consortium and third parties, as well as agronomic consulting on correct cultivation practices. The share capital of CAT is distributed among thousands of members, none of whom exercises, directly or indirectly, control over the company. In 2022, CAT generated revenue in Italy of approximately [less than 1 million] euros.</w:t>
      </w:r>
    </w:p>
    <w:p>
      <w:r>
        <w:t>5. The Consorzio Agrario Centro Sud Società Cooperativa (CACS) is primarily active in the provinces of Chieti, Pescara, L’Aquila, Teramo, Campobasso, Isernia, and Foggia. CACS offers a range of products and services to agricultural companies, both members of the consortium and third parties, as well as agronomic consulting on correct cultivation practices. The share capital of CACS is distributed among 284 members, none of whom exercises, directly or indirectly, control. In 2022, CACS generated revenue in Italy of approximately [less than 1 million] euros.</w:t>
      </w:r>
    </w:p>
    <w:p>
      <w:r>
        <w:t>6. Consorzio Agrario del Nordest Soc. Coop. (CNE) is primarily active in Lombardy and Veneto, particularly in the provinces of Mantova, Brescia, Vicenza, Venezia, Verona, Rovigo, and Padova. Born from the aggregation of various provincial entities, CNE was active until August 2022 in various phases of the agri-food sector, from consulting for the development of the cultivation cycle to cultivation contracts, from the supply of technical and mechanical means to the distribution of lubricants, from the management of the livestock cycle to feed, up to food processing. Since September 2022, it has remained active only in the marketing of agricultural machinery and equipment, as well as related spare parts. The share capital of CNE is distributed among thousands of members, none of whom exercises, directly or indirectly, control. The revenue generated in Italy by CNE in 2022 was approximately [100-532] million euros.</w:t>
      </w:r>
    </w:p>
    <w:p>
      <w:r>
        <w:t>7. Società Consortile Consorzi Agrari S.c.p.A. (hereinafter SCCA) is a consortium company established under Law 410/1999 with the aim of enhancing the activities and products of the members (agricultural consortia) as well as procuring goods, services, activities, and benefits for the exercise of their economic activities. The share capital of SCCA is held by 21 agricultural consortia currently active in the national territory, none of which individually holds a controlling stake. The revenue generated by SCCA in 2022 was approximately [1-10] million euros.</w:t>
      </w:r>
    </w:p>
    <w:p>
      <w:r>
        <w:t>8. Consorzio Agrario di Siena Soc. Coop. (CAPSI) is an agricultural consortium primarily active in the provinces of Siena, Arezzo, Florence, and Prato, offering products and services to agricultural companies, both members of the consortium and third parties, as well as agronomic consulting on correct cultivation practices. The share capital of CAPSI is distributed among 830 members, none of whom exercises, directly or indirectly, control. In 2022, CAPSI generated revenue of approximately [100-532] million euros.</w:t>
      </w:r>
    </w:p>
    <w:p>
      <w:r>
        <w:t>9. Hereinafter, the term "Agricultural Consortia" will jointly refer to CAE, CAA, CAT, CACS, CNE, SCCA, CAPSI.</w:t>
      </w:r>
    </w:p>
    <w:p>
      <w:r>
        <w:t>I.2. BF S.p.A.</w:t>
      </w:r>
    </w:p>
    <w:p>
      <w:r>
        <w:t>10. BF S.p.A. (hereinafter BF) is a publicly traded company, holding the namesake corporate group ("BF Group"), which primarily operates in the agro-industrial and zootechnical sectors, seeds, and in providing services to operators active in the agricultural sector. The share capital of BF is divided among various investors, none of whom, however, exercises, individually or jointly, a decisive influence on BF's activities3. In particular, the shareholding structure of BF is as follows: Dompè Holding S.r.l. (25%), ARUM S.p.A. (22%), Fondazione Cariplo (7%); Eni Natural Energies S.p.A. (5%); Fondazione Enasarco (5%); ISMEA (4%); Intesa San Paolo S.p.A. (4%); INARCASSA (4%); ENPAIA (3%). The remaining share capital, amounting to approximately 19%, is publicly traded. In the financial year 2022, BF generated consolidated revenue in Italy of approximately [100-532] million euros excluding the contribution from CAI's activities.</w:t>
      </w:r>
    </w:p>
    <w:p>
      <w:r>
        <w:t>I.3. Consorzi Agrari d’Italia S.p.A.</w:t>
      </w:r>
    </w:p>
    <w:p>
      <w:r>
        <w:t>11. Consorzi Agrari d’Italia S.p.A. (CAI)4 operates, directly or through controlled companies, in the marketing of cereals and proteins, fertilizers, seeds, plant protection products, plastics and systems, irrigation, feed and zootechnics, agricultural mechanization, gardening, and food, also offering services to agricultural enterprises. CAI was established as part of a project to reorganize the system of the Consortia5.</w:t>
      </w:r>
    </w:p>
    <w:p>
      <w:r>
        <w:t>3 This is due to the fact that the share capital of BF is fragmented among several minority shareholders and that approximately 19% of it is publicly traded; moreover, there are no statutory provisions granting special rights to one or more shareholders.</w:t>
      </w:r>
    </w:p>
    <w:p>
      <w:r>
        <w:t>4 The establishment of CAI and the process by which various Agricultural Consortia have gradually become part of its shareholding structure have already been the subject of attention by the Authority. See AGCM Measure No. 28564 of February 9, 2021, case C12311 - B.F.-CONSORZIO AGRARIO DELL’EMILIA-CONSORZIO ADRIATICO-CONSORZIO AGRARIO DEL TIRRENO-CONSORZIO AGRARIO CENTRO SUD-SOCIETÀ CONSORTILE CONSORZI AGRARI/NEWCO and AGCM Measure No. 30281 of August 4, 2022, case C12472 - BF-CONSORZIO AGRARIO DELL’EMILIA ROMAGNA-CONSORZIO AGRARIO DELL’ADRIATICO-CONSORZIO AGRARIO DEL TIRRENO-CONSORZIO AGRARIO CENTRO SUD-SOCIETÀ CONSORTILE CONSORZI AGRARI-CONSORZIO AGRARIO DEL NORDEST/CONSORZI AGRARI D’ITALIA.</w:t>
      </w:r>
    </w:p>
    <w:p>
      <w:r>
        <w:t>5 The project aimed – in implementation of paragraph 2 bis of Article 2 of Law No. 410/1999, supplemented by the Mezzogiorno Decree, Law No. 123/2017 – to jointly carry out activities provided for in the corporate purpose of the participating Agricultural Consortia, to be realized through participation in capital companies in which the Agricultural Consortia hold the majority of the votes exercisable in the Ordinary Assembly.</w:t>
      </w:r>
    </w:p>
    <w:p>
      <w:r>
        <w:rPr>
          <w:b/>
        </w:rPr>
        <w:t>[Pages 16–18]</w:t>
      </w:r>
    </w:p>
    <w:p>
      <w:r>
        <w:t>18 BULLETIN NO. 9 OF MARCH 4, 2024</w:t>
      </w:r>
    </w:p>
    <w:p>
      <w:r>
        <w:t>CAI is subject to the joint control of BF, on one side, and SCCA, CAE, CAA, CAT, CACS, and CNE (considered collectively) on the other side6. In particular, the share capital of CAI is currently distributed as follows: BF (35%), CAE (24%), CNE (23%), CAT (12%), SCCA (2.5%), CACS (2%), and CAA (0.06%). In 2022, CAI generated a turnover of approximately [532-700] million euros in Italy.</w:t>
      </w:r>
    </w:p>
    <w:p>
      <w:r>
        <w:t>II. DESCRIPTION OF THE OPERATION</w:t>
      </w:r>
    </w:p>
    <w:p>
      <w:r>
        <w:t>II.1. Implementation Method</w:t>
      </w:r>
    </w:p>
    <w:p>
      <w:r>
        <w:t>12. The notified operation consists of CAPSI's entry into the share capital of CAI. As a result of the operation, CAI will be subject to the joint control of BF, on one side, and the Agricultural Consortia, on the other side, among which – by virtue of the current operation – CAPSI will be added. The rationale of the operation can be framed within the development process of CAI7, which will benefit from the contribution of the assets transferred by CAPSI.</w:t>
      </w:r>
    </w:p>
    <w:p>
      <w:r>
        <w:t>13. In particular, the agreement between the Parties provides for the following:</w:t>
        <w:br/>
        <w:t>i) CAPSI will create a business unit consisting of all activities, both tangible and intangible, related to the core business carried out by CAPSI, along with some instrumental real estate for carrying out the characteristic activity, plants and equipment (except for machinery related to the mechanization sector), intangible assets, working capital, personnel and related liabilities, liquid assets, and part of the financial indebtedness (“CAPSI Business Unit”);</w:t>
        <w:br/>
        <w:t>ii) CAI will resolve to increase its capital, which will be subscribed by CAPSI, through the contribution of the CAPSI Business Unit, and by BF, through a cash contribution.</w:t>
      </w:r>
    </w:p>
    <w:p>
      <w:r>
        <w:t>14. As a result of this subscription, BF will hold a number of shares representing a stake equal to 36% of the share capital of CAI, while the Agricultural Consortia will hold the remaining 64% of the capital. At the same time, the Parties will sign a shareholders' agreement regarding the regulation of the functioning and governance of CAI (“CAI Shareholders' Agreement”) through which BF, on one side, and the Agricultural Consortia, on the other side, to which CAPSI will be added, will continue to exercise joint control over CAI. Concurrently, the Agricultural Consortia (including CAPSI) will sign an additional shareholders' agreement whereby, prior to each meeting of the shareholders of CAI, the Agricultural Consortia must meet in advance “in order to deliberate on the exercise of the voting right on the matters on the agenda of the aforementioned shareholders' meeting.” Any decision made in this context will then be binding for all the Agricultural Consortia.</w:t>
      </w:r>
    </w:p>
    <w:p>
      <w:r>
        <w:t>II.2. Governance Rules of CAI Post-Operation</w:t>
      </w:r>
    </w:p>
    <w:p>
      <w:r>
        <w:t>15. The CAI Shareholders' Agreement also outlines the governance structures that will be configured following the operation, providing, among other things, that the board of directors of CAI shall consist of an odd number of directors ranging from 7 to 31. Of these, half minus one of the directors (including one or more with the functions of Chief Executive Officer) will be appointed by BF. The adoption of the so-called “Relevant Board Matters,” which include the approval, amendment, update, and/or modification of the business plan, can only occur with the favorable vote of the majority of the directors present at the meeting and the majority of those appointed by BF8. Therefore, also due to the shareholders' agreement stipulated among the Agricultural Consortia described above, both BF and the Agricultural Consortia (considered collectively) will hold the power to prevent the adoption of decisions aimed at determining strategic directions (for example, the definition of the business plan).</w:t>
      </w:r>
    </w:p>
    <w:p>
      <w:r>
        <w:t>III. QUALIFICATION OF THE OPERATION</w:t>
      </w:r>
    </w:p>
    <w:p>
      <w:r>
        <w:t>16. The notified operation constitutes a concentration, pursuant to Article 5, paragraph 1, letter b), of Law No. 287/1990, as it involves a change in the control of a company. It falls within the scope of application of Law No. 287/1990, as the conditions set forth in Article 1 of Regulation (EC) No. 139/2004 do not apply, and it is subject to the obligation of prior notification provided for by Article 16, paragraph 1, of Law No. 287/1990, as the total turnover achieved in the last financial year at the national level by the group of companies involved exceeded 532 million euros, and as the total turnover achieved individually at the national level by at least two of the companies involved exceeded 32 million euros.</w:t>
      </w:r>
    </w:p>
    <w:p>
      <w:r>
        <w:t>IV. EVALUATION OF THE OPERATION</w:t>
      </w:r>
    </w:p>
    <w:p>
      <w:r>
        <w:t>IV.1 The Relevant Markets</w:t>
      </w:r>
    </w:p>
    <w:p>
      <w:r>
        <w:t>17. According to the Authority's practice, the “horizontally affected markets” by a concentration operation are those in which two or more parties operate simultaneously and will hold, after the operation, a market share of no less than 15%. The “vertically affected markets” are those in which one party will hold, as a result of the operation, a market share of no less than 25%, when at least one other party operates in a market upstream or downstream of the aforementioned market. Following this approach, and based on the information and market shares provided by the Parties, the markets described below can be considered affected by this operation.</w:t>
      </w:r>
    </w:p>
    <w:p>
      <w:r>
        <w:t>IV.1.1 The Markets Related to the Production and Marketing of Seeds</w:t>
      </w:r>
    </w:p>
    <w:p>
      <w:r>
        <w:t>18. According to a consolidated community9 and national10 orientation, the sector related to the development, production, and marketing of seeds should be divided into distinct relevant markets based on the specific types of products for which the seeds are intended (barley, corn, durum wheat, soft wheat, rice, oats, etc.), due to the low substitutability for the end user between seeds intended for different products.</w:t>
      </w:r>
    </w:p>
    <w:p>
      <w:r>
        <w:t>19. The activity of producing and marketing seeds is articulated in several vertically connected phases, each of which can be carried out, even separately, by operators that are not vertically integrated. In particular, it involves: a) the production of genetic material, called “germplasm,” which in turn implies carrying out a “basic” scientific research activity aimed at establishing the material necessary for the creation of new seed varieties; b) the development of commercial varieties, which requires identifying, starting from the basic genetic material, the varieties that best meet commercial needs (development activity or “applied research”)11; c) the production, by the variety creator or assignee, of multiplication materials (including the so-called “technical seed”), produced according to selection standards that ensure the purity of the varieties; d) the actual production activity (production of the so-called “commercial seed”), consisting of the multiplication of the base seed (an activity that is often outsourced by seed producers through specific “multiplication contracts” with farmers), as well as cleaning, treatment, packaging, and certification of the seed; e) the marketing, consisting of the distribution and sale of the final product to the first buyers, who do not necessarily correspond to the end users but can be simple distributors, such as agricultural consortia.</w:t>
      </w:r>
    </w:p>
    <w:p>
      <w:r>
        <w:t>20. The Authority has noted that the various phases of seed production can be included in at least two distinct relevant markets12, even if vertically connected: i) an upstream market, represented by the activities of establishing and marketing genetic material and licenses related to different seed varieties; ii) a downstream market, related to the activity of producing and selling seed. This downstream market, however, includes at least three types of vertically connected activities: i) the production of technical seed, ii) the multiplication activity, carried out internally by seed companies or outsourced to agricultural companies (multiplying companies) based on multiplication contracts; iii) the marketing, that is, the sale of commercial seed to agricultural companies that grow the finished products (wheat, barley, etc.).</w:t>
      </w:r>
    </w:p>
    <w:p>
      <w:r>
        <w:t>21. From a geographical perspective, previous community rulings allow attributing a supranational dimension, at least equal to the territory of the European Union, to the upstream markets of the exchange and marketing of genetic material aimed at varietal selection, and a national dimension to the downstream markets related to the final phases of production and marketing. In this regard, on one hand, the uniformity of the competitive conditions existing in the national territory has been emphasized, and on the other hand, the specificity of the characteristics of demand and prices observable in each country. Furthermore, individual seed varieties are selected and adapted to meet the needs of each country, where a National Register of Varieties is indeed present13.</w:t>
      </w:r>
    </w:p>
    <w:p>
      <w:r>
        <w:t>22. For the purposes of this evaluation, since the connections and overlaps between the activities of the Parties are relevant only in the downstream phases of the production and marketing of seeds, the markets affected by the operation are those, of national dimension, of the production and marketing of seeds.</w:t>
      </w:r>
    </w:p>
    <w:p>
      <w:r>
        <w:rPr>
          <w:b/>
        </w:rPr>
        <w:t>[Pages 19–21]</w:t>
      </w:r>
    </w:p>
    <w:p>
      <w:r>
        <w:t>BULLETIN NO. 9 OF MARCH 4, 2024 21</w:t>
      </w:r>
    </w:p>
    <w:p>
      <w:r>
        <w:t>production and sale to first purchasers (wholesale intermediaries, retailers, or even end users) of seeds related to the various types of crops.</w:t>
      </w:r>
    </w:p>
    <w:p>
      <w:r>
        <w:t>IV.1.2 The markets related to the final distribution of inputs and technical means for agriculture</w:t>
      </w:r>
    </w:p>
    <w:p>
      <w:r>
        <w:t>23. From a commodity perspective, based on the Authority's precedents, the retail distribution of products, tools, and technical means for agriculture can be divided into the following relevant markets: seeds, fertilizers, animal feeds, plant protection products, agricultural machinery and equipment14. From a geographical perspective, these markets have been deemed to be of local dimension, substantially coinciding with the provincial area, as farmers and small agricultural enterprises tend to source supplies from a territory adjacent to where their production activity is located15.</w:t>
      </w:r>
    </w:p>
    <w:p>
      <w:r>
        <w:t>IV.2 The effects of the operation</w:t>
      </w:r>
    </w:p>
    <w:p>
      <w:r>
        <w:t>IV.2.1 Horizontal effects</w:t>
      </w:r>
    </w:p>
    <w:p>
      <w:r>
        <w:t>24. From a horizontal perspective, the most significant overlaps are found in the markets for the production and sale of seeds, where BF, CAI, and CAPSI16 operate. Based on the data provided by the Parties, these operators hold the market shares indicated in Table No. 1 for the relevant markets concerning the different types of seeds.</w:t>
      </w:r>
    </w:p>
    <w:p>
      <w:r>
        <w:t>Tab. No. 1 – Market shares in the seed markets – 2022</w:t>
      </w:r>
    </w:p>
    <w:p>
      <w:r>
        <w:t>of which brand of which brand of which brand Total post of which brand</w:t>
        <w:br/>
        <w:t>BF CAI CAPSI</w:t>
        <w:br/>
        <w:t>own own own merger own</w:t>
        <w:br/>
        <w:t>Wheat</w:t>
        <w:br/>
        <w:t>[20-25]% [5-10]% [1-5]% [5-10]% [1-5]% [1-5]% [25-30]% [10-15]%</w:t>
        <w:br/>
        <w:t>hard</w:t>
        <w:br/>
        <w:t>Wheat [less than</w:t>
        <w:br/>
        <w:t>[15-20]% [5-10]% [5-10]% [10-15]% [1-5]% [25-30]% [20-25]%</w:t>
        <w:br/>
        <w:t>soft 1]%</w:t>
        <w:br/>
        <w:t>Source: elaborations based on data provided by the Parties.</w:t>
      </w:r>
    </w:p>
    <w:p>
      <w:r>
        <w:t>25. The data provided by the Parties report the total market shares held and those related to the production marketed under their own brand. The difference between these values represents the production carried out by the Parties on behalf of third parties and, therefore, marketed by other seed companies, competitors of both BF and CAI and the Consortia, under the brand of the latter. These third-party seed companies can exert a certain degree of competitive pressure on the product marketed by the Parties under their own brand.</w:t>
      </w:r>
    </w:p>
    <w:p>
      <w:r>
        <w:t>26. The most significant overlaps occur in the two markets related to hard and soft wheat. However, in both markets, the post-merger market share is below 30% (with respect to the own brand dimension, it is below 25% for soft wheat and below 15% for hard wheat).</w:t>
      </w:r>
    </w:p>
    <w:p>
      <w:r>
        <w:t>14 See, among others: C11929 - Consorzio Agrario Lombardo Veneto/Consorzio Agrario di Padova e Venezia, Measure 24648 of December 4, 2013.</w:t>
      </w:r>
    </w:p>
    <w:p>
      <w:r>
        <w:t>15 The retail distribution markets for seeds present a limited degree of overlap with the national markets for marketing to first purchasers, which include, in addition to wholesale sales to wholesalers and distributors, also sales made directly by seed companies to end users.</w:t>
      </w:r>
    </w:p>
    <w:p>
      <w:r>
        <w:t>16 It should be noted that CAPSI is not active in the production of other seeds such as barley, corn, rice, oats, vetch, triticale, alfalfa, and soy; therefore, with respect to these segments, there is no specific merger effect.</w:t>
      </w:r>
    </w:p>
    <w:p>
      <w:r>
        <w:t>22 BULLETIN NO. 9 OF MARCH 4, 2024</w:t>
      </w:r>
    </w:p>
    <w:p>
      <w:r>
        <w:t>27. In any case, even if the quantities of seed processed on behalf of third parties are included in the market shares, it is noted that, in the entire sector of seed production and sale, there are numerous and qualified competitors. In particular, in the two markets related to wheat seeds (hard and soft), there are other significant operators, some of which belong to large international groups, including: Syngenta ([10-15]%), Limagrain Italia ([10-15]%), APSOV/Conase ([10-15%]) and R.A.G.T. Semences ([5-10]%).</w:t>
      </w:r>
    </w:p>
    <w:p>
      <w:r>
        <w:t>28. With reference to the markets for the final distribution of inputs and technical means for agriculture, the impact of the operation appears to be of little significance, due to the substantial geographical complementarity between the activities of CAI - and therefore of the individual Consortia that currently jointly control it - and that of CAPSI, inherent in the organization and functioning of the agricultural consortia system. The operation, consisting merely of CAPSI's entry into the share capital of CAI, does not appear to be suitable to affect these markets.</w:t>
      </w:r>
    </w:p>
    <w:p>
      <w:r>
        <w:t>29. Moreover, other significant operators are also present in these markets. Furthermore, all products and technical means for agriculture, including seeds, can also be purchased through wholesalers, via online channels, or directly from producing companies.</w:t>
      </w:r>
    </w:p>
    <w:p>
      <w:r>
        <w:t>30. In light of the above, it is believed that the operation is not suitable to create or strengthen a dominant position in the relevant markets.</w:t>
      </w:r>
    </w:p>
    <w:p>
      <w:r>
        <w:t>IV.2.2 Vertical effects</w:t>
      </w:r>
    </w:p>
    <w:p>
      <w:r>
        <w:t>31. CAPSI's entry into the shareholding of CAI does not appear, as previously noted17, to be a circumstance likely to produce significant vertical effects. In particular, it is believed that CAI, even following the changed joint control due to CAPSI's presence, is not able to block access to distribution channels for its competitors in seed production. In particular, this occurs both due to the limited market shares held by the Parties and due to the presence of distribution channels different from the "physical" sales points used by competitors, such as direct distribution through their own agents, distribution through traders/intermediaries, or even through online channels.</w:t>
      </w:r>
    </w:p>
    <w:p>
      <w:r>
        <w:t>32. In conclusion, it is not believed that the operation is likely to produce significant vertical effects restricting competition in the relevant markets.</w:t>
      </w:r>
    </w:p>
    <w:p>
      <w:r>
        <w:t>IT IS THEREFORE CONSIDERED that the operation in question does not significantly impede effective competition in the relevant markets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17 See C12311, cited. In particular, within the concentration operation C12311 – which resulted in the current control structure of CAI and the consequent establishment of a vertically integrated operator, as it is active both in the retail distribution of products and services for agriculture - through the activities carried out by Consortia - and in the upstream and downstream markets of seeds and agricultural products, where BF and its subsidiaries operate – it was excluded that the operation could produce a significant vertical restriction effect, represented by the possible blocking of access to competitors in the input procurement phase (upstream phase) and/or in the phase of placing products in their respective distribution channels (downstream phase).</w:t>
      </w:r>
    </w:p>
    <w:p>
      <w:r>
        <w:t>BULLETIN NO. 9 OF MARCH 4, 2024 23</w:t>
      </w:r>
    </w:p>
    <w:p>
      <w:r>
        <w:t>The above conclusions will be communicated, pursuant to Article 16, paragraph 4, of Law No. 287/1990, to the interested companies and to the Minister of Enterprises and Made in Italy.</w:t>
      </w:r>
    </w:p>
    <w:p>
      <w:r>
        <w:t>This measure will be published in the Bulletin of the Italian Competition Authority.</w:t>
      </w:r>
    </w:p>
    <w:p>
      <w:r>
        <w:t>THE SECRETARY GENERAL THE PRESIDENT</w:t>
      </w:r>
    </w:p>
    <w:p>
      <w:r>
        <w:t>Guido Stazi Roberto Rustichelli</w:t>
      </w:r>
    </w:p>
    <w:p>
      <w:r>
        <w:rPr>
          <w:b/>
        </w:rPr>
        <w:t>[Pages 22–24]</w:t>
      </w:r>
    </w:p>
    <w:p>
      <w:r>
        <w:t>24 BULLETIN NO. 9 OF MARCH 4, 2024</w:t>
      </w:r>
    </w:p>
    <w:p>
      <w:r>
        <w:t>C12586 - IGNAZIO MESSINA &amp; C/TERMINAL SAN GIORGIO</w:t>
      </w:r>
    </w:p>
    <w:p>
      <w:r>
        <w:t>Measure No. 31066</w:t>
      </w:r>
    </w:p>
    <w:p>
      <w:r>
        <w:t>THE COMPETITION AND MARKET AUTHORITY</w:t>
      </w:r>
    </w:p>
    <w:p>
      <w:r>
        <w:t>IN ITS MEETING of February 27,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its resolution of September 26, 2023, whereby, pursuant to Article 16, paragraph 1-bis, of Law No. 287/1990, the companies Ignazio Messina &amp; C. S.p.A. and Terminal San Giorgio S.r.l. were requested to notify the concentration operation that concerns them;</w:t>
      </w:r>
    </w:p>
    <w:p>
      <w:r>
        <w:t>HAVING REGARD to its resolution of October 10, 2023, whereby, at the request of the Parties, the deadline for the requested notification was extended to November 27, 2023;</w:t>
      </w:r>
    </w:p>
    <w:p>
      <w:r>
        <w:t>HAVING REGARD to the communication from Ignazio Messina &amp; C. S.p.A., received on November 16, 2023 and supplemented on November 17 and 21, 2023;</w:t>
      </w:r>
    </w:p>
    <w:p>
      <w:r>
        <w:t>HAVING REGARD to the request for information sent on December 6, 2023, to Ignazio Messina &amp; C. S.p.A., resulting in the interruption of the deadlines pursuant to Article 5, paragraph 3, of Presidential Decree No. 217 of April 30, 1998;</w:t>
      </w:r>
    </w:p>
    <w:p>
      <w:r>
        <w:t>HAVING REGARD to the information and documentation sent in response to the request for information of December 6, 2023 by Ignazio Messina &amp; C. S.p.A. on January 24, 2024 and by Stazioni Marittime S.p.A. and Grandi Navi Veloci S.p.A. on January 29, 2024;</w:t>
      </w:r>
    </w:p>
    <w:p>
      <w:r>
        <w:t>HAVING REGARD to the documentation on file;</w:t>
      </w:r>
    </w:p>
    <w:p>
      <w:r>
        <w:t>CONSIDERING the following</w:t>
      </w:r>
    </w:p>
    <w:p>
      <w:r>
        <w:t>I. THE PARTIES</w:t>
      </w:r>
    </w:p>
    <w:p>
      <w:r>
        <w:t>1. Ignazio Messina &amp; C. S.p.A. (“IM&amp;C”) is a company operating in maritime transport of goods through containers and rolling stock, in the management of a multipurpose terminal (Intermodal Marine Terminal - IMT, located in the port of Genoa), in intermodal logistics and in repair and maintenance services ancillary to logistics and transport activities. The IMT terminal is located on two different areas (see fig. 1): (i) one under concession1 to IM&amp;C (“Ponte Ronco” or “Molo Ronco”) and (ii) another under concession2 to a temporary association of companies (ATI) of which Terminal San Giorgio S.r.l. is the principal and IM&amp;C is the agent (“ATI Messina-San Giorgio”); the operational management of the latter is assigned to IM&amp;C for the area including the Canepa pier, part of Calata Bengasi and the back areas, in addition to the filling of the water mirror between the Ronco and Canepa piers currently being realized3 (“Compendio Ponte Canepa”). Currently, the terminal has available the docks in the areas directly under concession (Ponte Ronco) and additional docks in the areas (Ponte Canepa) managed within the ATI Messina – San Giorgio4. By virtue of a shareholders' agreement, IM&amp;C is jointly controlled5 by Gruppo Messina S.p.A. and Marinvest S.r.l., which is controlled, through SAS – Shipping Agencies Services S.A., by Mediterranean Shipping Company S.A. Following discussions with the Port System Authority of the Western Ligurian Sea (“AdSP-MLO”)6, in June 2020 the shareholders' agreements examined in concentration C/12255 were modified, with Marinvest waiving its veto powers in IM&amp;C regarding terminal activities (so-called Terminal Business); this was declared to “exclude the […] joint control [of Gruppo Messina and Marinvest] over the Terminal Business” and to grant the directors appointed by Gruppo Messina the right to approve any strategic resolution concerning the Terminal Business7. In 2022, IM&amp;C achieved consolidated revenues of over 512 million euros, largely derived from maritime transport. In the same year, IM&amp;C generated a turnover of approximately [100-532]* million euros in Italy. The MSC group generated a turnover of approximately [2-3] billion euros in Italy in 2021.</w:t>
      </w:r>
    </w:p>
    <w:p>
      <w:r>
        <w:t>2. Terminal San Giorgio S.r.l. (“TSG”) operates as a “multipurpose terminal for third parties” in the port of Genoa, specialized in the handling of goods on rolling stock and, to a lesser extent, in the handling of containers and bulk solids. TSG's activities take place on two distinct public property areas (see fig. 1): (i) an area under concession to TSG located on Ponte Somalia8 and (ii) the area under concession to the ATI Messina-TSG; within the ATI, IM and TSG have agreed on the operational management assigned to TSG of Ponte Libia (and back areas)9. Currently, TSG has two docks available in the areas directly under concession (Ponte Somalia) and two additional docks in the areas managed (Ponte Libia) within the concession granted to the ATI Messina-San Giorgio10. The company is controlled by Autosped G S.p.A., at the head of a group operating in the construction of commercial vehicles, transport, and logistics. Autosped is in turn controlled by the Gavio group. In 2022, it generated revenues of approximately 25 million euros.</w:t>
      </w:r>
    </w:p>
    <w:p>
      <w:r>
        <w:t>Fig. 1: The terminals on which the activities of IM&amp;C and TSG are based</w:t>
        <w:br/>
        <w:t>1: area under concession to IM&amp;C; 2: area under concession to ATI Messina-San Giorgio; 3: area under concession to TSG</w:t>
      </w:r>
    </w:p>
    <w:p>
      <w:r>
        <w:t>II. DESCRIPTION OF THE OPERATION</w:t>
      </w:r>
    </w:p>
    <w:p>
      <w:r>
        <w:t>3. The operation consists of the acquisition of 100% of the share capital of TSG by IM&amp;C. According to the statements made by the Parties11, TSG will remain an autonomous economic entity and its relations with IM&amp;C will be governed by a specific operational/commercial agreement regarding the management of areas and docks.</w:t>
      </w:r>
    </w:p>
    <w:p>
      <w:r>
        <w:t>4. By virtue of the shareholders' agreements modified in June 2020, [omissis12,13]. In Section 5.4.2 of the Shareholders Agreement, it is stated that the provision of a specific governance aims to exclude the joint control of Gruppo Messina and Marinvest over the so-called Terminal Business, through (i) the exclusion of veto rights of the directors designated by Marinvest on decisions relating to the Terminal Business Reserved Matters and (ii) the granting to the</w:t>
      </w:r>
    </w:p>
    <w:p>
      <w:r>
        <w:t>11 Response of January 24, 2024, to the request for information of December 6, 2023.</w:t>
        <w:br/>
        <w:t>12 [omissis].</w:t>
        <w:br/>
        <w:t>13 [omissis].</w:t>
      </w:r>
    </w:p>
    <w:p>
      <w:r>
        <w:rPr>
          <w:b/>
        </w:rPr>
        <w:t>[Pages 25–27]</w:t>
      </w:r>
    </w:p>
    <w:p>
      <w:r>
        <w:t>BULLETIN NO. 9 OF MARCH 4, 2024 27</w:t>
      </w:r>
    </w:p>
    <w:p>
      <w:r>
        <w:t>appointed by Gruppo Messina the right to approve any resolution on the Terminal Business Reserved Matters14.</w:t>
      </w:r>
    </w:p>
    <w:p>
      <w:r>
        <w:t>5. It must therefore be considered that the Terminal Business falls under the exclusive control of Gruppo Messina S.p.A., [omissis].</w:t>
      </w:r>
    </w:p>
    <w:p>
      <w:r>
        <w:t>6. As for the scope of the so-called Terminal Business, the shareholders' agreements modified in 2020 refer to the definition contained in the Framework Agreement between Marinvest, Gruppo Messina, IM&amp;C, and RORO Italia s.r.l. (now merged into IM&amp;C), according to which “Terminal Business” means [omissis]15.</w:t>
      </w:r>
    </w:p>
    <w:p>
      <w:r>
        <w:t>7. This definition appears to exclude from the joint control of Marinvest any decision of IM&amp;C regarding terminal activities related not only to the operations on the concession at Molo Ronco but also to those carried out on the entire concession held by the ATI Messina-San Giorgio.</w:t>
      </w:r>
    </w:p>
    <w:p>
      <w:r>
        <w:t>8. Therefore, based on the elements currently available, the acquisition operation of TSG by IM&amp;C would seem to involve (i) the acquisition of exclusive control by Gruppo Messina over the terminal activities carried out in the area granted to the ATI Messina-San Giorgio, previously subject to the joint control of Gruppo Messina (through IM&amp;C) and TSG, (ii) the acquisition of exclusive control by IM&amp;C over the terminal granted to TSG located at Ponte Somalia and consequently (iii) the acquisition by Gruppo Messina and Marinvest of joint control, through IM&amp;C, over the terminal granted to TSG located at Ponte Somalia, which appears not to fall within the Terminal Business covered by the aforementioned shareholders' agreement.</w:t>
      </w:r>
    </w:p>
    <w:p>
      <w:r>
        <w:t>III. QUALIFICATION OF THE OPERATION</w:t>
      </w:r>
    </w:p>
    <w:p>
      <w:r>
        <w:t>9. The communicated operation, as it involves the acquisition of control over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at the request of the Authority as provided for by Article 16, paragraph 1-bis, of the aforementioned law, as the total turnover achieved in the last financial year at the national level by the group of companies involved exceeded 532 million euros.</w:t>
      </w:r>
    </w:p>
    <w:p>
      <w:r>
        <w:t>IV. EVALUATION OF THE OPERATION</w:t>
      </w:r>
    </w:p>
    <w:p>
      <w:r>
        <w:t>10. The operation in question concerns the acquisition by IM&amp;C of control over TSG, a company active exclusively through a terminal dedicated to the maritime transport of goods located in the port of Genoa, which develops over two areas regulated by distinct concession acts – Ponte Libia, part of the ATI Messina-TSG, and Ponte Somalia – but managed in a unified manner. Table 1 shows the cargo movements attributable to TSG and IM&amp;C as well as the share of movements carried out in the ATI in 2022 by TSG and by IM&amp;C, provided by the AdSP-MLO.</w:t>
      </w:r>
    </w:p>
    <w:p>
      <w:r>
        <w:t>11. TSG's activity focuses on offering terminal services to so-called Roll-on/Roll-off (“Ro-Ro”) ships that transport goods on rolling stock, on routes to/from the major islands, Salerno, Malta, Tunisia, and Spain. These services are offered utilizing both the docks present in the part of the area granted to the ATI that is managed by TSG (Ponte Libia) and those at Ponte Somalia. The Ponte Somalia area in 2022 accounted for about 40% of the cargo movements on rolling stock carried out by TSG and it can be estimated that it represented at least one third in 2021. TSG has full control, both operationally and regarding the conditions applied, over the operations carried out on the part of the concession granted to the ATI Messina-San Giorgio under the operational control of TSG itself (Ponte Libia) and on those carried out at Ponte Somalia.</w:t>
      </w:r>
    </w:p>
    <w:p>
      <w:r>
        <w:t>12. TSG also provides container terminal services16 and, to a lesser extent, terminal services for break bulk goods, primarily through the docks of the ATI.</w:t>
      </w:r>
    </w:p>
    <w:p>
      <w:r>
        <w:t>13. IM&amp;C primarily operates in the maritime transport of containers and rolling stock. The terminal activity of IMT represents about one-tenth of the Italian revenues of the company17. As shown in Table 1, the IMT terminal mainly operates in providing container terminal services18 and to a lesser extent in providing terminal services for rolling stock and break bulk goods.</w:t>
      </w:r>
    </w:p>
    <w:p>
      <w:r>
        <w:t>14. The MSC group operates two terminals in the port of Genoa that handle goods in competition with TSG and IM&amp;C: (i) Stazioni Marittime S.p.A., a Ro-Ro and Ro-Ro/Pax terminal controlled by Marinvest s.r.l.; (ii) the Bettolo terminal, specialized in container traffic. The group also operates container terminals in La Spezia and Livorno and holds stakes in the companies that control the LTM and Porto di Livorno 2000 terminals in Livorno.</w:t>
      </w:r>
    </w:p>
    <w:p>
      <w:r>
        <w:t>15. Community and national practice has identified distinct relevant product markets for port cargo handling services dedicated to different types of loads (containerized goods, bulk materials and liquids, Ro-Ro, break bulk goods), based on the different characteristics of the ships served, the equipment necessary for handling the loads, and the services required. The communicated operation therefore concerns, from a horizontal perspective, the markets for (i) break bulk cargo terminal services, (ii) container terminal services, and (iii) rolling stock cargo terminal services.</w:t>
      </w:r>
    </w:p>
    <w:p>
      <w:r>
        <w:t>16. Since cargo terminal services can be considered an input for maritime transport services of goods, the operation concerns, from a vertical perspective, the upstream markets of the transport of goods by container ships (where both IM&amp;C and the MSC group operate) and the transport of goods by Ro-Ro and Ro-Ro/Pax ships - where the MSC group operates through Grandi Navi Veloci S.p.A. (“GNV”) and IM&amp;C operates marginally.</w:t>
      </w:r>
    </w:p>
    <w:p>
      <w:r>
        <w:t>IV.1. market for break bulk cargo terminal services</w:t>
      </w:r>
    </w:p>
    <w:p>
      <w:r>
        <w:t>17. Terminal services for break bulk goods consist of loading/unloading and storage of goods in bags, boxes, barrels, and similar containers, sometimes assembled on pallets, or of “out of gauge” pieces due to size and weight, often placed on special bases (skid) to facilitate handling. They require the use of specific cranes for heavy loads, differentiated by the type of break bulk, which are not easily substitutable with the equipment used for other types of cargo. Therefore, terminals for break bulk goods have been considered a distinct relevant market from that of other cargo terminals.</w:t>
      </w:r>
    </w:p>
    <w:p>
      <w:r>
        <w:t>18. The Parties, referring to cases concerning container terminal services, believe that the extent of the market for break bulk cargo terminal services should be identified in a catchment area of about 200-300 km around the terminal and that therefore the relevant market includes all terminals in the Ligurian and upper Tyrrhenian arc, from Vado Ligure to Livorno.</w:t>
      </w:r>
    </w:p>
    <w:p>
      <w:r>
        <w:t>19. For the purposes of evaluating this operation, however, it is not deemed necessary to precisely define the catchment area of the acquired terminal. In fact, even limiting the geographical extent of the market to only Ligurian ports, which are no more than 110 km from Genoa, TSG's market share would be approximately below 5% and that of IM&amp;C and its controlling entities would not exceed 25%. The operation would therefore not be able to substantially hinder competition in this market.</w:t>
      </w:r>
    </w:p>
    <w:p>
      <w:r>
        <w:t>20. Furthermore, the operation does not appear to be likely to produce vertical effects in this market, as, according to what has been communicated by the Parties, Gruppo Messina is marginally active in the transport of various goods, while MSC only occasionally transports various goods on routes with departure or destination in the Mediterranean.</w:t>
      </w:r>
    </w:p>
    <w:p>
      <w:r>
        <w:rPr>
          <w:b/>
        </w:rPr>
        <w:t>[Pages 28–30]</w:t>
      </w:r>
    </w:p>
    <w:p>
      <w:r>
        <w:t>30 BULLETIN NO. 9 OF MARCH 4, 2024</w:t>
      </w:r>
    </w:p>
    <w:p>
      <w:r>
        <w:t>IV.2. Container Terminal Services Market</w:t>
      </w:r>
    </w:p>
    <w:p>
      <w:r>
        <w:t>IV.2.1. Horizontal Profiles</w:t>
      </w:r>
    </w:p>
    <w:p>
      <w:r>
        <w:t>21. According to established national and community practice19, within the port cargo handling sector, a separate market is distinguished for the services provided by container terminals. The provision of such services requires the use of specific equipment for loading/unloading, storage, and land handling of containers (both for storage and for preparation for subsequent transport phases). It is also possible to consider a separate market for auxiliary services of long-term parking, rental, repair, and maintenance of containers.</w:t>
      </w:r>
    </w:p>
    <w:p>
      <w:r>
        <w:t>In the provision of container terminal services, national and community practice has also distinguished:</w:t>
        <w:br/>
        <w:t>(i) services for hinterland traffic (or from/to the hinterland), which concern the transfer of containers from the container ship to other means (train, truck, etc.) that carry out transport in the hinterland (and vice versa); these services characterize so-called gateway ports; (ii) services for transshipment traffic (so-called transhipment), which concern the transfer of containers between different deep-sea ships (so-called relay) or between deep-sea and short-sea ships for transport to smaller ports or ports with inadequate facilities for deep-sea container ships (so-called feeder).</w:t>
      </w:r>
    </w:p>
    <w:p>
      <w:r>
        <w:t>22. TSG is characterized as a gateway terminal, like all container terminals in the port of Genoa, capable of serving medium-sized container ships20 operating on ocean routes (e.g., Central America, West Africa) and Mediterranean routes.</w:t>
      </w:r>
    </w:p>
    <w:p>
      <w:r>
        <w:t>From a product perspective, therefore, the operation concerns the market for gateway container terminal services.</w:t>
      </w:r>
    </w:p>
    <w:p>
      <w:r>
        <w:t>23. Regarding the geographical dimension of this market, the Parties, based on community and national practice, believe that the extension of the container terminal services market should be identified in a catchment area of approximately 200-300 km around the TSG terminal and that therefore the relevant market includes all container terminals in the Ligurian and Upper Tyrrhenian arc, from Vado Ligure21 to Livorno22 - all characterized as gateway terminals, due to the clear prevalence of hinterland traffic.</w:t>
      </w:r>
    </w:p>
    <w:p>
      <w:r>
        <w:t>24. The port of Genoa is the largest Italian gateway port23, capable of accommodating all types of container ships and equipped with significant intermodal infrastructure. It is therefore certainly able to exert significant competitive pressure on the container terminals of Ligurian and Upper Tyrrhenian ports. Conversely, some of these ports are able to exert less competitive pressure on the port of Genoa due to infrastructural limitations and differ from Genoa both in primary catchment areas and in commodity specialization. The port of Livorno, for example, caters more to the central and northeastern regions, while the port of Genoa primarily serves the regions of the industrial triangle, although it also serves the Northeast; it has specialized in traffic with the Americas (unable to compete on traffic with the Far East due to draft limitations) and in the trade of alcoholic beverages, foodstuffs, and products requiring temperature-controlled containers (reefers).</w:t>
      </w:r>
    </w:p>
    <w:p>
      <w:r>
        <w:t>25. For the purposes of evaluating the present operation, however, it is not necessary to define whether the geographical extension of the gateway container terminal services market centered on the port of Genoa includes only Ligurian ports or also the ports of Marina di Carrara and Livorno, as the assessment of the effects of the operation would not change.</w:t>
      </w:r>
    </w:p>
    <w:p>
      <w:r>
        <w:t>26. In fact, the containers handled by TSG represent about 2.5% of those handled by Ligurian ports in 2021-22, and the container handling capacity of the facilities managed by TSG can be estimated at no more than [0-5%] of the capacity available in those ports. These shares would be even lower if the container terminals of the ports of Marina di Carrara and Livorno were also included.</w:t>
      </w:r>
    </w:p>
    <w:p>
      <w:r>
        <w:t>27. Gruppo Messina, on the other hand, holds a share of less than 5% of the volumes handled by Ligurian ports and less than 4% including the ports of the Upper Tyrrhenian.</w:t>
      </w:r>
    </w:p>
    <w:p>
      <w:r>
        <w:t>28. Following the operation, therefore, Gruppo Messina will hold less than 10% of the terminal capacity for containerized goods and maritime terminal services for containerized goods. It should also be noted that, as indicated in Table 1, TSG provides almost all container terminal services through the part it manages of the concession granted to the ATI, and therefore the increase in terminal capacity for Gruppo Messina is limited to the transition from joint control to exclusive control of that available at ATI Messina – San Giorgio.</w:t>
      </w:r>
    </w:p>
    <w:p>
      <w:r>
        <w:t>29. In light of the marginal weight of the Ponte Somalia concession in the provision of container terminal services, the acquisition of joint control of this concession by the MSC group does not appear capable of producing significant competitive effects in this market, where qualified competitors are also present, such as the PSA group (which manages two terminals in Genoa capable of serving even the largest ocean-going ships, holding a share of approximately 38% of the containers handled considering only Ligurian ports and 32% including the Tuscan ports of the Upper Tyrrhenian and has significant unused capacity) and the Spinelli group (approximately 10%, jointly controlled with the shipping company Hapag-Lloyd).</w:t>
      </w:r>
    </w:p>
    <w:p>
      <w:r>
        <w:t>IV.2.2. Vertical Profiles</w:t>
      </w:r>
    </w:p>
    <w:p>
      <w:r>
        <w:t>30. The terminal managed by TSG serves some intra-Mediterranean routes, connecting the western part of the Mediterranean to the eastern part, as well as two deep-sea routes, one to the Caribbean and the other to West Africa. Some of these routes belong to route bundles on which MSC, also jointly with the Maersk group with which it shares the 2M Alliance, holds market shares exceeding 30%, while Gruppo Messina has shares below 10%. These route bundles therefore represent markets affected by the vertical effects of the operation.</w:t>
      </w:r>
    </w:p>
    <w:p>
      <w:r>
        <w:t>31. Considering the modest quantities of containers handled by TSG on the affected routes, it seems highly unlikely that the MSC group has the ability to exclude competitors operating through TSG: at the port of Genoa, there is unused terminal capacity at third-party container terminals more than sufficient to accommodate the ships that currently call at TSG, including con-ro ships that can be served by the multipurpose terminals of the port of Genoa24 active in serving both container ships and Ro-Ro ships.</w:t>
      </w:r>
    </w:p>
    <w:p>
      <w:r>
        <w:t>IV.3. Terminal Services Market for Rolling Goods</w:t>
      </w:r>
    </w:p>
    <w:p>
      <w:r>
        <w:t>IV.3.1. Definition of the Relevant Market</w:t>
      </w:r>
    </w:p>
    <w:p>
      <w:r>
        <w:t>32. The facilities managed by TSG constitute the largest "third-party" terminal for rolling goods in the port of Genoa, handling approximately 44% of the rolling goods in the port of Genoa, including new/used cars (which represent less than 10% of the traffic of the terminal managed by TSG). This terminal is unable to accommodate passenger ships, as it does not possess the necessary infrastructure and therefore the required authorizations.</w:t>
      </w:r>
    </w:p>
    <w:p>
      <w:r>
        <w:t>33. Terminal services for rolling goods are the services aimed at handling goods that are loaded onto vehicles with or without drivers, trailers, and other rolling means, which are transported on so-called Roll-on/Roll-off ("Ro-Ro") ships equipped with a loading ramp through which the rolling means access the ship for boarding (Roll-on) and are then unloaded at the destination (Roll-off).</w:t>
      </w:r>
    </w:p>
    <w:p>
      <w:r>
        <w:t>The handling of rolling goods therefore requires docks shaped to fit the loading/unloading ramps (e.g., the so-called "scasse" for the stern ramps) and sufficiently large areas to allow for the parking of vehicles, maneuvering of tractors and trailers, and passage of vehicles.</w:t>
      </w:r>
    </w:p>
    <w:p>
      <w:r>
        <w:t>34. Rolling goods can be loaded both on ships that exclusively serve goods (Ro-Ro ships) and on ships that serve both goods and passengers with cars on board (Ro-Ro/Pax ships).</w:t>
      </w:r>
    </w:p>
    <w:p>
      <w:r>
        <w:t>Terminals serving Ro-Ro/Pax ships must be equipped with specific facilities for managing passengers (ticket offices, waiting rooms, areas for the safe transit of passengers without cars). Terminals for rolling goods that do not have such facilities (referred to by the Parties as "strictly Ro-Ro" terminals) are not authorized to serve Ro-Ro/Pax ships.</w:t>
      </w:r>
    </w:p>
    <w:p>
      <w:r>
        <w:t>A substantial part of Ro-Ro traffic occurs over short distances (e.g., on the routes of the so-called Motorways of the Sea connecting Italian and Mediterranean ports). Exceptions are specialized ships for transporting automobiles (car carriers), which also operate on ocean routes, e.g., from the Far East to Europe.</w:t>
      </w:r>
    </w:p>
    <w:p>
      <w:r>
        <w:t>35. In community25 and national26 decision-making practice, terminals for rolling goods have been distinguished from container terminals, due to the diversity of port operations and the equipment required.</w:t>
      </w:r>
    </w:p>
    <w:p>
      <w:r>
        <w:t>Community practice27 has left open the question of a possible distinction between "strictly Ro-Ro" terminals and "mixed" terminals for rolling goods, which also serve Ro-Ro/Pax ships.</w:t>
      </w:r>
    </w:p>
    <w:p>
      <w:r>
        <w:rPr>
          <w:b/>
        </w:rPr>
        <w:t>[Pages 31–33]</w:t>
      </w:r>
    </w:p>
    <w:p>
      <w:r>
        <w:t>BULLETIN NO. 9 OF MARCH 4, 2024 33</w:t>
      </w:r>
    </w:p>
    <w:p>
      <w:r>
        <w:t>a possible distinction has also been suggested between terminals for rolling stock for short or long-haul routes, with the latter identified as terminals equipped with specific infrastructures (parking lots, etc.) for ocean-going car carriers.</w:t>
      </w:r>
    </w:p>
    <w:p>
      <w:r>
        <w:t>36. According to the Parties, the relevant product market should be identified as the market for "Ro-Ro terminal services in the strict sense." The Parties argued that Ro-Ro ships and Ro-Ro/Pax ships (for brevity, Ro-Pax) have fundamentally different port requirements: Ro-Ro ships "only carry goods [and] do not require specific terminal infrastructures [but can] make use of any port terminal that has berths with sufficient length and draft and that is located near areas that facilitate the movement of rolling stock." Ro-Pax ships, on the other hand, require "specific infrastructures for the reception and parking of passengers [...] as well as simple and dedicated road access." From this difference in requirements, it would follow that "Ro-Ro terminals in the strict sense dedicated solely to Ro-Ro ship traffic are not interchangeable with Ro-Pax terminals, as Ro-Pax ships require specific infrastructures that pure Ro-Ro terminals do not have." The Parties also pointed out that "some Ro-Pax terminals, such as Stazioni Marittime, have the capacity to offer terminal services to both types of ships."</w:t>
      </w:r>
    </w:p>
    <w:p>
      <w:r>
        <w:t>37. In fact, the fact that Ro-Pax ships cannot be accommodated by "Ro-Ro terminals in the strict sense" could exclude interchangeability between "mixed" terminals and Ro-Ro terminals in the strict sense for passenger traffic, but not for freight traffic. Terminals for Ro-Ro/Pax ships appear to be able to offer parking and handling services for rolling stock that are generally interchangeable with those offered by "Ro-Ro terminals in the strict sense," albeit with limitations determined by the sharing of parking spaces with cars accompanying passengers28 and by the peculiar characteristics of Ro-Ro/Pax ships. Ro-Ro ships do not require specific equipment compared to Ro-Pax ships, as they can dock anywhere there are suitable berths and depths for the size of the ship, but only the availability of adequate spaces for loading/unloading maneuvers and for the parking of semi-trailers. In support of this, the Parties themselves noted that Stazioni Marittime offers terminal services for rolling stock to both types of ships; moreover, the "mixed" terminal SDT in Livorno has been regularly used by Grimaldi's Ro-Ro cargo ships and until 2022 Grimaldi operated Ro-Ro/Pax and Ro-Ro services from the port of Savona; finally, Forship S.p.A., in relation to the Ro-Pax terminal in Vado Ligure, explicitly stated that Ro-Pax terminals can accommodate Ro-Ro ships29. Ro-Pax terminals can therefore serve both mixed ships and ships specialized in the transport of rolling stock and compete for the demand for terminal services expressed by both types of ships.</w:t>
      </w:r>
    </w:p>
    <w:p>
      <w:r>
        <w:t>38. Based on the previous considerations, it must therefore be believed that there is an "asymmetric" substitutability relationship between Ro-Ro terminals and "Ro-Pax" terminals and that the relevant product market for the assessment of the present operation is that of terminal services for rolling stock provided both by terminals specialized in Ro-Ro ship services and by "mixed" terminals that serve Ro-Ro and Ro-Ro/Pax ships.</w:t>
      </w:r>
    </w:p>
    <w:p>
      <w:r>
        <w:t>39. Considering that only a marginal part of the volumes handled by TSG and the controlling entities of IM&amp;C concerns car carriers, it is currently not deemed necessary to distinguish a separate market for terminals capable of serving such vessels. The issue of identifying a separate market for terminal services intended for such ships may be further examined during the investigation.</w:t>
      </w:r>
    </w:p>
    <w:p>
      <w:r>
        <w:t>40. Regarding the geographical dimension of this market, the Parties, based on community and national practice related to the container terminal market, believe that the extension of the container terminal services market should be identified in a catchment area of approximately 200-300 km around the TSG terminal and that therefore the relevant market includes all terminals along the Ligurian and upper Tyrrhenian arc, from Vado Ligure to Livorno.</w:t>
      </w:r>
    </w:p>
    <w:p>
      <w:r>
        <w:t>41. The Parties believe that "from the perspective of maritime transport service operators, the substitutability between terminals fundamentally depends on the extent to which hauliers see such terminals as interchangeable, and hauliers tend to consider terminals as interchangeable whenever the total transport times and costs (between the origin and destination of the transported goods) do not differ radically." Based on this premise, the Parties state that "the Ro-Ro terminals at the port of Genoa are in direct competition with other terminals in the Upper Tyrrhenian for all their traffic"; this is because the differences in travel times to reach Genoa or Livorno from certain representative locations in Lombardy and the Northeast considered30 would generally be contained within less than an hour and even when greater (as in the case of Milan31) they would be much lower than the duration of the maritime route, which is 18 hours for Livorno-Palermo and 20 hours for Genoa-Palermo. The overall travel time would in any case be substantially the same, as the differences in land travel would be compensated by those of maritime journeys.</w:t>
      </w:r>
    </w:p>
    <w:p>
      <w:r>
        <w:t>42. In support of the substitutability between the various ports of the Upper Tyrrhenian, the Parties also cite (i) GNV's habit of redirecting excess cargo from Genoa-Sicily to Livorno-Sicily, especially in high season when GNV preferred to allocate the space of Ro-Pax ships from Genoa to the more profitable passengers; (ii) Grendi's move from Genoa to Vado Ligure in 2011, without traffic losses for the shipowner, and from Vado Ligure to Marina di Carrara in 2016, from where in 2022 it transported double the traffic compared to that from Genoa in 2010.</w:t>
      </w:r>
    </w:p>
    <w:p>
      <w:r>
        <w:t>43. However, the elements available to the Authority indicate that the catchment areas of the ports of Genoa and Livorno are significantly different and that users of these ports for shipping/receiving rolling stock would find it very costly to move from one port to another even in the face of significant increases in the average transport cost from the port of Genoa.</w:t>
      </w:r>
    </w:p>
    <w:p>
      <w:r>
        <w:t>44. First of all, the same data from the Parties indicate that the port of Genoa is concentrated on the regions of the industrial triangle and France, while Emilia Romagna and the Northeast account for only 20% of the goods that are routed through this port. The port of Livorno, on the other hand, serves Tuscany, Emilia Romagna, and the entire Northeast, which represent a large part of the regions of origin/destination of the goods loaded/unloaded in Livorno.</w:t>
      </w:r>
    </w:p>
    <w:p>
      <w:r>
        <w:t>45. The Port System Authority of the Western Ligurian Sea ("AdSP-MLO") suggested, in response32 to a request for information, that the "area of influence" of the port of Genoa would extend to Piedmont, Lombardy, western Emilia, and Veneto, while that of the port of Livorno would extend to Emilia-Romagna east of Parma and the rest of Veneto. The checks carried out by AdSP-MLO reveal a clear advantage in land transport costs from Genoa to Milan and Piacenza compared to Livorno33, the convenience of transport from Genoa also from Brescia34, and the near equivalence35 of land transport costs from Verona to Genoa (282 km, 3h4’) and Livorno (309 km, 3h19’).</w:t>
      </w:r>
    </w:p>
    <w:p>
      <w:r>
        <w:t>46. The existence of a different catchment area for the ports of Genoa and Livorno also emerges from the responses of the majority of the transporters interviewed, who use either the port of Genoa or that of Livorno depending on the location of these ports in relation to the delivery or pickup areas36.</w:t>
      </w:r>
    </w:p>
    <w:p>
      <w:r>
        <w:t>47. The responses of these operators testify that the choice of port is based on the optimization not only of the overall time but of the overall cost of transport, in light of the road distances to be covered (and therefore of fuel consumption and driver hours) and maritime freight costs. In relation to these costs, the weight of terminal service costs (the port costs transferred to the freight) is rather low. For this reason, a potential increase of 5-10% in the cost of terminal services in Genoa is not perceived as a sufficient reason to justify the shift from that port to the port of Livorno, because the additional costs that would have to be incurred from/to Livorno would exceed the increase experienced in Genoa: a "10% average cost increase would not be able to change the selection criteria since assuming Genoa as the reference port, any unloading or loading in Livorno presupposes a road journey that produces a cost in terms of vehicle consumption and driver hours, significantly higher than the 10% cost increase hypothesized"37. Grendi, which operates both as a terminal operator in Marina di Carrara and as a transporter, clearly stated that "the increase in port costs, especially if limited to 10%-20%, does NOT constitute a reason for shifting the service, as it represents a small part of the entire cost of the logistics chain and the road shift (from Genoa to Savona or Marina di Carrara) would have a decidedly different weight"38. These responses suggest that a hypothetical monopolist of Ro-Ro terminal services at the port of Genoa would be able to raise the price of its services without losing a significant amount of traffic.</w:t>
      </w:r>
    </w:p>
    <w:p>
      <w:r>
        <w:t>32 See protocol 98899 of November 28, 2023.</w:t>
        <w:br/>
        <w:t>33 For Milan, the cost from Genoa would be 494 euros compared to 900 from Livorno. For Piacenza, it would go from 480 euros (Genoa) to 724 euros (Livorno).</w:t>
        <w:br/>
        <w:t>34 The cost of land transport from Genoa would be 711 euros compared to 865 euros from Livorno.</w:t>
        <w:br/>
        <w:t>35 860 euros from Genoa and 900 euros from Livorno.</w:t>
        <w:br/>
        <w:t>36 See protocols 104376 of December 19, 2023, 104880, 104903, and 104972 of December 20, 2023, 105702 and 105800 of December 22, 2023.</w:t>
        <w:br/>
        <w:t>37 See protocol 104972 of December 20, 2023. In the same sense protocol 104512 of December 19, 2023, protocol 105800 of December 22, 2023.</w:t>
        <w:br/>
        <w:t>38 See response of December 14, 2023, protocol 103345.</w:t>
      </w:r>
    </w:p>
    <w:p>
      <w:r>
        <w:rPr>
          <w:b/>
        </w:rPr>
        <w:t>[Pages 34–36]</w:t>
      </w:r>
    </w:p>
    <w:p>
      <w:r>
        <w:t>36 BULLETIN NO. 9 OF MARCH 4, 2024</w:t>
      </w:r>
    </w:p>
    <w:p>
      <w:r>
        <w:t>number of customers in favor of the port of Livorno, which should therefore be excluded from the relevant market.</w:t>
      </w:r>
    </w:p>
    <w:p>
      <w:r>
        <w:t>48. Genoa Port Terminal, a Genoese terminal operator offering Ro-Ro terminal services, has instead excluded the substitutability of the port of Genoa with neighboring ports and with the port of Livorno. The port of Marina di Carrara has been indicated as a possible alternative by Grendi39 and another respondent40, due to its intermediate position between Genoa and Livorno. However, Grendi emphasized that this would be a limited alternative due to the reduced space available at the port. Regarding this latter port, it should also be noted that, contrary to what the Parties claimed, the shift from Genoa/Savona to Marina di Carrara initially resulted in a significant reduction in rolling stock transported by Grendi41, and the increase noted by the Parties between 2010 and 2022 simply reflects the generalized increase in rolling stock traffic that occurred during the considered period in Italian ports – amounting, for example, to 136% in the port of Genoa alone.</w:t>
      </w:r>
    </w:p>
    <w:p>
      <w:r>
        <w:t>49. Finally, regarding the Parties' observations about the diversion of GNV's freight traffic from Genoa to Livorno that occurred in the past, in the absence of precise information regarding the extent of the shift, it does not seem possible to assess the relevance of this argument for the definition of the geographical extent of the relevant market.</w:t>
      </w:r>
    </w:p>
    <w:p>
      <w:r>
        <w:t>50. Based on these elements, it currently appears possible to circumscribe the geographical extent of the relevant market for terminal services for rolling stock to the port of Genoa and the port of Savona-Vado, as well as, at most42, to the port of Marina di Carrara.</w:t>
      </w:r>
    </w:p>
    <w:p>
      <w:r>
        <w:t>51. This conclusion appears consistent with the Authority's precedents and in particular with A487 – CIN - Maritime transport of goods to/from Sardinia, where distinct markets were identified for the routes for the transport of rolling stock to/from Northern Sardinia (Porto Torres and Olbia) for the routes to/from Genoa/Savona and for those to/from Livorno, based on considerations regarding the different user basins of the ports of Genoa/Savona and Livorno.</w:t>
      </w:r>
    </w:p>
    <w:p>
      <w:r>
        <w:t>IV.3.2. the position of the Parties in the relevant market</w:t>
      </w:r>
    </w:p>
    <w:p>
      <w:r>
        <w:t>52. In the market thus defined (the market for terminal services for rolling stock, offered by both pure Ro-Ro terminals and Ro-Pax terminals, in the area extending from Vado Ligure to Genoa and at most to Marina di Carrara), the terminals listed in the following table are present, along with their market shares in terms of rolling stock handled.</w:t>
      </w:r>
    </w:p>
    <w:p>
      <w:r>
        <w:t>39 Cf. prot. 103345, cited.</w:t>
      </w:r>
    </w:p>
    <w:p>
      <w:r>
        <w:t>40 Cf. prot. 105702 of 22/12/2023.</w:t>
      </w:r>
    </w:p>
    <w:p>
      <w:r>
        <w:t>41 In light of approximately 350,000 linear meters of rolling stock transported in 2010, in 2017 Grendi transported less than [100,000 – 200,000] from Marina di Carrara.</w:t>
      </w:r>
    </w:p>
    <w:p>
      <w:r>
        <w:t>42 The port of La Spezia currently does not offer Ro-Ro or Ro-Pax terminal services.</w:t>
      </w:r>
    </w:p>
    <w:p>
      <w:r>
        <w:t>BULLETIN NO. 9 OF MARCH 4, 2024 37</w:t>
      </w:r>
    </w:p>
    <w:p>
      <w:r>
        <w:t>Tab. 3: market shares of terminals (average rolling stock handled 2021-22)</w:t>
      </w:r>
    </w:p>
    <w:p>
      <w:r>
        <w:t>Including Marina di Compagnie</w:t>
      </w:r>
    </w:p>
    <w:p>
      <w:r>
        <w:t>Excluding MdC</w:t>
      </w:r>
    </w:p>
    <w:p>
      <w:r>
        <w:t>Carrara (MdC) served</w:t>
      </w:r>
    </w:p>
    <w:p>
      <w:r>
        <w:t>TSG</w:t>
      </w:r>
    </w:p>
    <w:p>
      <w:r>
        <w:t>[25-30] [25-30] Grimaldi</w:t>
      </w:r>
    </w:p>
    <w:p>
      <w:r>
        <w:t>(Gruppo Gavio)</w:t>
      </w:r>
    </w:p>
    <w:p>
      <w:r>
        <w:t>of which TSG concession</w:t>
      </w:r>
    </w:p>
    <w:p>
      <w:r>
        <w:t>[10-15] [10-15]</w:t>
      </w:r>
    </w:p>
    <w:p>
      <w:r>
        <w:t>on Ponte Somalia</w:t>
      </w:r>
    </w:p>
    <w:p>
      <w:r>
        <w:t>of which ATI Messina – San</w:t>
      </w:r>
    </w:p>
    <w:p>
      <w:r>
        <w:t>[15-20] [15-20]</w:t>
      </w:r>
    </w:p>
    <w:p>
      <w:r>
        <w:t>Giorgio (Ponte Libia)</w:t>
      </w:r>
    </w:p>
    <w:p>
      <w:r>
        <w:t>IMT</w:t>
      </w:r>
    </w:p>
    <w:p>
      <w:r>
        <w:t>Gruppo Messina,</w:t>
      </w:r>
    </w:p>
    <w:p>
      <w:r>
        <w:t>(Terminal business [0-5] [0-5]</w:t>
      </w:r>
    </w:p>
    <w:p>
      <w:r>
        <w:t>others</w:t>
      </w:r>
    </w:p>
    <w:p>
      <w:r>
        <w:t>Gruppo Messina)</w:t>
      </w:r>
    </w:p>
    <w:p>
      <w:r>
        <w:t>of which concession</w:t>
      </w:r>
    </w:p>
    <w:p>
      <w:r>
        <w:t>[0-5] [0-5]</w:t>
      </w:r>
    </w:p>
    <w:p>
      <w:r>
        <w:t>Ponte Ronco</w:t>
      </w:r>
    </w:p>
    <w:p>
      <w:r>
        <w:t>of which ATI Messina – San</w:t>
      </w:r>
    </w:p>
    <w:p>
      <w:r>
        <w:t>[0-5] [0-5]</w:t>
      </w:r>
    </w:p>
    <w:p>
      <w:r>
        <w:t>Giorgio</w:t>
      </w:r>
    </w:p>
    <w:p>
      <w:r>
        <w:t>Stazioni Marittime GNV, Moby,</w:t>
      </w:r>
    </w:p>
    <w:p>
      <w:r>
        <w:t>[25-30] [30-35]</w:t>
      </w:r>
    </w:p>
    <w:p>
      <w:r>
        <w:t>(gruppo MSC) Tirrenia, Cotunav</w:t>
      </w:r>
    </w:p>
    <w:p>
      <w:r>
        <w:t>Genoa Port Terminal</w:t>
      </w:r>
    </w:p>
    <w:p>
      <w:r>
        <w:t>[5-10] [5-10] Cotunav</w:t>
      </w:r>
    </w:p>
    <w:p>
      <w:r>
        <w:t>(Gruppo Spinelli)</w:t>
      </w:r>
    </w:p>
    <w:p>
      <w:r>
        <w:t>Savona Terminal Auto</w:t>
      </w:r>
    </w:p>
    <w:p>
      <w:r>
        <w:t>[25-30] [30-35] Grimaldi</w:t>
      </w:r>
    </w:p>
    <w:p>
      <w:r>
        <w:t>(gruppo Grimaldi)</w:t>
      </w:r>
    </w:p>
    <w:p>
      <w:r>
        <w:t>Forship [0-5] [0-5] Forship</w:t>
      </w:r>
    </w:p>
    <w:p>
      <w:r>
        <w:t>Grendi [5-10] -- Grendi</w:t>
      </w:r>
    </w:p>
    <w:p>
      <w:r>
        <w:t>53. From the available elements, it emerges that the activity of the ATI was divided operationally between the two partners, so that each of them maintained autonomy of conduct, and therefore of price, on the traffics managed under their own name. For this reason, it seems possible to attribute to each of them the movements carried out on the assets of the ATI of respective competence.</w:t>
      </w:r>
    </w:p>
    <w:p>
      <w:r>
        <w:t>54. TSG fairly evenly distributes its activity between the concession on Ponte Somalia (about [35-45%] of the total volumes handled) and those carried out on Ponte Libia, the part of the concession of ATI Messina-San Giorgio where TSG operates. Almost all of these volumes are realized with the Grimaldi group. AdSP-MLO has estimated a capacity of [2-3] million linear meters for all the assets managed by TSG, about 10 [5-15%] of which would be unused.</w:t>
      </w:r>
    </w:p>
    <w:p>
      <w:r>
        <w:t>55. IM&amp;C did not carry out rolling stock terminal activities in 2022 in the area of competence of the ATI, so the entire share of IM&amp;C in rolling stock is attributed to IMT. IMT, by virtue of the aforementioned shareholders' agreements, is subject to the exclusive control of Gruppo Messina. AdSP-MLO has estimated a capacity of [100,000-150,000] linear meters, considering the "tombing" of the Calata Derna basin and the full operation of the terminal. About [10-40%] of this capacity would be unused.</w:t>
      </w:r>
    </w:p>
    <w:p>
      <w:r>
        <w:t>56. Stazioni Marittime mainly operates in favor of the subsidiary GNV, which represents about two-thirds of the rolling stock handled by the terminal. The rest of the handled volumes is attributable to the Moby group43 (brands Moby and Tirrenia) and to a lesser extent to the Tunisian company Cotunav. The terminal, according to the Parties' estimates, would essentially not have unused capacity, to the point that GNV would occasionally use IMT and Genoa Port Terminal for the berthing of its Ro-Ro ships;</w:t>
      </w:r>
    </w:p>
    <w:p>
      <w:r>
        <w:t>57. According to the information acquired, there would be little unused capacity at the other terminals, with the exception of the Grendi terminal:</w:t>
        <w:br/>
        <w:t>- about [1-10%] of the capacity of Genoa Port Terminal would be unused;</w:t>
        <w:br/>
        <w:t>- Savona Terminal Auto would be almost saturated;</w:t>
        <w:br/>
        <w:t>- Forship would not have unused capacity, except during the winter months, due to the unavailability of two out of three docks; the available dock does not allow safe service to larger Ro-Ro ships;</w:t>
        <w:br/>
        <w:t>- the Grendi terminal, located in Marina di Carrara, would have significant unused capacity, slightly exceeding that of TSG.</w:t>
      </w:r>
    </w:p>
    <w:p>
      <w:r>
        <w:t>58. Overall, it can be estimated that less than 10% of the terminal capacity readily available on the market is unused and that it is concentrated in the terminal managed by TSG, subject to acquisition, and at the Grendi terminal in Marina di Carrara. In the short term, capacity could also be made available at the Reefer Terminal in Vado Ligure and at the Steinweg terminal, which each have one Ro-Ro dock, not usable for dimensional reasons by the latest generation Ro-Ro ships (e.g., ECO class of the Grimaldi group). The Reefer Terminal is the same size as Grendi but is half occupied by refrigerated warehouses; it currently does not accommodate scheduled Ro-Ro services and the availability of unused parking spaces is conditioned by the current traffic of fresh fruit (considered the most important terminal in the Mediterranean for this type of goods), breakbulk, and project cargo, which absorb most of the capacity. The Steinweg terminal has stated44 that it currently does not offer rolling stock freight terminal services, except in a completely sporadic manner, “considering the limited space in the terminal and the availability of only one ramp”; to offer such services, the terminal would need to build a second ramp (feasible in less than 6 months) and find new operational spaces, so as not to have to give up the services currently provided.</w:t>
      </w:r>
    </w:p>
    <w:p>
      <w:r>
        <w:t>IV.3.3. horizontal effects</w:t>
      </w:r>
    </w:p>
    <w:p>
      <w:r>
        <w:t>59. Prior to the concentration, the controlling entities of IM&amp;C held directly about 30% of rolling stock traffic and the related capacity, distributed as follows:</w:t>
        <w:br/>
        <w:t>- Gruppo Messina: about [0-5%], consisting of the traffic of the terminal business of IM&amp;C; no services for rolling stock were provided in 2022 by the area operationally managed by Gruppo Messina through IM&amp;C;</w:t>
        <w:br/>
        <w:t>- Marinvest: [25-30%] consisting of the goods handled by the Stazioni Marittime terminal.</w:t>
      </w:r>
    </w:p>
    <w:p>
      <w:r>
        <w:t>60. Following the concentration:</w:t>
        <w:br/>
        <w:t>- Gruppo Messina: will acquire full control of the operations carried out under the concession of ATI Messina – San Giorgio, as part of the Terminal Business defined by the shareholders' agreement.</w:t>
      </w:r>
    </w:p>
    <w:p>
      <w:r>
        <w:t>43 The Moby group is 49% owned by SAS, the controlling entity of Marinvest.</w:t>
      </w:r>
    </w:p>
    <w:p>
      <w:r>
        <w:t>44 Cf. prot. 104369 of 19/12/2023.</w:t>
      </w:r>
    </w:p>
    <w:p>
      <w:r>
        <w:rPr>
          <w:b/>
        </w:rPr>
        <w:t>[Pages 37–39]</w:t>
      </w:r>
    </w:p>
    <w:p>
      <w:r>
        <w:t>BULLETIN NO. 9 OF MARCH 4, 2024 39</w:t>
      </w:r>
    </w:p>
    <w:p>
      <w:r>
        <w:t>of the above, and therefore will add to the share of rolling stock held pre-merger (approximately [0-5%]) that held by TSG on Ponte Libia (approximately [15-20%]), reaching a share of just over [15-20%], based on the assumption that the management of Ponte Libia is under the complete control of TSG;</w:t>
      </w:r>
    </w:p>
    <w:p>
      <w:r>
        <w:t>- IM&amp;C: will acquire control of the TSG concession on Ponte Somalia, which holds a share of approximately [10-15%]; this concession is not part of the Terminal Business mentioned above and will therefore be subject to the joint control of Gruppo Messina and Marinvest;</w:t>
      </w:r>
    </w:p>
    <w:p>
      <w:r>
        <w:t>- Marinvest: [25-30%] constituted by the goods handled by the Stazioni Marittime terminal. After the concentration, the controlling entities of IM&amp;C will hold between [55-60%] and [60-65%] of the rolling stock traffic.</w:t>
      </w:r>
    </w:p>
    <w:p>
      <w:r>
        <w:t>61. The structural effect of the operation can be better appreciated net of the captive activities of Grendi, Forship, and Savona Terminal Auto, as well as the part of the movements of Stazioni Marittime related to GNV. Considering only the non-captive movements, pre-merger TSG held a share of approximately [60-65%], Stazioni Marittime a share of [15-20%], Genoa Port Terminal a share of approximately [15-20%], and Gruppo Messina approximately [1-5%]45. Post-merger, the share held by TSG will be divided between Gruppo Messina, which will hold a share of approximately [35-40%] (corresponding to the sum of Ponte Ronco and the ATI), and IM&amp;C (jointly controlled by Gruppo Messina and Marinvest), which will hold approximately [25-30%] (corresponding to the share of Ponte Somalia). Marinvest will become the leading operator, controlling – directly or jointly – approximately [45-50%] of the non-captive movements, doubling its market share.</w:t>
      </w:r>
    </w:p>
    <w:p>
      <w:r>
        <w:t>62. From a structural point of view, the operation will involve the acquisition of the most important third-party terminal operator in the port of Genoa, one of the few with significant unused capacity, eliminating a competitive constraint on the prices of terminal services for rolling stock in the relevant market.</w:t>
      </w:r>
    </w:p>
    <w:p>
      <w:r>
        <w:t>IV.3.4. vertical effects</w:t>
      </w:r>
    </w:p>
    <w:p>
      <w:r>
        <w:t>63. All terminal services for rolling stock provided by TSG are rendered in favor of the Grimaldi Group46. Considering that the MSC group will hold a market share exceeding 30% in the terminal services for rolling stock market, all maritime transport markets for rolling stock vertically connected to it are affected by the concentration under examination.</w:t>
      </w:r>
    </w:p>
    <w:p>
      <w:r>
        <w:t>64. In these markets, as shown in Table 4, Grimaldi operates from the areas managed by TSG (ATI/Ponte Libia and Ponte Somalia) various routes in competition with GNV, a company controlled by Marinvest that operates from Stazioni Marittime.</w:t>
      </w:r>
    </w:p>
    <w:p>
      <w:r>
        <w:t xml:space="preserve">45 The entire share of Messina has been considered non-captive.  </w:t>
        <w:br/>
        <w:t>46 Grimaldi Euromed S.p.A. and, until 2021, Grimaldi Deep Sea S.p.A. The latter operated on a route to West Africa, later moved to the port of Savona, which represented 1.3% of the Ro-Ro traffic volumes (excluding new cars) handled by the TSG terminal.</w:t>
      </w:r>
    </w:p>
    <w:p>
      <w:r>
        <w:t>40 BULLETIN NO. 9 OF MARCH 4, 2024</w:t>
      </w:r>
    </w:p>
    <w:p>
      <w:r>
        <w:t>Table 4: routes operated in competition by Grimaldi and GNV, by Terminal</w:t>
      </w:r>
    </w:p>
    <w:p>
      <w:r>
        <w:t xml:space="preserve">TSG GPT Stazioni Marittime STA  </w:t>
        <w:br/>
        <w:t xml:space="preserve">Grimaldi  </w:t>
        <w:br/>
        <w:t xml:space="preserve">Genova - Catania (Ro-Ro)  </w:t>
        <w:br/>
        <w:t xml:space="preserve">Grimaldi GNV (Ro-Ro)  </w:t>
        <w:br/>
        <w:t xml:space="preserve">Genova - Palermo (Ro-Ro) Ro/Pax)  </w:t>
        <w:br/>
        <w:t xml:space="preserve">Genova - Porto Grimaldi GNV (Ro- Moby/CIN  </w:t>
        <w:br/>
        <w:t xml:space="preserve">Torres (Ro-Ro) Ro/Pax) (Ro-Ro/Pax)  </w:t>
        <w:br/>
        <w:t xml:space="preserve">GNV (Ro- Moby/CIN  </w:t>
        <w:br/>
        <w:t xml:space="preserve">Genova - Olbia Ro/Pax) (Ro-Ro/Pax)  </w:t>
        <w:br/>
        <w:t xml:space="preserve">Grimaldi  </w:t>
        <w:br/>
        <w:t xml:space="preserve">Genova - Cagliari (Ro-Ro)  </w:t>
        <w:br/>
        <w:t xml:space="preserve">Grimaldi CoTuNav CoTuNav GNV (Ro-  </w:t>
        <w:br/>
        <w:t xml:space="preserve">Genova - Tunisi (Ro-Ro) (Ro-Ro) (Ro-Ro/Pax) Ro/Pax)  </w:t>
        <w:br/>
        <w:t xml:space="preserve">Grimaldi GNV (Ro-  </w:t>
        <w:br/>
        <w:t xml:space="preserve">Genova - Malta (Ro-Ro) Ro/Pax)  </w:t>
        <w:br/>
        <w:t xml:space="preserve">Grimaldi  </w:t>
        <w:br/>
        <w:t xml:space="preserve">Genova - Salerno (Ro-Ro)  </w:t>
        <w:br/>
        <w:t xml:space="preserve">Genova - Barcellona - GNV (Ro-  </w:t>
        <w:br/>
        <w:t xml:space="preserve">Tangeri Ro/Pax)  </w:t>
        <w:br/>
        <w:t xml:space="preserve">Savona - Barcellona - Grimaldi  </w:t>
        <w:br/>
        <w:t xml:space="preserve">Tangeri (Ro-Ro)  </w:t>
        <w:br/>
        <w:t xml:space="preserve">Savona - Barcellona - Grimaldi  </w:t>
        <w:br/>
        <w:t xml:space="preserve">Valencia - Livorno (Ro-Ro)  </w:t>
        <w:br/>
        <w:t xml:space="preserve">Grimaldi  </w:t>
        <w:br/>
        <w:t xml:space="preserve">Savona - Porto Torres (Ro-  </w:t>
        <w:br/>
        <w:t xml:space="preserve">(suspended in 2023)  </w:t>
        <w:br/>
        <w:t xml:space="preserve">Ro/Pax)  </w:t>
        <w:br/>
        <w:t>TSG: Terminal San Giorgio (ATI/Ponte Libia + Ponte Somalia); GPT: Genoa Port Terminal; STA: Savona Terminal Auto</w:t>
      </w:r>
    </w:p>
    <w:p>
      <w:r>
        <w:t>65. Based on national and community practice, in maritime transport of goods, markets are identified according to the origin/destination approach, in terms of bundles of routes connecting ports deemed substitutable.</w:t>
      </w:r>
    </w:p>
    <w:p>
      <w:r>
        <w:t>66. In light of the Authority's precedents, the considerations previously made on the relevant market of terminal services for rolling stock, and the information provided by the Parties in the Form, it is possible to identify in a first approximation the following bundles of routes to/from the terminals in the relevant market47 on which GNV and Grimaldi operate in competition:</w:t>
      </w:r>
    </w:p>
    <w:p>
      <w:r>
        <w:t>- Genova/Savona/Vado – Palermo/Termini Imerese, which includes the routes Genova – Palermo and Genova – Termini Imerese;</w:t>
      </w:r>
    </w:p>
    <w:p>
      <w:r>
        <w:t>47 From Marina di Carrara, only a service to Cagliari is operated, carried out by Grendi. For simplicity, only the terminals in the Genova/Savona/Vado Ligure area have therefore been considered.</w:t>
      </w:r>
    </w:p>
    <w:p>
      <w:r>
        <w:t>BULLETIN NO. 9 OF MARCH 4, 2024 41</w:t>
      </w:r>
    </w:p>
    <w:p>
      <w:r>
        <w:t>- Genova/Savona/Vado – Northern Sardinia48, which includes the routes Genova – Porto Torres, Genova – Olbia, Savona – Porto Torres;</w:t>
      </w:r>
    </w:p>
    <w:p>
      <w:r>
        <w:t>- Genova/Savona/Vado – Tunis, which includes the route Genova – Tunis;</w:t>
      </w:r>
    </w:p>
    <w:p>
      <w:r>
        <w:t>- Genova/Savona/Vado – Malta, which includes the route Genova – Malta;</w:t>
      </w:r>
    </w:p>
    <w:p>
      <w:r>
        <w:t>- Genova/Savona/Vado – Barcelona, which includes the routes from Genova to Barcelona-Tangeri and Barcelona-Valencia.</w:t>
      </w:r>
    </w:p>
    <w:p>
      <w:r>
        <w:t>67. The Parties have argued in the Form that the ports of western and eastern Sicily would constitute a single relevant market, such that the bundle of routes connecting Genova/Savona/Vado not only to Palermo/Termini Imerese but also to Catania should be considered. Only as a secondary option have they proposed a differentiation between the ports of western Sicily and those of eastern Sicily, which would place the routes to Catania and Palermo in different relevant markets. In reality, the ports of Palermo and Catania are approximately 200 km apart, a distance that can be covered in no less than 2h30’ incurring an extra cost of at least 60 euros, well above the difference in freight from the Ligurian ports to one of the Sicilian ports. These elements suggest that the ports of Palermo and Catania should belong to different bundles of routes. However, this issue may be further examined during the investigation. Below, the market shares on the bundle of routes preferred by the Parties will also be highlighted.</w:t>
      </w:r>
    </w:p>
    <w:p>
      <w:r>
        <w:t>68. Based on the information currently available, the market shares of the operators present on these bundles of routes are as follows:</w:t>
      </w:r>
    </w:p>
    <w:p>
      <w:r>
        <w:t>Table 5: market shares on the routes operated in competition by Grimaldi and GNV (linear meters)</w:t>
      </w:r>
    </w:p>
    <w:p>
      <w:r>
        <w:t xml:space="preserve">2021 2022  </w:t>
        <w:br/>
        <w:t xml:space="preserve">GNV Moby-Tirrenia Grimaldi GNV Moby-Tirrenia Grimaldi  </w:t>
        <w:br/>
        <w:t xml:space="preserve">Genova – Olbia [10-15] [85-90] [0-5] [20-25] [75-80] [0-5]  </w:t>
        <w:br/>
        <w:t xml:space="preserve">Genova – Porto Torres [0-5] [75-80] [15-20] [10-15] [70-75] [15-20]  </w:t>
        <w:br/>
        <w:t xml:space="preserve">Savona – Porto Torres - - - - - 100  </w:t>
        <w:br/>
        <w:t xml:space="preserve">Genova/Savona –  </w:t>
        <w:br/>
        <w:t xml:space="preserve">[0-5] [70-75] [20-25] [10-15] [65-70] [15-20]  </w:t>
        <w:br/>
        <w:t xml:space="preserve">Porto Torres / Olbia  </w:t>
        <w:br/>
        <w:t xml:space="preserve">GNV Grimaldi GNV Grimaldi  </w:t>
        <w:br/>
        <w:t xml:space="preserve">Genova - Palermo [75-80] [20-25] [65-70] [30-35]  </w:t>
        <w:br/>
        <w:t xml:space="preserve">Genova – Palermo /  </w:t>
        <w:br/>
        <w:t xml:space="preserve">[45-50] [50-55] [40-45] [55-60]  </w:t>
        <w:br/>
        <w:t xml:space="preserve">Catania  </w:t>
        <w:br/>
        <w:t xml:space="preserve">Genova - Malta [35-40] [60-65] [40-45] [55-60]  </w:t>
        <w:br/>
        <w:t xml:space="preserve">Genova / Savona -  </w:t>
        <w:br/>
        <w:t xml:space="preserve">[0-5] [95-100] [0-5] [95-100]  </w:t>
        <w:br/>
        <w:t xml:space="preserve">Barcelona  </w:t>
        <w:br/>
        <w:t xml:space="preserve">GNV Cotunav Grimaldi GNV Cotunav Grimaldi  </w:t>
        <w:br/>
        <w:t xml:space="preserve">Genova - Tunisi [20-25] [70-75] [5-10] [15-20] [70-75] [5-10]  </w:t>
        <w:br/>
        <w:t>48 See A487, cited.</w:t>
      </w:r>
    </w:p>
    <w:p>
      <w:r>
        <w:rPr>
          <w:b/>
        </w:rPr>
        <w:t>[Pages 40–42]</w:t>
      </w:r>
    </w:p>
    <w:p>
      <w:r>
        <w:t>42 BULLETIN NO. 9 OF MARCH 4, 2024</w:t>
      </w:r>
    </w:p>
    <w:p>
      <w:r>
        <w:t>69. The routes affected by the potential vertical effects of the concentration, due to the upstream share held by Marinvest in the market for terminal services for rolling stock or the market shares held by the MSC group on the individual route bundle, are as follows:</w:t>
        <w:br/>
        <w:t>a) the route bundle connecting Genoa with Palermo (and possibly with Catania), where GNV holds a market share exceeding [65-70%] ([40-45%] if Catania is also considered);</w:t>
        <w:br/>
        <w:t>b) the route bundle connecting Genoa with Malta, where GNV holds a share exceeding [40-45%], increasing between 2021 and 2022;</w:t>
        <w:br/>
        <w:t>c) the route bundle connecting Genoa with northern Sardinia, where both GNV, with limited shares, and the Moby group operate, of which SAS Shipping Agencies Services S.A., the direct parent company of Marinvest, holds 49% of the share capital.</w:t>
      </w:r>
    </w:p>
    <w:p>
      <w:r>
        <w:t>70. These route bundles represent approximately [90-95%] of the volumes handled by GNV from Genoa and between [35-40%] and [80-85%] (including Genoa-Catania) of the volumes handled by Grimaldi on TSG.</w:t>
      </w:r>
    </w:p>
    <w:p>
      <w:r>
        <w:t>71. Assuming that Grimaldi's traffic is distributed between the ATI and the TSG concession on Ponte Somalia in the same way for all routes, it can be estimated that the routes in question represent between [20-25%] and [40-45%] (including Catania) of the traffic developed by Grimaldi on Ponte Somalia.</w:t>
      </w:r>
    </w:p>
    <w:p>
      <w:r>
        <w:t>72. The elements acquired so far lead to the conclusion that Marinvest has the ability to exclude from the markets of maritime transport of rolling stock, due to the fact that the assets granted to TSG on Ponte Somalia, which as a result of this concentration will be subject to the joint control of Marinvest and which accounts for approximately [40-45%] of the rolling stock traffic developed by Grimaldi in the port of Genoa, is not easily replaceable for the Grimaldi group. In fact, the ATI Messina-San Giorgio terminal does not have sufficient capacity to accommodate the traffic carried on Ponte Somalia, and there would not be sufficient unused capacity to replace that of the Ponte Somalia assets at other terminals in the ports of Genoa and Savona, of Vado Ligure49 and of Marina di Carrara50.</w:t>
      </w:r>
    </w:p>
    <w:p>
      <w:r>
        <w:t>73. Regarding the incentive to exclude by Marinvest, it could exist in the form of partial exclusion51, that is, in the form of an increase in costs for the rival Grimaldi or the limitation of the spaces available to it.</w:t>
      </w:r>
    </w:p>
    <w:p>
      <w:r>
        <w:t>74. In fact, precisely due to the irreplaceability for Grimaldi of the terminal areas managed by TSG, the latter could not shift its traffic to another terminal in the face of an increase in the prices of terminal services charged in those areas. Therefore, Grimaldi would be forced to increase the cost of its services to end customers, becoming immediately less competitive against GNV, or to reduce its margins and thus the funds available to support its competitiveness in the medium to long term.</w:t>
      </w:r>
    </w:p>
    <w:p>
      <w:r>
        <w:t>49 The Vado Ligure terminal would have neither sufficient capacity nor characteristics to allow the replacement of the Ponte Somalia terminal or the docking of ECO class ships of the Grimaldi group.</w:t>
      </w:r>
    </w:p>
    <w:p>
      <w:r>
        <w:t>50 The Marina di Carrara terminal, although capable of serving ECO class ships, would not have sufficient capacity to replace the TSG terminal at Ponte Somalia and in any case its use would impose higher costs on Grimaldi's customers.</w:t>
      </w:r>
    </w:p>
    <w:p>
      <w:r>
        <w:t>51 An explicit and total exclusion in the form of a denial of access to the terminal does not seem feasible, as Grimaldi represents over [90-100%] of the Ro-Ro traffic of TSG and it would be impossible to completely replace it in a short time.</w:t>
      </w:r>
    </w:p>
    <w:p>
      <w:r>
        <w:t>75. The existence of an incentive to exclude by Marinvest appears confirmed by the comparison between the profitability of the terminal services offered by TSG and the profitability of the maritime transport of goods operated by GNV on the routes overlapping with Grimaldi. The EBITDA per linear meter handled (new cars excluded) by TSG on Ponte Libia and on Ponte Somalia was below [0-5] euros in 2021-22. The EBITDA per linear meter transported by GNV on both the Genoa-Palermo and Genoa-Malta routes was significantly higher than that achieved by TSG [omitted]. This means that, from Marinvest's perspective, the reduction in profits on TSG resulting from a potential reduction in Grimaldi's rolling stock traffic could be more than compensated by the higher profits of GNV, assuming that customers leaving Grimaldi are largely recaptured by GNV, the only competitor on the routes to Sicily and Malta.</w:t>
      </w:r>
    </w:p>
    <w:p>
      <w:r>
        <w:t>76. However, it is also necessary to consider the incentives of the Messina Group – which through IM&amp;C will hold joint control with Marinvest of the terminal granted to TSG on Ponte Somalia – to support a strategy aimed at disadvantaging its main customer Grimaldi. An increase in the price of the terminal service of TSG on Ponte Somalia towards Grimaldi could result in an increase in the freight that Grimaldi charges to its trucking customers and thus a reduction in the goods transported by Grimaldi, from which GNV could benefit. This would lead to a reduction in revenues for TSG and therefore for the Messina Group, due to the reduction in the quantities transported by Grimaldi from Ponte Somalia. However, this reduction could be compensated by Marinvest shifting GNV's Ro-Ro traffic from the (congested) Maritime Stations to the ATI Messina – San Giorgio terminal and the TSG terminal at Ponte Somalia. In this way, the Messina Group could be compensated for the loss of Grimaldi's volumes, which would align the incentives with those of Marinvest.</w:t>
      </w:r>
    </w:p>
    <w:p>
      <w:r>
        <w:t>77. Ultimately, Marinvest appears to have the capacity and incentive to increase the price of TSG services to competitors in the maritime transport of rolling stock.</w:t>
      </w:r>
    </w:p>
    <w:p>
      <w:r>
        <w:t>CONSIDERING, therefore, that the operation in question appears likely to significantly hinder effective competition, pursuant to Article 6, paragraph 1, of Law No. 287/1990, also due to the establishment of a dominant position, in the market for terminal services for rolling stock and in some vertically related markets of maritime transport of rolling stock;</w:t>
      </w:r>
    </w:p>
    <w:p>
      <w:r>
        <w:t>RESOLVES</w:t>
        <w:br/>
        <w:t>a) to initiate the investigation, pursuant to Article 16, paragraph 4, of Law No. 287/1990, against the companies Ignazio Messina &amp; C. S.p.A. and Terminal San Giorgio S.r.l.;</w:t>
        <w:br/>
        <w:t>b) to set a deadline of ten days, starting from the date of notification of this measure, for the exercise by the legal representatives of the Parties, or by persons delegated by them, of the right to be heard, pursuant to Article 14, paragraph 1, of Law No. 287/1990, specifying that the request for a hearing must be received by the Transport, Energy and Environment Directorate of the Competition Department 2 of this Authority at least three days before the expiration of the above-mentioned deadline;</w:t>
      </w:r>
    </w:p>
    <w:p>
      <w:r>
        <w:t>44 BULLETIN NO. 9 OF MARCH 4, 2024</w:t>
      </w:r>
    </w:p>
    <w:p>
      <w:r>
        <w:t>c) that the person responsible for the procedure is Dr. Fabio Massimo Esposito;</w:t>
        <w:br/>
        <w:t>d) that the acts of the procedure can be viewed at the Transport, Energy and Environment Directorate of the Competition Department 2 of this Authority by the legal representatives of the Parties, as well as by persons with a legally relevant interest or by persons delegated by them;</w:t>
        <w:br/>
        <w:t>e) that the procedure must be concluded within ninety days from the date of resolution of this measure.</w:t>
      </w:r>
    </w:p>
    <w:p>
      <w:r>
        <w:t>This measure will be published in the Bulletin of the Italian Competition Authority.</w:t>
      </w:r>
    </w:p>
    <w:p>
      <w:r>
        <w:t>THE SECRETARY GENERAL THE PRESIDENT</w:t>
        <w:br/>
        <w:t>Guido Stazi Roberto Rustichelli</w:t>
      </w:r>
    </w:p>
    <w:p>
      <w:r>
        <w:rPr>
          <w:b/>
        </w:rPr>
        <w:t>[Pages 43–45]</w:t>
      </w:r>
    </w:p>
    <w:p>
      <w:r>
        <w:t>BULLETIN NO. 9 OF MARCH 4, 2024 45</w:t>
      </w:r>
    </w:p>
    <w:p>
      <w:r>
        <w:t>REPORTING AND CONSULTATIVE ACTIVITIES</w:t>
      </w:r>
    </w:p>
    <w:p>
      <w:r>
        <w:t>AS1940 - ALTO CALORE SERVIZI - AWARD OF POSTAL SERVICES FOR THE SENDING OF BILLS RELATED TO THE INTEGRATED WATER SERVICE</w:t>
      </w:r>
    </w:p>
    <w:p>
      <w:r>
        <w:t>Rome, December 11, 2023</w:t>
      </w:r>
    </w:p>
    <w:p>
      <w:r>
        <w:t>Alto Calore Servizi S.p.A.</w:t>
      </w:r>
    </w:p>
    <w:p>
      <w:r>
        <w:t>The Italian Competition Authority, in its meeting on December 5, 2023, resolved to express its opinion, pursuant to Article 21-bis of Law No. 287 of October 10, 1990, regarding the announcement related to the public tender for the award of the "service of processing, printing, enveloping, and delivery of invoices, payment reminders/warnings, and all other communications related to the Integrated Water Service for the served Users as well as the accounting of the related processing phases" (CIG 9930739113), issued by this contracting authority and any other act presumed and consequent to it.</w:t>
      </w:r>
    </w:p>
    <w:p>
      <w:r>
        <w:t>In general terms, it is noted that the public procedure in question, as defined by the tender documentation, presents some profiles of competitive restrictiveness, such as to conflict with the principles of free competition, equal treatment, and non-discrimination among economic operators. Such competitive restrictions are not proportionate nor justified and necessary for the pursuit of the public objective that this contracting authority aims to achieve.</w:t>
      </w:r>
    </w:p>
    <w:p>
      <w:r>
        <w:t>Specifically, it is prejudicial, from a competitive standpoint, the provision for the award through a single lot of a multiplicity of services related both to an upstream phase concerning the actual postal delivery and to a downstream phase. In this regard, Article 58 of the new Public Contracts Code (Legislative Decree No. 36/2023, hereinafter also "new Code")1 is relevant, which, regarding the necessity to subdivide the contract into lots as well as to provide adequate justification otherwise, substantially maintains the same provisions as Article 51 of the previous Public Contracts Code (Legislative Decree No. 50/2016)2.</w:t>
      </w:r>
    </w:p>
    <w:p>
      <w:r>
        <w:t>1 "1. To ensure the effective participation of micro, small, and medium enterprises, including local ones, contracts are divided into functional, performance, or quantitative lots in accordance with categories or specializations in the field of works, services, and supplies. 2. In the tender or in the notice of the call for tenders, contracting authorities justify the lack of subdivision of the contract into lots taking into account the European principles on promoting equal competitive conditions for small and medium enterprises. In the case of subdivision into lots, the related value must be adjusted to ensure the effective possibility of participation by micro, small, and medium enterprises. [...]".</w:t>
      </w:r>
    </w:p>
    <w:p>
      <w:r>
        <w:t>2 "1. In compliance with community regulations on public procurement, both in ordinary and special sectors, to promote access for micro, small, and medium enterprises, contracting authorities divide contracts into functional lots as per Article 3, paragraph 1, letter q), or into performance lots as per Article 3, paragraph 1, letter g), in accordance with categories or specializations in the field of works, services, and supplies. Contracting authorities justify the lack of subdivision of the contract into lots in the tender notice or in the invitation letter and in the single report referred to in Articles 99 and 139. In the case of subdivision into lots, the related value must be adjusted to ensure the effective possibility of participation by micro, small, and medium enterprises. [...]".</w:t>
      </w:r>
    </w:p>
    <w:p>
      <w:r>
        <w:t>46 BULLETIN NO. 9 OF MARCH 4, 2024</w:t>
      </w:r>
    </w:p>
    <w:p>
      <w:r>
        <w:t>The regulations therefore generally provide for an obligation of subdivision into lots by contracting authorities. In this regard, in particular, the national legislator, in implementing Article 46 of Directive 2014/24/EU on public procurement, has opted to ensure to the greatest possible extent the favor participationis towards micro, small, and medium enterprises with reference to the public procurement market, a principle that cannot be unjustifiably compressed as instead occurred regarding the tender in question.</w:t>
      </w:r>
    </w:p>
    <w:p>
      <w:r>
        <w:t>The obligation to subdivide into lots may not be fulfilled by contracting authorities only where they provide adequate justification regarding the choice to aggregate the various services, works, or supplies, "in the tender or in the notice of the call for tenders" (Article 58 of the aforementioned new Code).</w:t>
      </w:r>
    </w:p>
    <w:p>
      <w:r>
        <w:t>In this case, the regulatory provision is not respected at its root: no justification is indeed present in the tender or in the remaining tender documentation.</w:t>
      </w:r>
    </w:p>
    <w:p>
      <w:r>
        <w:t>Nor can the justification put forth by this contracting authority, moreover in the form of a response to a clarification request submitted by an operator, be considered adequate. The reasons supporting the choice of a single lot appear generic and without any balanced, proportionate, and reasonable weighing of the public interests involved in the award of the contract - particularly with reference to the possibility of participation by medium-small enterprises or, in any case, those not vertically integrated at the various levels of the supply chain involved in the services put out to tender - and, therefore, are not sufficient to counterbalance the negative effects that arise from such a provision in competitive terms.</w:t>
      </w:r>
    </w:p>
    <w:p>
      <w:r>
        <w:t>In other words, the provision of a single lot, moreover in relation to a procedure of rather significant amount (equal to approximately 4.7 million euros plus VAT), is contrary to the favor of the European and Italian legislator for the subdivision of contracts into lots, an element that becomes an obligation that can only be derogated from based on specific and adequate justification expressed in the tender documentation, a circumstance that, as mentioned, is not found in this case.</w:t>
      </w:r>
    </w:p>
    <w:p>
      <w:r>
        <w:t>This is particularly in light of the need, from a competition protection perspective, to facilitate access to the market for small and medium enterprises (in this case, particularly present in the upstream activities of processing, printing, and enveloping), also through a reduction in the value of contracts.</w:t>
      </w:r>
    </w:p>
    <w:p>
      <w:r>
        <w:t>The above should have led this contracting authority to favor a tender design compatible with a division into multiple functional lots, at least two in the case at hand - one related to the actual delivery activities of invoices and other communications related to the water service (to which the downstream activity of accounting may possibly be added), and another related to the upstream phase, namely the services of processing, printing, and enveloping - or, in any case, in such a number as to outline homogeneous functional lots by type of service to be rendered.</w:t>
      </w:r>
    </w:p>
    <w:p>
      <w:r>
        <w:t>This is to avoid unjustifiably restricting participation in the tender by operators in the sector, to the detriment of the principles of competition, favor participationis, reasonableness, and proportionality.</w:t>
      </w:r>
    </w:p>
    <w:p>
      <w:r>
        <w:t>With specific reference to the provision of postal delivery services (and possibly accounting), the aforementioned principles should have led this contracting authority to also foresee a subdivision into geographical lots, in this case at least two: one lot referring to the Campania Region, that is, the region of reference for the activity carried out by the contracting authority (which is concentrated in the provinces of Benevento and Avellino), and another lot for the remaining destinations in the Italian territory.</w:t>
      </w:r>
    </w:p>
    <w:p>
      <w:r>
        <w:t>Secondly, the provision of the prohibition of subcontracting3 is relevant. This prohibition introduces - all the more so in a context, such as the one examined here, of a single lot for a plurality of services - an additional unjustified obstacle to the participation of smaller operators in the public procedure and, therefore, constitutes an additional competitive issue. In fact, it is particularly these operators, generally active at only one level of the production chain and therefore not vertically integrated, who may need to subcontract activities related to other levels.</w:t>
      </w:r>
    </w:p>
    <w:p>
      <w:r>
        <w:t>Thus, the provision of an absolute prohibition on subcontracting, within the special rules of the public procedure for the award of the services in question, introduces an unjustified limitation on the participation of small and medium enterprises in the public procurement market, and is incompatible with the public purposes of a community nature that inspire Article 119 of the new Code.</w:t>
      </w:r>
    </w:p>
    <w:p>
      <w:r>
        <w:t>It is also worth noting that the contested provisions are detrimental to the contracting authority itself, potentially deprived of a portion of economic operators who could be qualified to perform some partial assignments (merchandised and/or geographically), but not the entire range of services required throughout the national territory. The market selection would therefore be made on a subset of potential subjects (in fact, predominantly vertically integrated operators active throughout the national scope, such as the outgoing contractor), thus potentially jeopardizing the achievement of the optimal outcome of the selective procedure in terms of quality/price of the purchased postal services.</w:t>
      </w:r>
    </w:p>
    <w:p>
      <w:r>
        <w:t>In conclusion, the overall elements detailed above appear to constitute an undue, unnecessary, and disproportionate, as well as significant obstacle to the widest participation in the tender procedure in question, likely to conflict with the principles of competition, equal treatment, and non-discrimination among economic operators.</w:t>
      </w:r>
    </w:p>
    <w:p>
      <w:r>
        <w:t>In particular, the Authority believes that, in relation to the highlighted profiles, the aforementioned provisions of the public tender procedure issued by Alto Calore Servizi S.p.A. - for the award of the services of processing, printing, enveloping, and delivery of invoices, payment reminders/warnings, and all other communications related to the Integrated Water Service, as well as accounting of the related processing phases - are likely to be in potential conflict with the norms and principles protecting competition and the market, and in particular with Article 41 of the Constitution and with Articles 49 and 56 of the Treaty on the Functioning of the European Union (TFEU), as well as with the principles established by Articles 1, 3, 10, 58, and 119 of Legislative Decree No. 36/2023.</w:t>
      </w:r>
    </w:p>
    <w:p>
      <w:r>
        <w:t>3 Article 6.9 of the Tender Regulations and Article 4 of the Tender Specifications.</w:t>
      </w:r>
    </w:p>
    <w:p>
      <w:r>
        <w:rPr>
          <w:b/>
        </w:rPr>
        <w:t>[Pages 46–48]</w:t>
      </w:r>
    </w:p>
    <w:p>
      <w:r>
        <w:t>48 BULLETIN NO. 9 OF MARCH 4, 2024</w:t>
      </w:r>
    </w:p>
    <w:p>
      <w:r>
        <w:t>Pursuant to Article 21-bis, paragraph 2, of Law No. 287/1990, therefore, this Company must communicate to the Authority, within sixty days from the receipt of this opinion, the initiatives taken to remove the aforementioned competition violations. If within the aforementioned period such initiatives do not comply with the competition principles expressed above, the Authority may file an appeal within the following thirty days.</w:t>
      </w:r>
    </w:p>
    <w:p>
      <w:r>
        <w:t>THE PRESIDENT</w:t>
        <w:br/>
        <w:t>Roberto Rustichelli</w:t>
      </w:r>
    </w:p>
    <w:p>
      <w:r>
        <w:t>_______________________________________________________________________</w:t>
      </w:r>
    </w:p>
    <w:p>
      <w:r>
        <w:t>Announcement regarding the Authority's decision not to appeal against the documentation of the public tender procedure called by the company Alto Calore Servizi S.p.A. for the assignment of processing, printing, enveloping, and delivery services of invoices, payment reminders/warnings, and all other communications related to the Integrated Water Service for the served Users, as well as reporting on the related processing phases.</w:t>
      </w:r>
    </w:p>
    <w:p>
      <w:r>
        <w:t>In its meeting of December 5, 2023, the Italian Competition Authority resolved to send to the company Alto Calore Servizi S.p.A. a reasoned opinion, pursuant to Article 21-bis of Law No. 287 of October 10, 1990, regarding the public tender procedure called for the assignment of the above-mentioned services, and any other act presumed and consequent to it.</w:t>
      </w:r>
    </w:p>
    <w:p>
      <w:r>
        <w:t>In particular, the Italian Competition Authority noted that competitive restrictions could arise from certain provisions contained in the tender documentation, particularly with reference to the penalization of operators not vertically integrated in the various phases of the services put out to tender, especially those of smaller size, in a market context characterized, as is known, by a recent phase of opening and liberalization. From a competitive standpoint, the provision for the assignment of multiple services through a single lot was particularly detrimental. Furthermore, the provision prohibiting subcontracting also represented an additional, unjustified obstacle to the participation of smaller operators in the public procedure in question.</w:t>
      </w:r>
    </w:p>
    <w:p>
      <w:r>
        <w:t>Following the receipt of the aforementioned reasoned opinion, the company Alto Calore Servizi S.p.A., with communication received on February 12, 2024, provided the Authority with the necessary feedback to respond to the observations made in the opinion itself. Specifically, the contracting authority formally communicated its decision to revoke the tender in question, committing to subsequently issue a new tender compliant with public procurement regulations.</w:t>
      </w:r>
    </w:p>
    <w:p>
      <w:r>
        <w:t>49 BULLETIN NO. 9 OF MARCH 4, 2024</w:t>
      </w:r>
    </w:p>
    <w:p>
      <w:r>
        <w:t>Taking note of the feedback provided, the Italian Competition Authority, in its meeting of February 20, 2024, deemed that the grounds for a possible appeal before the Administrative Judge against the acts contested in the aforementioned reasoned opinion had ceased to exist.</w:t>
      </w:r>
    </w:p>
    <w:p>
      <w:r>
        <w:t>50 BULLETIN NO. 9 OF MARCH 4, 2024</w:t>
      </w:r>
    </w:p>
    <w:p>
      <w:r>
        <w:t>AS1941 - MUNICIPALITY OF TARANTO - SPL 2023 REVIEW</w:t>
      </w:r>
    </w:p>
    <w:p>
      <w:r>
        <w:t>Rome, February 16, 2024</w:t>
      </w:r>
    </w:p>
    <w:p>
      <w:r>
        <w:t>Municipality of Taranto</w:t>
      </w:r>
    </w:p>
    <w:p>
      <w:r>
        <w:t>The Italian Competition Authority, in its meeting of February 13, 2024, resolved to make some observations pursuant to Article 21 of Law No. 287/1990 regarding the report adopted by this Municipality under Article 30 of Legislative Decree No. 201/2022 (concerning the "Reorganization of the regulation of local public services of economic significance"), containing the review of the management situation of local public services of economic significance entrusted within the territory of competence1.</w:t>
      </w:r>
    </w:p>
    <w:p>
      <w:r>
        <w:t>According to Article 30, paragraph 1, of Legislative Decree No. 201/2022, this review must ascertain the actual performance of each local public service entrusted by the competent entities, from the economic standpoint,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review must also indicate the extent of recourse to in-house assignments and the burdens and results borne by the contracting entities.</w:t>
      </w:r>
    </w:p>
    <w:p>
      <w:r>
        <w:t>The new Legislative Decree No. 201/2022 thus aimed to make the results of the management of local public services more transparent, assigning to the entities the task of verifying that the conditions for offering the service are sustainable over time from an economic and financial standpoint and such as to ensure, also from a qualitative perspective, the satisfaction of users' needs.</w:t>
      </w:r>
    </w:p>
    <w:p>
      <w:r>
        <w:t>From the analysis of the report adopted by this Municipality and published on the ANAC portal, some critical issues and shortcomings emerge, particularly regarding the management of urban hygiene services, in relation to the evaluation elements required by the aforementioned Article 30, paragraph 1, of Legislative Decree No. 201/2022.</w:t>
      </w:r>
    </w:p>
    <w:p>
      <w:r>
        <w:t>The service in question has historically been carried out under concession by the company Amiu S.p.A. (now Kyma Ambiente S.p.A.), wholly owned by this Entity, and whose current service contract, lasting five years, will expire on November 24, 2025.</w:t>
      </w:r>
    </w:p>
    <w:p>
      <w:r>
        <w:t>From an economic perspective, there is primarily a lack of information regarding the economic-financial balance of the management, tariff revenues, and compensations for service obligations borne by public resources. Furthermore, it appears that the company Kyma Ambiente S.p.A. closed the financial year 2022 with a loss.</w:t>
      </w:r>
    </w:p>
    <w:p>
      <w:r>
        <w:t>1 The aforementioned report was published on the portal dedicated to the Transparency of Local Public Services ("Transparency SPL") of the National Anti-Corruption Authority on December 22, 2023.</w:t>
      </w:r>
    </w:p>
    <w:p>
      <w:r>
        <w:rPr>
          <w:b/>
        </w:rPr>
        <w:t>[Pages 49–51]</w:t>
      </w:r>
    </w:p>
    <w:p>
      <w:r>
        <w:t>BULLETIN NO. 9 OF MARCH 4, 2024 51</w:t>
      </w:r>
    </w:p>
    <w:p>
      <w:r>
        <w:t>Regarding the obligations undertaken in the service contract, the aforementioned report indicates only two, which, moreover, are found to be unmet. In particular, it emerges that the minimum volumes of separate waste collection (hereinafter, "RD") should have been set at 50% by the ninth month from the start date of the service and at 65% starting from the second year of the contract, while only 27.42% was achieved (as of December 31, 2022), with a deviation of -22.58%. Furthermore, the average RD is reported to be 58.56% in the region, 57.53% in the macro area South, and 65.16% at the national level. A deviation of -40% from the obligations of the service contract is also recorded concerning the collection and transport of municipal solid waste (hereinafter, "RSU") and RD.</w:t>
      </w:r>
    </w:p>
    <w:p>
      <w:r>
        <w:t>With reference to the levels achieved in terms of technical and contractual quality of the service, the report exclusively reveals that, with determination No. 528 of December 27, 2022, AGER Puglia approved the "Quality Charter of Waste Management Service" - in accordance with TQRIF - subsequently approved by the municipal council with resolution No. 2 of January 31, 2023. However, there is a lack of any indicator on user satisfaction, as only generic operational information provided to users is reported (with reference to a specific link or to Resolution Arera 15/2022/R/rif – TQRIF).</w:t>
      </w:r>
    </w:p>
    <w:p>
      <w:r>
        <w:t>Regarding the costs of the service borne by users, the report states that the total per capita cost, referring to 2021 (the last year reported), is €149.53, compared to - as learned from ISPRA data for 2021 - €199.71 for the average of the Puglia region, €202.30 for the macro area South, and €194.12 for the national average. According to ISPRA data, but relating to 2022, there is, however, an increase, compared to 2021, in the total per capita cost in the Municipality of Taranto, amounting to €218.64, against a constant per capita cost for both the regional average (€195.65) and the macro area South (€202.30), and also against a slight decrease in the national average (€192.27).</w:t>
      </w:r>
    </w:p>
    <w:p>
      <w:r>
        <w:t>Finally, the report indicates that the "Regional Plan for the Management of Urban Waste 2021" has impacted the economic efficiency, financial sustainability of service management, and its quality, in terms of: unforeseen increases due to a lack of treatment facilities for RSU and FORSU, resulting in an imbalance for the entity in terms of financial sustainability; travel and unloading times exceeding those outlined in the aforementioned Regional Plan, with repercussions on personnel management, commensurate with the service plan (in fact, a deviation of 60% is recorded compared to what was provided for in the service contract regarding the maintenance of jobs, inclusion of disadvantaged workers, and new jobs); delays in collection due to a lack of means and consequent higher costs.</w:t>
      </w:r>
    </w:p>
    <w:p>
      <w:r>
        <w:t>In light of the critical issues identified, moreover, in the periodic review of public participations, adopted pursuant to Article 20 of Legislative Decree No. 175/2016 (containing the Consolidated Text on public participation companies) – and of which the review constitutes an appendix in the case of services entrusted to in-house companies, according to what is established by Article 30, paragraph 2, of Legislative Decree No. 201/2022 – this Municipality has resolved to maintain its participation in the company Kyma Ambiente S.p.A. without, however, indicating the reasons that, from an economic standpoint and service quality, justify the continued entrustment of the service to the aforementioned company, also in relation to the results achieved in management, as required by Article 17, paragraph 5, of Legislative Decree No. 201/2022.</w:t>
      </w:r>
    </w:p>
    <w:p>
      <w:r>
        <w:t>In light of all the above, the report on the management situation of urban hygiene services in the relevant territory appears deficient with respect to the parameters required by Article 30, paragraph 1, of Legislative Decree No. 201/2022, particularly regarding: compliance with public service obligations in relation to the commitments undertaken in the service contract; the levels achieved in terms of service quality, with reference to the commitments undertaken in the service contract and the indicators provided by ARERA resolutions; the burdens and results for the contracting entity, with particular regard to the efficiency and economic-financial balance of management. Furthermore, the report reveals a critical trend in the service both qualitatively and economically-financially and in terms of impact on public finances. The current organizational and managerial structure, along with the lack of facilities, collection means, and personnel, results in delays in collection and unloading travel times, and thus, higher costs for both the Municipality and users.</w:t>
      </w:r>
    </w:p>
    <w:p>
      <w:r>
        <w:t>Therefore, in light of the considerations outlined above, the Authority hopes that this Municipality will promptly take action to ensure that the urban hygiene service in its area of competence is carried out with high levels of quality, safety, and under the best economic conditions, to the benefit of users. This is, after all, the rationale behind the pro-competitive reform enacted by Legislative Decree No. 201/2022 and, in particular, by Article 30, which established a principle of transparency regarding the choices made by administrations and the results of management, precisely to achieve and maintain those objectives of universality, quality, and accessibility of services that are the very foundation of public service.</w:t>
      </w:r>
    </w:p>
    <w:p>
      <w:r>
        <w:t>This Administration is therefore invited to communicate, within thirty days from the receipt of this notice, the initiatives taken to remove the critical issues identified above. This notice will be published in the Bulletin of the Competition and Market Authority.</w:t>
      </w:r>
    </w:p>
    <w:p>
      <w:r>
        <w:t>THE PRESIDENT</w:t>
        <w:br/>
        <w:t>Roberto Rustichelli</w:t>
      </w:r>
    </w:p>
    <w:p>
      <w:r>
        <w:t>BULLETIN NO. 9 OF MARCH 4, 2024 53</w:t>
      </w:r>
    </w:p>
    <w:p>
      <w:r>
        <w:t>AS1942 - ROME CAPITAL - SPL 2023 REVIEW</w:t>
        <w:br/>
        <w:t>Rome, February 16, 2024</w:t>
        <w:br/>
        <w:t>Rome Capital</w:t>
        <w:br/>
        <w:t>The Italian Competition Authority, in its meeting on February 13, 2024, resolved to make some observations pursuant to Article 21 of Law No. 287/1990 regarding the report adopted by this Entity under Article 30 of Legislative Decree No. 201/2022 (concerning the "Reorganization of the regulation of local public services of economic significance"), containing the review of the management situation of local public services of economic significance entrusted within the territory of competence.</w:t>
      </w:r>
    </w:p>
    <w:p>
      <w:r>
        <w:t>According to Article 30, paragraph 1, of Legislative Decree No. 201/2022, this review must ascertain the actual performance of each local public service entrusted by the competent entities, from the economic point of view, efficiency, service quality, and compliance with the obligations indicated in the service contract, in an analytical manner and taking into account the acts and indicators adopted by the regulatory authorities (for network services) and by the Ministry of Enterprises and Made in Italy (for non-network services). The review must also indicate the extent of recourse to in-house contracts and the burdens and results for the contracting entities.</w:t>
      </w:r>
    </w:p>
    <w:p>
      <w:r>
        <w:t>The new Legislative Decree No. 201/2022 has, therefore, aimed to make the results of local public service management more transparent, assigning to the entities the task of verifying that the conditions for offering the service are sustainable over time from an economic and financial point of view and such as to ensure, also from a qualitative perspective, the satisfaction of user needs.</w:t>
      </w:r>
    </w:p>
    <w:p>
      <w:r>
        <w:t>From the analysis of the report adopted by Rome Capital and published on the ANAC portal, some critical issues and deficiencies emerge concerning the evaluation elements required by the aforementioned Article 30, paragraph 1, of Legislative Decree No. 201/2022.</w:t>
      </w:r>
    </w:p>
    <w:p>
      <w:r>
        <w:t>First of all, the incompleteness of the content of the review must be noted, as it only concerns one of the local public services of economic significance carried out in the territory of the Municipality of Rome and entrusted by Rome Capital, namely the urban waste management service.</w:t>
      </w:r>
    </w:p>
    <w:p>
      <w:r>
        <w:t>Regarding this service, the review first lists the strategic objectives underlying the initial act of entrusting the integrated waste management service to the in-house company AMA S.p.A. (hereinafter, "AMA"), established by resolution of the Capitol Assembly No. 52 of September 25/26, 2015, until 2029. The report then analyzes the evolution of the factors that have influenced the actual implementation of these objectives by AMA and concludes on the existence to date.</w:t>
      </w:r>
    </w:p>
    <w:p>
      <w:r>
        <w:rPr>
          <w:b/>
        </w:rPr>
        <w:t>[Pages 52–54]</w:t>
      </w:r>
    </w:p>
    <w:p>
      <w:r>
        <w:t>54 BULLETIN NO. 9 OF MARCH 4, 2024</w:t>
      </w:r>
    </w:p>
    <w:p>
      <w:r>
        <w:t>of the reasons underlying the choice to entrust the service to the historical operator, recalling what was already conclusively expressed in the resolution of the Capitolina Assembly No. 22/2021 which approved the recovery plan and the related Multi-Year Industrial Plan 2020-2024 (hereinafter, “PIP”) of AMA2.</w:t>
      </w:r>
    </w:p>
    <w:p>
      <w:r>
        <w:t>In this regard, it is important to emphasize that in the aforementioned resolution of the Capitolina Assembly No. 22/2021, a series of stringent "control actions" were foreseen to verify the company's performance in relation to the implementation of the recovery plan, the outcome of which is not accounted for in the review under examination. This latter, in fact, merely reiterates the content of the conclusions drawn at that time, without providing information on the operator's performance in the nearly three years since the approval of the recovery plan. It is believed, instead, that precise information on the actual implementation of what is provided in that plan is essential to account for the management situation of the service and to justify, as of today, the maintenance of the entrustment to the in-house company.</w:t>
      </w:r>
    </w:p>
    <w:p>
      <w:r>
        <w:t>From a qualitative perspective, the review under examination is lacking regarding the actual performance of the service management. In fact, it does not provide the results of AMA's management which, moreover, in the 2021 Analysis Report, were characterized by a strongly critical trend on several fronts3.</w:t>
      </w:r>
    </w:p>
    <w:p>
      <w:r>
        <w:t>From the 2022-2023 Report of ACoS (Agency for the Control and Quality of local public services of Rome Capital), Volume I, “The Agency's Activity and the Survey on the Quality of Life and Local Public Services of Rome Capital,” it emerges, among other things, that no improvement was recorded in 2023 in terms of average rating on the perceived quality of street cleaning services (4.6) and waste collection (5.2). Moreover, the waste management service (in particular, street cleaning and waste collection), as attested by ACoS itself, has always been characterized by strongly negative evaluations, below sufficiency since 2009 (with negative peaks of average ratings of 2.8 and 2.7 in 2019).</w:t>
      </w:r>
    </w:p>
    <w:p>
      <w:r>
        <w:t>Notwithstanding the above, it is necessary to also take into account the circumstance that the implementation of the investment and efficiency actions indicated in the PIP 2020-2024 (approved together with the corporate recovery plan) is still ongoing, with completion expected by December 31, 20244.</w:t>
      </w:r>
    </w:p>
    <w:p>
      <w:r>
        <w:t>Therefore, the Authority urges this Administration to conduct a concrete and careful monitoring of the company's performance, after which it will have all the necessary informational elements to evaluate fundamentally the opportunity to maintain, and under what terms, the entrustment under examination, also in light of what is established by Legislative Decree No. 201/2022 regarding the entrustments of local public services of economic significance to in-house companies.</w:t>
      </w:r>
    </w:p>
    <w:p>
      <w:r>
        <w:t>The pro-competitive reform carried out by Legislative Decree No. 201/2022 and, in particular, by Article 30 has, moreover, established a principle of transparency regarding the choices made by administrations and the results of the managements, precisely in order to achieve and maintain those objectives of universality, quality, and accessibility of services that are at the very foundation of the public service's raison d'être.</w:t>
      </w:r>
    </w:p>
    <w:p>
      <w:r>
        <w:t>Therefore, this Administration is invited to communicate, within thirty days from the receipt of this notice, the initiatives adopted to remove the above-mentioned criticalities.</w:t>
      </w:r>
    </w:p>
    <w:p>
      <w:r>
        <w:t>This notice will be published in the Authority's Bulletin.</w:t>
      </w:r>
    </w:p>
    <w:p>
      <w:r>
        <w:t>THE PRESIDENT</w:t>
      </w:r>
    </w:p>
    <w:p>
      <w:r>
        <w:t>Roberto Rustichelli</w:t>
      </w:r>
    </w:p>
    <w:p>
      <w:r>
        <w:t>4 In the resolution of the Capitolina Assembly No. 191/2023, concerning “Periodic Rationalization of the Public Holdings of Rome Capital of the First and Second Level pursuant to Article 20, Legislative Decree No. 175 of August 19, 2016 and subsequent amendments,” published on the institutional website of the Entity, the maintenance of the participation in AMA is indeed provided for with rationalization actions, corresponding to the investment, efficiency, and tax evasion counteraction actions foreseen in the recovery plan, with a deadline at the end of December 2024, as per the PIP 2020-2024.</w:t>
      </w:r>
    </w:p>
    <w:p>
      <w:r>
        <w:t>56 BULLETIN NO. 9 OF MARCH 4, 2024</w:t>
      </w:r>
    </w:p>
    <w:p>
      <w:r>
        <w:t>AS1943 - PROVINCE OF IMPERIA - SPL 2023 REVIEW</w:t>
      </w:r>
    </w:p>
    <w:p>
      <w:r>
        <w:t>Rome, February 16, 2024</w:t>
      </w:r>
    </w:p>
    <w:p>
      <w:r>
        <w:t>Province of Imperia</w:t>
      </w:r>
    </w:p>
    <w:p>
      <w:r>
        <w:t>The Italian Competition Authority, in its meeting on February 13, 2024, resolved to make some observations pursuant to Article 21 of Law No. 287/1990 regarding the report adopted by this Province under Article 30 of Legislative Decree No. 201/2022 (concerning the "Reorganization of the regulation of local public services of economic significance"), containing the review of the management situation of local public services of economic significance entrusted within the territory of competence1.</w:t>
      </w:r>
    </w:p>
    <w:p>
      <w:r>
        <w:t>According to Article 30, paragraph 1, of Legislative Decree No. 201/2022, this review must ascertain the actual performance of each local public service, entrusted by the competent entities, from the economic perspective, efficiency, service quality, and compliance with the obligations indicated in the service contract, in an analytical manner and taking into account also the acts and indicators adopted by the regulatory authorities (for network services) and by the Ministry of Enterprises and Made in Italy (for non-network services). The review must also indicate the extent of reliance on in-house contracts and the burdens and results for the contracting entities.</w:t>
      </w:r>
    </w:p>
    <w:p>
      <w:r>
        <w:t>The new Legislative Decree No. 201/2022 has, therefore, aimed to make the results of local public service management more transparent, assigning to the entities the task of verifying that the conditions for offering the service are sustainable over time from an economic and financial perspective and such as to ensure, also from a qualitative standpoint, the satisfaction of users' needs.</w:t>
      </w:r>
    </w:p>
    <w:p>
      <w:r>
        <w:t>With regard to the management of local public transport services, the analysis of the report adopted by this Province and published on the ANAC portal reveals some critical issues and shortcomings concerning the evaluation elements required by the aforementioned Article 30, paragraph 1, of Legislative Decree No. 201/2022, particularly from the economic-financial perspective, efficiency, and service quality.</w:t>
      </w:r>
    </w:p>
    <w:p>
      <w:r>
        <w:t>The service in question appears to have been directly entrusted to the company Riviera Trasporti S.p.A. on an emergency basis, pursuant to Article 5, paragraph 5, of Regulation (EC) No. 1370/2007, from April 1, 2022, to December 31, 2023, for a value of € 12,981,840.63, but no further information is provided regarding previous contracts.</w:t>
      </w:r>
    </w:p>
    <w:p>
      <w:r>
        <w:t>Regarding the economic-financial profile, although the situation resulting from the 2022 financial statements shows a company currently in profit, a significant loss was recorded in 2021.</w:t>
      </w:r>
    </w:p>
    <w:p>
      <w:r>
        <w:t>1 The aforementioned report was published on the portal dedicated to the Transparency of Local Public Services (“Transparency SPL”), of the National Anti-Corruption Authority (hereinafter “ANAC”) on December 22, 2023.</w:t>
      </w:r>
    </w:p>
    <w:p>
      <w:r>
        <w:rPr>
          <w:b/>
        </w:rPr>
        <w:t>[Pages 55–57]</w:t>
      </w:r>
    </w:p>
    <w:p>
      <w:r>
        <w:t>BULLETIN NO. 9 OF MARCH 4, 2024 57</w:t>
      </w:r>
    </w:p>
    <w:p>
      <w:r>
        <w:t>The review then indicates, among the economic data of the company "related solely to the local public transport service," a gross global income and a net income in loss. At the bottom of the report, it is added that, at the direction of the Provincial Council, this concerns "in-house assignment of the service following the homologation of the Concordat Plan of the Participated Company."</w:t>
      </w:r>
    </w:p>
    <w:p>
      <w:r>
        <w:t>Regarding the efficiency and quality of the service, the review only indicates that the management presents critical issues consisting of "delays-skipped trips-cleaning of vehicles."</w:t>
      </w:r>
    </w:p>
    <w:p>
      <w:r>
        <w:t>In light of all the above, the Authority highlights that the review completely lacks or is, in any case, deficient in information regarding: i) the burdens and results concerning the contracting entity, with particular regard to the efficiency and economic-financial balance of the management, also considering the economic situation resulting from the company's financial statements; ii) the levels achieved in terms of service quality; iii) the fulfillment of public service obligations in relation to the commitments made in the service contract. Furthermore, there is a lack of information regarding the overall duration of the assignment.</w:t>
      </w:r>
    </w:p>
    <w:p>
      <w:r>
        <w:t>Therefore, based on the considerations outlined above, the Authority hopes that this Province will promptly take action to ensure that the local public transport service in its area of competence is managed with high levels of quality, safety, and under the best economic conditions, for the benefit of users. This is, after all, the rationale behind the pro-competitive reform enacted by Legislative Decree No. 201/2022 and, in particular, by Article 30, which established a principle of transparency regarding the choices made by administrations and the results of management, precisely in order to achieve and maintain those objectives of universality, quality, and accessibility of services that are the very foundation of public service.</w:t>
      </w:r>
    </w:p>
    <w:p>
      <w:r>
        <w:t>The Administration is therefore invited to communicate, within thirty days from the receipt of this notification, the initiatives taken to remove the critical issues identified above. This notification will be published in the Bulletin of the Competition and Market Authority.</w:t>
      </w:r>
    </w:p>
    <w:p>
      <w:r>
        <w:t>THE PRESIDENT</w:t>
        <w:br/>
        <w:t>Roberto Rustichelli</w:t>
      </w:r>
    </w:p>
    <w:p>
      <w:r>
        <w:t>58 BULLETIN NO. 9 OF MARCH 4, 2024</w:t>
      </w:r>
    </w:p>
    <w:p>
      <w:r>
        <w:t>AS1944 – MUNICIPALITY OF BERGAMO - SPL 2023 REVIEW</w:t>
      </w:r>
    </w:p>
    <w:p>
      <w:r>
        <w:t>Rome, February 16, 2024</w:t>
      </w:r>
    </w:p>
    <w:p>
      <w:r>
        <w:t>Municipality of Bergamo</w:t>
      </w:r>
    </w:p>
    <w:p>
      <w:r>
        <w:t>The Italian Competition Authority, in its meeting on February 13, 2024, resolved to make some observations pursuant to Article 21 of Law No. 287/1990 regarding the report adopted by this Municipality under Article 30 of Legislative Decree No. 201/2022 (concerning the Reorganization of the regulation of local public services of economic significance), containing the review of the management situation of local public services of economic significance entrusted within the territory of competence1.</w:t>
      </w:r>
    </w:p>
    <w:p>
      <w:r>
        <w:t>According to Article 30, paragraph 1, of Legislative Decree No. 201/2022, this review must ascertain the actual performance of each local public service entrusted by the competent entities, from the economic point of view, efficiency, service quality,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review must also indicate the extent of reliance on in-house assignments and the burdens and results concerning the contracting entities.</w:t>
      </w:r>
    </w:p>
    <w:p>
      <w:r>
        <w:t>The new Legislative Decree No. 201/2022 has, therefore, aimed to make the results of local public service management more transparent, assigning to the entities the task of verifying that the conditions for offering the service are sustainable over time from an economic and financial point of view and such as to ensure, also from a qualitative perspective, the satisfaction of users' needs.</w:t>
      </w:r>
    </w:p>
    <w:p>
      <w:r>
        <w:t>With regard to the management of sports facilities, from the analysis of the report adopted by this Municipality and published on the ANAC portal, some critical issues emerge concerning the evaluation elements required by the aforementioned Article 30, paragraph 1, of Legislative Decree No. 201/2022, particularly from the economic-financial and efficiency perspectives.</w:t>
      </w:r>
    </w:p>
    <w:p>
      <w:r>
        <w:t>The service in question is currently entrusted to the in-house company Bergamo Infrastrutture S.p.A., for a period of twenty-nine years (from January 1, 2001, to December 31, 2029), with the contractually provided possibility of renewing the assignment.</w:t>
      </w:r>
    </w:p>
    <w:p>
      <w:r>
        <w:t>As emerges from the review, the Municipality pays the company an annual contribution, partly as a tariff integration and partly as a contribution to management expenses, while the tariffs are determined based on the comparison with the tariffs applied in the provincial territorial area.</w:t>
      </w:r>
    </w:p>
    <w:p>
      <w:r>
        <w:t>From the benchmark reported in the summary tables included in the review, the tariffs related to the assignment in question are found to be slightly above the average applied by neighboring sports facilities. However, regarding the contribution to management expenses, the review reports on the structural obsolescence and technological obsolescence of the granted sports facilities, such that their management results in a significant increase in expenses (utilities, personnel, and ordinary maintenance) compared to the management of similar modern facilities.</w:t>
      </w:r>
    </w:p>
    <w:p>
      <w:r>
        <w:t>Moreover, from the company's financial statements for 2022, significant critical issues emerge due to substantial losses, which have also significantly increased compared to the previous year.</w:t>
      </w:r>
    </w:p>
    <w:p>
      <w:r>
        <w:t>Furthermore, the review does not account for any specific investments planned, nor therefore the need to amortize costs or justify the particularly long duration of the assignment (twenty-nine years). In this regard, it should be noted that, notwithstanding what is now established by Article 19 of Legislative Decree No. 201/2022, the Authority has repeatedly emphasized that the duration of assignments should be temporally limited and justified based on technical, economic, and financial evaluations, in order to avoid precluding access to the market2.</w:t>
      </w:r>
    </w:p>
    <w:p>
      <w:r>
        <w:t>Regarding the benefits for the community of the chosen management form, the Municipality reports that in-house management is the mode of assignment that presents the greatest advantages, including: i) the attribution to the public system of all decisions concerning the management of the service; ii) the absence of profit motives; iii) the high margins of intervention; iv) the possibility for the Municipality to directly monitor the overall management of the company and make the control of the service and the contract more efficient. However, there are no references to the specific advantages that would derive from the in-house assignment of the service to the current manager.</w:t>
      </w:r>
    </w:p>
    <w:p>
      <w:r>
        <w:t>Therefore, based on the considerations outlined above, the Authority hopes that this Municipality will promptly take action to ensure that the service in question is managed with high levels of quality and under the best economic conditions, for the benefit of users. This is, after all, the rationale behind the pro-competitive reform enacted by Legislative Decree No. 201/2022 and, in particular, by Article 30, which established a principle of transparency regarding the choices made by administrations and the results of management, precisely in order to achieve and maintain those objectives of universality, quality, and accessibility of services that are the very foundation of public service.</w:t>
      </w:r>
    </w:p>
    <w:p>
      <w:r>
        <w:t>The Administration is therefore invited to communicate, within thirty days from the receipt of this notification, the initiatives taken to remove the critical issues identified above. This notification will be published in the Bulletin of the Competition and Market Authority.</w:t>
      </w:r>
    </w:p>
    <w:p>
      <w:r>
        <w:t>THE PRESIDENT</w:t>
        <w:br/>
        <w:t>Roberto Rustichelli</w:t>
      </w:r>
    </w:p>
    <w:p>
      <w:r>
        <w:t>2 See AS1718 – Reform Decrees in the sports sector, in Bulletin No. 8/2021, which in turn refers to previous advocacy interventions AS1550 – Concessions and competitive criticalities, in Bulletin No. 48/2018; AS1363 – Municipality of Fossano (CN) – Extension of the concession for the management of municipal sports facilities, in Bulletin No. 13/2017; AS1520 – Municipality of Castellanza (VA) – Extension of the management assignment for football fields, in Bulletin No. 26/2018.</w:t>
      </w:r>
    </w:p>
    <w:p>
      <w:r>
        <w:rPr>
          <w:b/>
        </w:rPr>
        <w:t>[Pages 58–60]</w:t>
      </w:r>
    </w:p>
    <w:p>
      <w:r>
        <w:t>60 BULLETIN NO. 9 OF MARCH 4, 2024</w:t>
      </w:r>
    </w:p>
    <w:p>
      <w:r>
        <w:t>UNFAIR TRADE PRACTICES</w:t>
      </w:r>
    </w:p>
    <w:p>
      <w:r>
        <w:t>PS12578 - SUPERMONEY-GAS AND ELECTRICITY OFFERS</w:t>
      </w:r>
    </w:p>
    <w:p>
      <w:r>
        <w:t>Measure No. 31065</w:t>
      </w:r>
    </w:p>
    <w:p>
      <w:r>
        <w:t>THE COMPETITION AND MARKET AUTHORITY</w:t>
      </w:r>
    </w:p>
    <w:p>
      <w:r>
        <w:t>IN ITS MEETING of February 20, 2024;</w:t>
      </w:r>
    </w:p>
    <w:p>
      <w:r>
        <w:t>HEARD the Rapporteur, Professor Elisabetta Iossa;</w:t>
      </w:r>
    </w:p>
    <w:p>
      <w:r>
        <w:t>HAVING REGARD to Part II, Title III, of Legislative Decree No. 206 of September 6, 2005, containing the “Consumer Code” and subsequent amendments (hereinafter, “Consumer Code”);</w:t>
      </w:r>
    </w:p>
    <w:p>
      <w: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measures of September 26, 2023, and December 5, 2023, each of which, pursuant to Article 7, paragraph 3, of the Regulation, provided for an extension of the deadline for concluding the procedure for investigative needs;</w:t>
      </w:r>
    </w:p>
    <w:p>
      <w:r>
        <w:t>HAVING REGARD to the acts of the procedure;</w:t>
      </w:r>
    </w:p>
    <w:p>
      <w:r>
        <w:t>I. THE PARTY</w:t>
      </w:r>
    </w:p>
    <w:p>
      <w:r>
        <w:t>1. Supermoney S.p.A., as a professional, pursuant to Article 18, paragraph 1, letter b), of the Consumer Code (hereinafter “Supermoney” or the “Professional”), carries out, through the website www.supermoney.it, economic comparison activities of commercial offers related, among other things, to the supply of electricity and gas services, as well as consulting and assistance activities for users of the comparator, through the telephone channel. The company, during the financial year ending December 31, 2022, achieved a turnover of €39,654,3281.</w:t>
      </w:r>
    </w:p>
    <w:p>
      <w:r>
        <w:t>II. THE COMMERCIAL PRACTICE</w:t>
      </w:r>
    </w:p>
    <w:p>
      <w:r>
        <w:t>2. The procedure concerns the behavior carried out by Supermoney, owner of the portal www.supermoney.it, in the context of the comparison of commercial offers for the supply of electricity and gas.</w:t>
      </w:r>
    </w:p>
    <w:p>
      <w:r>
        <w:t>3. In particular, the conduct attributed to the Professional consists of:</w:t>
        <w:br/>
        <w:t>a) the dissemination of advertising messages emphasizing the savings achievable by consumers through the comparator site, without indicating the parameters used for their calculation;</w:t>
        <w:br/>
        <w:t>b) the comparison of commercial offers in the absence of a clear indication of the criteria and methods used to arrive at a classification (so-called ranking) of the same offers;</w:t>
        <w:br/>
        <w:t>c) the omission of specifying that, through the comparator site, Supermoney operates in favor of its partners as an intermediary/sales agent.</w:t>
      </w:r>
    </w:p>
    <w:p>
      <w:r>
        <w:t>III. THE FINDINGS OF THE PROCEDURE</w:t>
      </w:r>
    </w:p>
    <w:p>
      <w:r>
        <w:t>1) The procedure process</w:t>
      </w:r>
    </w:p>
    <w:p>
      <w:r>
        <w:t>4. In relation to the conduct described above, on May 30, 2023, the investigative procedure PS12578 was initiated against Supermoney for alleged violations of Articles 20, 21, and 22 of the Consumer Code, both in terms of alleged misleadingness and the omission of information provided to users of the comparator site2.</w:t>
      </w:r>
    </w:p>
    <w:p>
      <w:r>
        <w:t>5. On June 30, 2023, the Professional provided the requested information as part of the initiation communication, accompanied by a defense memorandum3.</w:t>
      </w:r>
    </w:p>
    <w:p>
      <w:r>
        <w:t>6. Supermoney accessed the documents of the investigative file on June 5 and December 13, 2023.</w:t>
      </w:r>
    </w:p>
    <w:p>
      <w:r>
        <w:t>7. On July 27, 2023, the hearing of the representatives of the Professional took place4.</w:t>
      </w:r>
    </w:p>
    <w:p>
      <w:r>
        <w:t>8. On August 4, 2023, pursuant to Article 27, paragraph 7, of the Consumer Code, the Company made a proposal for commitments aimed at removing the unfairness profiles of the contested commercial practice5.</w:t>
      </w:r>
    </w:p>
    <w:p>
      <w:r>
        <w:t>9. On September 28, 2023, the Company was informed of the rejection of the proposal for commitments, decided by the Authority on September 26, 20236, as deemed inadequate to remove the profiles of possible unfairness contested in the initiation communication.</w:t>
      </w:r>
    </w:p>
    <w:p>
      <w:r>
        <w:t>10. On October 27, 2023, the Professional transmitted a communication regarding the adoption of voluntary measures aimed at removing the profiles of the contested criticalities7.</w:t>
      </w:r>
    </w:p>
    <w:p>
      <w:r>
        <w:t>11. On November 28, 2023, Supermoney was informed of the conclusion date of the investigative phase pursuant to Article 16, paragraph 1, of the Regulation8.</w:t>
      </w:r>
    </w:p>
    <w:p>
      <w:r>
        <w:t>12. On December 21, 2023, Supermoney submitted the final memorandum9.</w:t>
      </w:r>
    </w:p>
    <w:p>
      <w:r>
        <w:t>13. On December 21, 2023, opinions were requested from the Regulatory Authority for Energy Networks and Environment (hereinafter also “ARERA”) and the Authority for Communications Guarantees (hereinafter also “AGCOM”), respectively pursuant to Article 27, paragraph 1-bis, and Article 27, paragraph 6, of the Consumer Code10.</w:t>
      </w:r>
    </w:p>
    <w:p>
      <w:r>
        <w:t>14. The opinions from AGCOM and ARERA were received on January 17 and 18, 202311.</w:t>
      </w:r>
    </w:p>
    <w:p>
      <w:r>
        <w:t>2) The evidence acquired</w:t>
      </w:r>
    </w:p>
    <w:p>
      <w:r>
        <w:t>15. In light of the evidence acquired during the procedure and the documented feedback submitted by the Professional, the following investigative findings emerged, with reference to each of the three conducts identified in letters a), b), and c) above.</w:t>
      </w:r>
    </w:p>
    <w:p>
      <w:r>
        <w:t>The conduct a) Dissemination of advertising messages</w:t>
      </w:r>
    </w:p>
    <w:p>
      <w:r>
        <w:t>16. Regarding the first conduct contested, consisting of the dissemination of claims that emphasize the possible savings achievable by consumers, it emerged that on the homepage of the website www.supermoney.it, the Professional disseminated the following messages: “With Supermoney you can really save up to €400 a year”; “With Supermoney you always find the best rate […] save up to €400”; in the absence of any clarification regarding the time period, the calculation methods, and therefore, the achievement of such savings.</w:t>
      </w:r>
    </w:p>
    <w:p>
      <w:r>
        <w:t>17. Supermoney represented that the claim “save up to €400 a year” present on the homepage of the website www.supermoney.it has been disseminated since 2016 at least until July 2023, subject to some modifications made during the period June-October 2022, concerning the amount of the hypothesized savings (200 instead of 400 euros)12.</w:t>
      </w:r>
    </w:p>
    <w:p>
      <w:r>
        <w:t>18. Some claims with similar content, aimed at emphasizing the same savings “up to €400” obtainable by consumers using the services of the Professional, were also highlighted in specific sponsored spaces, accessible via the Google search engine, from 2019 until February 202313. In particular, by typing the words “supermoney energy” in the search string, the Professional boasted the possibility of achieving savings on the price of energy.</w:t>
      </w:r>
    </w:p>
    <w:p>
      <w:r>
        <w:t>19. In all the claims considered above, Supermoney did not clearly indicate what criteria were used to achieve the indicated savings, the time period considered, and the offers subject to comparison. From the investigative elements acquired during the investigative procedure, it emerged that the proposed savings of €400 would derive from the comparison between the most expensive offer and the least expensive one among those proposed by the main operators in the retail market resulting from the ARERA Offers Portal, taking as a reference a typical family.</w:t>
      </w:r>
    </w:p>
    <w:p>
      <w:r>
        <w:t>20. Further claims regarding the savings allegedly achievable by consumers were disseminated by the Professional on the page https://www.supermoney.it/energia-lucegas/guide/risparmiare-bolletta-luce where, under the heading “Electricity and gas suppliers compared,” the logos of various operators were present. In particular, in the section “Take the Bill Test,” the user, by clicking on the logo of any of the indicated operators, was redirected to a web page where, for example, with a monthly expenditure generally less than €100, opting for the supply of gas and/or electricity and clicking on the indication “save now,” they would see the related achievable savings, against summary information presented at the bottom of the page in small print: “Hypothesis of monthly savings calculated on an annual consumption of 2000Kwh and 130smc (estimated data for a family of 3 people residing in northern Italy) comparing the monthly expenditure declared by the user and the best offer available on the Supermoney comparator.”</w:t>
      </w:r>
    </w:p>
    <w:p>
      <w:r>
        <w:rPr>
          <w:b/>
        </w:rPr>
        <w:t>[Pages 61–63]</w:t>
      </w:r>
    </w:p>
    <w:p>
      <w:r>
        <w:t>BULLETIN NO. 9 OF MARCH 4, 2024 63</w:t>
      </w:r>
    </w:p>
    <w:p>
      <w:r>
        <w:t>In this regard, it has emerged that, by clicking on the logo of any supplier, the same savings indication was always reached (see, for example, the following image 1 - related to the savings attributable to an offer from Acea and image 2 - concerning the savings derived from a contract proposed by Iren).</w:t>
      </w:r>
    </w:p>
    <w:p>
      <w:r>
        <w:t>Image 1</w:t>
      </w:r>
    </w:p>
    <w:p>
      <w:r>
        <w:t>64 BULLETIN NO. 9 OF MARCH 4, 2024</w:t>
      </w:r>
    </w:p>
    <w:p>
      <w:r>
        <w:t>Image 2</w:t>
      </w:r>
    </w:p>
    <w:p>
      <w:r>
        <w:t>The conduct under b) - The ranking of offers</w:t>
      </w:r>
    </w:p>
    <w:p>
      <w:r>
        <w:t>21. The second conduct subject to contestation concerns the criteria through which the Professional presented to consumers the comparative list of offers from electricity and gas suppliers, the so-called "ranking", lacking information regarding the methods by which the classification of the various commercial proposals from different suppliers is defined, with specific reference to the calculation and operational criteria, and the number of operators subject to comparison.</w:t>
      </w:r>
    </w:p>
    <w:p>
      <w:r>
        <w:t>22. In this regard, it has emerged that when the consumer accesses the comparator site, they immediately see, that is, before any interaction, a list of offers, the so-called "generic ranking", already pre-selected by the Professional, under the heading "Our most convenient rates", where for each offer a rate for the supply of gas and/or electricity based on the consumption of a typical family is indicated. In particular, by accessing this "generic ranking", the consumer viewed only some offers (three for electricity supply and three for gas) proposed by Supermoney's partner suppliers.</w:t>
      </w:r>
    </w:p>
    <w:p>
      <w:r>
        <w:t>23. On this page, it was also stated: "With Supermoney you always find the best rate*".</w:t>
      </w:r>
    </w:p>
    <w:p>
      <w:r>
        <w:t>24. Similarly, if the user searched for a more convenient offer by entering personal data in the appropriate form, they would view a list of offers selected by the Professional, the so-called "personalized ranking". Access to this ranking was only granted after: i) entering the user's personal data in the appropriate screen, consisting of first name, municipality of residence, date of birth, email address, and mobile phone; ii) checking the box in the section dedicated to the document titled "Info Privacy"; iii) accepting the general conditions of the Supermoney site; iv) having reviewed the "Privacy Policy". In the absence of such data, the site did not allow the user to access the comparison service.</w:t>
      </w:r>
    </w:p>
    <w:p>
      <w:r>
        <w:t>25. The results of the comparison of offers are ordered based on the proposed rates, from the cheapest to the most expensive, through an operational model that provides for comparison exclusively among the offers of operators with which it has commercial agreements (identified as partners), without the consumer being informed of the actual scope of the comparison.</w:t>
      </w:r>
    </w:p>
    <w:p>
      <w:r>
        <w:t>26. In particular, from the evidence on record, the information transmitted by the Professional, and the contracts attached therein concluded between Supermoney and some electricity and gas suppliers, it appears that, at least since 2021, the offers subject to comparison on the Supermoney site concerned a limited subset of energy suppliers, with which Supermoney, as mentioned, has partnership relations, compared to the totality of those present in the market. Currently, as indicated on the web page of the comparator site supermoney.it/energia-luce-gas, it emerges that the sector operators partnered with Supermoney are: Acea Energia, Eni Plenitude, Iren, Illumia, and HeraComm.</w:t>
      </w:r>
    </w:p>
    <w:p>
      <w:r>
        <w:t>Image 3</w:t>
      </w:r>
    </w:p>
    <w:p>
      <w:r>
        <w:t>27. Once the user has reached the web page where the results of the offers are listed (see image no. 4), they can exclusively view information regarding certain characteristics.</w:t>
      </w:r>
    </w:p>
    <w:p>
      <w:r>
        <w:rPr>
          <w:b/>
        </w:rPr>
        <w:t>[Pages 64–66]</w:t>
      </w:r>
    </w:p>
    <w:p>
      <w:r>
        <w:t>66 BULLETIN NO. 9 OF MARCH 4, 2024</w:t>
      </w:r>
    </w:p>
    <w:p>
      <w:r>
        <w:t>economic characteristics of the offer, while the possibility of independently proceeding to the conclusion of the contract is instead excluded. The only way to conclude the contract through the Supermoney comparator is through a phone contact initiated by the Professional, based on the data provided by the user.</w:t>
      </w:r>
    </w:p>
    <w:p>
      <w:r>
        <w:t>Image No. 4 (results "custom ranking")</w:t>
      </w:r>
    </w:p>
    <w:p>
      <w:r>
        <w:t>28. As emerged during the hearing, Supermoney contacts all customers who have accessed the comparator site after entering their personal data, without consumers having received clear information regarding this. The consumers' unawareness about the request for contact emerges, among other things, from listening to some audio files of the telephone recordings made by the Professional in the years 2021, 2022, and from January to April 2023, which testify that numerous consumers complained about being contacted by the Professional without being adequately informed16.</w:t>
      </w:r>
    </w:p>
    <w:p>
      <w:r>
        <w:t>29. The Professional did not provide clear and evident information regarding the circumstance that entering their data would result in a subsequent phone contact with all users. Such information was, in fact, included exclusively in the "General Terms and Conditions" document, which is merely an optional consultation document, where it is stated that "To use the Service, the User must enter the requested information and their data using the appropriate forms available on the Portal in relation to the products of their interest. Once such data is provided, by accepting these terms and Conditions, the User agrees to be contacted (also by phone by the Company) for the purpose of providing the requested Service [...]".</w:t>
      </w:r>
    </w:p>
    <w:p>
      <w:r>
        <w:t>16 Cf. information transmitted by the professional on June 30, 2023, prot. 56749, attachment containing the audio files of the calls.</w:t>
      </w:r>
    </w:p>
    <w:p>
      <w:r>
        <w:t>BULLETIN NO. 9 OF MARCH 4, 2024 67</w:t>
      </w:r>
    </w:p>
    <w:p>
      <w:r>
        <w:t>30. Based on the data provided by the Professional, it is noted that the number of comparisons made by consumers on the Supermoney site during 2022 was [300,000-400,000]*, while in the first four months of 2023, the number of comparisons made was [10,000-100,000]17.</w:t>
      </w:r>
    </w:p>
    <w:p>
      <w:r>
        <w:t>The conduct sub c) - The consulting activity carried out by Supermoney</w:t>
      </w:r>
    </w:p>
    <w:p>
      <w:r>
        <w:t>31. The third conduct subject to contestation concerns the lack of adequate information provided to consumers regarding the circumstance that Supermoney, through the comparator site, operates as an intermediary/sales agent, exclusively on behalf of certain operators in the sector, so-called partners: on the website, in fact, the comparison was presented as a mere comparison between the offers proposed by the main operators in the sector active in the supply of electricity and gas, devoid of any commercial involvement.</w:t>
      </w:r>
    </w:p>
    <w:p>
      <w:r>
        <w:t>32. Conversely, the partnership agreements between Supermoney and electricity and gas suppliers are supported by commercial intermediation contracts, aimed at promoting products and services and/or their marketing through the conclusion of energy supply contracts with users. The assignment to the Professional is conferred by the same operators in the sector in exchange for commissions based, among other things, on the quantities of supply contracts actually concluded with users.</w:t>
      </w:r>
    </w:p>
    <w:p>
      <w:r>
        <w:t>33. For the performance of this intermediation activity, the Professional relies on a network of call centers consisting of a large number of operators [500-1,000], who contact all users of the comparator site in order to promote the signing of energy contracts through the teleselling channel.</w:t>
      </w:r>
    </w:p>
    <w:p>
      <w:r>
        <w:t>34. Based on the information provided by the Professional, it appears that in 2022, the revenues derived from contracts signed thanks to the intermediation of the Company following the use of the comparator by consumers amounted to [2,500,000-3,500,000] euros, while in the first four months of 2023, they amounted to [500,000-1,000,000] euros18.</w:t>
      </w:r>
    </w:p>
    <w:p>
      <w:r>
        <w:t>3) The measures taken by the Professional during the proceedings</w:t>
      </w:r>
    </w:p>
    <w:p>
      <w:r>
        <w:t>35. During the proceedings, Supermoney progressively adopted a series of measures aimed at overcoming the issues subject to contestation, as outlined in the initiation communication19. In particular, the following initiatives are highlighted:</w:t>
      </w:r>
    </w:p>
    <w:p>
      <w:r>
        <w:t>A) creation of a "Who we are" page, clickable and accessible in a central area of the homepage, which allows informing the consumer about the functioning of the Site;</w:t>
        <w:br/>
        <w:t>- in the footer of each subsection of the site, a reference to the web page "Who we are and what we do" has been included20;</w:t>
        <w:br/>
        <w:t>* In this version, some data are omitted, as elements of confidentiality or secrecy of the information were deemed to exist.</w:t>
      </w:r>
    </w:p>
    <w:p>
      <w:r>
        <w:t>17 Cf. doc. n. 9.</w:t>
      </w:r>
    </w:p>
    <w:p>
      <w:r>
        <w:t>18 Cf. ibidem.</w:t>
      </w:r>
    </w:p>
    <w:p>
      <w:r>
        <w:t>19 Cf. doc. and doc. n. 35 (attachment n. 1).</w:t>
      </w:r>
    </w:p>
    <w:p>
      <w:r>
        <w:t>20 Measure provided and implemented after receiving the communication of the conclusion of the investigation phase (hereinafter also, “CTI”), on November 28, 2023.</w:t>
      </w:r>
    </w:p>
    <w:p>
      <w:r>
        <w:t>68 BULLETIN NO. 9 OF MARCH 4, 2024</w:t>
      </w:r>
    </w:p>
    <w:p>
      <w:r>
        <w:t>- the text sent via SMS to each user following the comparison made on the site has been modified, integrating it with a link to the page "Who we are and what we do" (https://www.supermoney.it/chi-siamo/)21.</w:t>
      </w:r>
    </w:p>
    <w:p>
      <w:r>
        <w:t>In detail, within the "Who we are" page, the following areas of text have been expanded and concretely inserted22:</w:t>
        <w:br/>
        <w:t>- Who we are and what we do, where users have the opportunity to compare the rates of some selected energy market companies as Partners for free;</w:t>
        <w:br/>
        <w:t>- How the electricity and gas comparison service works, where it is specified that the comparator presents a list of offers from Supermoney's Partners and that once the offer is identified, the comparator allows the user to be contacted by an operator for the purpose of signing the contract;</w:t>
        <w:br/>
        <w:t>- How you can save, for this purpose an example of how to achieve savings is provided, with reference to the date of detection of the prices used as the basis for calculation;</w:t>
        <w:br/>
        <w:t>- How we show you the results, the results are displayed based on price, from the cheapest offer to the most expensive among those compared;</w:t>
        <w:br/>
        <w:t>- Why our service is free for you?, it is specified that Supermoney has commercial relationships with its Partners from which it receives remuneration if the user decides to sign a contract through the mediation of the company itself;</w:t>
        <w:br/>
        <w:t>- The Partners chosen by Supermoney to compare electricity and gas offers, in this section all brands of all Partners whose offers are subject to comparison and the date of the last update of this list are present;</w:t>
        <w:br/>
        <w:t>- How we chose our Partners, where the criteria based on which Supermoney chooses its Partners are indicated;</w:t>
        <w:br/>
        <w:t>- Do you need more information?, the user is informed that a section dedicated to assistance and sending complaints is available on the site.</w:t>
      </w:r>
    </w:p>
    <w:p>
      <w:r>
        <w:t>Within the homepage of the Site, a specific section titled "Four things to know before accessing our comparison service" has been inserted, through which essential information regarding the comparison service provided by the Company is provided to users:</w:t>
        <w:br/>
        <w:t>˗ The results of the comparison are based on the offers available to us, they are therefore provisional and subject to changes by the service provider;</w:t>
        <w:br/>
        <w:t>˗ Check if the selected offer is available for your profile;</w:t>
        <w:br/>
        <w:t>˗ What do we compare? Always check which subjects we use in our research sample;</w:t>
        <w:br/>
        <w:t>˗ How we provide you the service: we collect the necessary data for the comparison of offers. Each of these items is clickable with a reference to the information on the aforementioned page "Who we are and what we do"23.</w:t>
      </w:r>
    </w:p>
    <w:p>
      <w:r>
        <w:t>B) modifications made to specific sections and pages of the Site:</w:t>
        <w:br/>
        <w:t>21 Voluntary measure presented as "in the process of implementation" on October 27, 2023, and actually implemented after receiving the CTI, on November 28, 2023.</w:t>
      </w:r>
    </w:p>
    <w:p>
      <w:r>
        <w:t>22 Modifications made following the voluntary measures presented on October 27, 2023.</w:t>
      </w:r>
    </w:p>
    <w:p>
      <w:r>
        <w:t>23 Modifications introduced after receiving the CTI on November 28, 2023.</w:t>
      </w:r>
    </w:p>
    <w:p>
      <w:r>
        <w:rPr>
          <w:b/>
        </w:rPr>
        <w:t>[Pages 67–69]</w:t>
      </w:r>
    </w:p>
    <w:p>
      <w:r>
        <w:t>BULLETIN NO. 9 OF MARCH 4, 2024 69</w:t>
        <w:br/>
        <w:t>- the text “compares the best rates [...]” has been modified by inserting the phrase How it works with a link redirecting to the About Us page24;</w:t>
        <w:br/>
        <w:t>- an asterisk has been added to the phrase “light and gas offers compare the best energy rates” which refers to the text: “By best, we mean the most convenient offer at the time of comparison among those of our Partners. Supermoney compares the offers of its commercial partners (approx. 25% of the Light market, approx. 40% of the Gas market. Source: Annual Report Arera 2023)”25;</w:t>
        <w:br/>
        <w:t>- to the phrase “With Supermoney you always find the best rate” the phrase “among those available on our site” has been added26;</w:t>
        <w:br/>
        <w:t>- the term “best” referring to the rate identifiable with Supermoney has been removed27;</w:t>
        <w:br/>
        <w:t>- next to the phrase “Light Offers: our most convenient rates,” a text area has been inserted stating: “We have included non-customized basic search criteria and show you the top three best results in terms of the most convenient price among the offers of our partners [...]”. The text “Compare the best light and gas offers with Supermoney [...]” has been removed and replaced with “Compare the energy rates of our partners”28;</w:t>
        <w:br/>
        <w:t>- the phrase: “Sometimes we also compare for you some operators with whom we have no commercial relationships” has been removed29;</w:t>
        <w:br/>
        <w:t>- the claim “Save up to 400 euros” has been removed, as well as the phrase “With Supermoney you can really save up to 400 euros a year”30;</w:t>
        <w:br/>
        <w:t>- the section “Take the Bill Test” including the contested “Save now” has been removed31;</w:t>
        <w:br/>
        <w:t>- the timing of the offer regarding the validity period of the commercial offers has been inserted, also for the “generic ranking,” as already existing for the personalized ranking32;</w:t>
        <w:br/>
        <w:t>- in the General Terms and Conditions of the contract, it is indicated, in bold, that to use the service the customer must provide their data and the user agrees to be contacted (also by phone) by the Company (with indication of the days and times) for the provision of the requested service33;</w:t>
        <w:br/>
        <w:t>- next to the box for entering the mobile number, a disclaimer has been inserted that is automatically activated when the cursor is placed, stating “We will use your phone number to contact you by phone to provide you with free and non-binding assistance on the services offered [...]”34.</w:t>
        <w:br/>
        <w:t>4) The defensive arguments of the Party</w:t>
        <w:br/>
        <w:t>36. The Professional presented their defensive arguments during the proceedings, most recently in the final memorandum35, emphasizing their good faith in light of the measures (mentioned above) voluntarily taken to protect consumers, in order to overcome the issues raised. Regarding the individual allegations, they observed the following.</w:t>
        <w:br/>
        <w:t>37. With reference to the allegation concerning the lack of clear indications about the criteria, methods used, and selected operators, in order to arrive at the ranking of commercial offers, Supermoney stated that the comparator represents a mere “showcase” of the abstractly most convenient offers available from the company itself. The abstract nature of this convenience would be clarified by the specification that the inclusion of non-customized basic search criteria would yield the top three best results in terms of price among the offers of its partners (with the partners clearly identified within the site).</w:t>
        <w:br/>
        <w:t>38. In this regard, the Company noted that the contested term “best” referred to the most convenient offers among those of the compared partners. If the issue with the term concerns the “limitedness” of the suppliers, Supermoney pointed out the entrepreneurial freedom to decide with whom to enter into commercial agreements or towards whom to direct its business.</w:t>
        <w:br/>
        <w:t>39. Regarding the allegation concerning the failure to specify that Supermoney carries out consulting and sales activities for energy contracts after contacting all users of the comparison site, the Professional stated that this circumstance would not compromise the neutrality or impartiality of the comparison. In any case, the Company clarified that, following the measures voluntarily taken during the proceedings, the comparison made by Supermoney is limited to the offers of the Partners available from time to time; in the immediately following disclaimer “Compare the rates of our partners” - it is clarified that the comparison is limited to the offers available from the Company; the items in the aforementioned disclaimer - as previously highlighted - are all linkable to the page of the Site “About Us and What We Do”; also within the same web page “About Us and What We Do,” the Company clarifies that it has “commercial relationships with the operators whose light and gas offers it compares on its site”; that it receives “a remuneration [...] only if you decide to sign a contract through our mediation”; that, contrary to what has been unjustifiably asserted by the Authority, “The results of the comparison are objective and calculated based on the data entered and are not influenced by commercial agreements with the Partners themselves.”</w:t>
        <w:br/>
        <w:t>40. Regarding the collection of the user's phone number by the Company, it highlighted the further modification made, aimed at making the consultation of the specific disclaimer included in the comparison form mandatory (and no longer merely optional). The Professional stated that it cannot be considered misleading that the consumer must leave their phone number and can only enter into the contract after being contacted by the Company, as a market practice.</w:t>
        <w:br/>
        <w:t>41. Regarding the functioning of the algorithm responsible for the operation of the comparison site, Supermoney stated that it could in no way alter the results of the ranking, being devoid of any discretion, since the algorithm orders the offers (as a result of the user's search) from the cheapest to the most expensive.</w:t>
        <w:br/>
        <w:t>42. Finally, from a procedural standpoint, Supermoney has: i) stated that the right of defense would have been violated, as the allegations made against it by the offices were not clear and detailed; ii) raised, regarding the non-acceptance of the commitments, the difference compared to other previous cases where the allegations were similar to the present ones; iii) complained that the concrete initiatives and measures voluntarily taken and implemented by Supermoney during the proceedings were not valued in the CTI; iv) emphasized that the duration of the practice cannot be traced back to 2016 as a whole, since from that date only the conduct under a) concerning the dissemination of claims about the savings achievable by consumers is relevant.</w:t>
        <w:br/>
        <w:t>IV. OPINION OF THE AUTHORITY FOR GUARANTEES IN COMMUNICATIONS</w:t>
        <w:br/>
        <w:t>43. Since the commercial practice subject to this measure has been disseminated via the Internet, on December 21, 2023, the opinion was requested from AGCOM, pursuant to Article 27, paragraph 6, of the Consumer Code.</w:t>
        <w:br/>
        <w:t>44. In an opinion received on January 17, 2024, the aforementioned Authority expressed its opinion, considering that the Internet is a global communication network capable of quickly offering the user a wide array of information likely to influence their behavior. With reference to the case at hand, AGCOM noted that the means of communication used, in relation to the service offered by the Professional, is suitable for developing a significant impact on consumers who, based on the information read on the Sites used by the Professional, could be induced to make a commercial decision that they would not otherwise have made, thus concretely developing the full potential of the promotional and sales methods used. Therefore, the aforementioned Authority deemed that, based on the documentation on file, in this case, the Internet is a communication tool capable of significantly influencing the realization of the commercial practice under examination, both in terms of misleadingness and the omission of information provided to consumers through the use of comparison sites.</w:t>
        <w:br/>
        <w:t>V. OPINION OF THE REGULATORY AUTHORITY FOR ENERGY NETWORKS AND ENVIRONMENT</w:t>
        <w:br/>
        <w:t>45. Since the commercial practice subject to this measure concerns the energy sector, on December 21, 2023, the opinion was requested from ARERA, pursuant to and for the effects of Article 27, paragraph 1-bis, of the Consumer Code, introduced by Article 1, paragraph 6, letter a), of Legislative Decree No. 21/2014.</w:t>
        <w:br/>
        <w:t>46. In an opinion received on January 18, 2023, the aforementioned Authority made the following considerations. In a preliminary manner and with reference to the contested conduct, without entering into the merits of their compliance with the provisions of the Consumer Code, ARERA specified that it had not</w:t>
      </w:r>
    </w:p>
    <w:p>
      <w:r>
        <w:rPr>
          <w:b/>
        </w:rPr>
        <w:t>[Pages 70–72]</w:t>
      </w:r>
    </w:p>
    <w:p>
      <w:r>
        <w:t>72 BULLETIN NO. 9 OF MARCH 4, 2024</w:t>
      </w:r>
    </w:p>
    <w:p>
      <w:r>
        <w:t>has not adopted regulatory provisions regarding private offer comparators, as it currently has no competencies in this regard. In any case, it has highlighted that the Authority has regulated the creation and management, by the Integrated Information System manager, of a web portal for the collection and publication in open data mode of offers aimed at the generality of domestic final customers and small businesses in the retail electricity and natural gas markets (hereinafter, "Offers Portal").</w:t>
      </w:r>
    </w:p>
    <w:p>
      <w:r>
        <w:t>In particular, the Offers Portal aims to provide small customers with a useful informational tool for comparing the offers available on the market, in order to promote the "empowerment" of consumers to make informed choices, also in view of the gradual phasing out of protection services.</w:t>
      </w:r>
    </w:p>
    <w:p>
      <w:r>
        <w:t>47. Furthermore, the sector regulation to protect final customers, contained in the "Commercial Code of Conduct for the Sale of Electricity and Natural Gas to Final Customers," provides, among other things, specific transparency and information obligations imposed on sellers, even when acting through third parties for the promotion of contractual offers and/or the conclusion of contracts. Since the Professional is not among the subjects authorized to sell electricity and gas to final customers, in relation to the contested conduct and for the purposes of the opinion in question, no violations of sector regulation are found.</w:t>
      </w:r>
    </w:p>
    <w:p>
      <w:r>
        <w:t>48. Moreover, since the Professional conducts the comparison between offers from companies with which it has entered into agency and/or collaboration agreements, and given that all offers available in the retail electricity and natural gas market aimed at the generality of final customers must be published on the Offers Portal, the offers selected by Supermoney on its comparator site must not differ from those published on the same Offers Portal. In this regard, ARERA clarified that there should be no doubt for the consumer that the contents of the website www.supermoney.it are attributable to the Authority itself and/or to the Offers Portal and that the results of the comparison are not attributable, nor minimally referable, to the Authority and/or the Offers Portal, but depend exclusively on Supermoney's discretion.</w:t>
      </w:r>
    </w:p>
    <w:p>
      <w:r>
        <w:t>49. Lastly, the Regulator noted that the reference to the data from ARERA's 2023 Annual Report, made by the Professional, in the documents in the case file, appears generic and imprecise, as it is unclear whether the market shares indicated by the Company: a) refer to the market concerning only domestic customers or include non-domestic customers, which are given by points for Public Lighting and Other uses in the electricity sector, and by points registered to Condominiums, Commerce and services, Industry, Electricity Generation, and Public service activities in the natural gas sector; b) nor whether they have been calculated considering only sales in the free market or if they also include those made to the greater protection services, safeguard services, and the gradual protection service for the electricity sector or the protection service for the natural gas sector. Moreover, the tables contained in the Annual Report that report market shares are calculated, in most cases, starting from the sales data of corporate groups and not from those referring to individual Companies.</w:t>
      </w:r>
    </w:p>
    <w:p>
      <w:r>
        <w:t>VI. CONCLUDING ASSESSMENTS</w:t>
      </w:r>
    </w:p>
    <w:p>
      <w:r>
        <w:t>50. The procedure in question concerns the conduct indicated in paragraph II, carried out by Supermoney, attributable to a single unfair commercial practice in violation of Articles 20, 21, and 22 of the Consumer Code, consisting of the three previously identified conducts, which consist of: a) the dissemination of claims lacking the informative elements related to the methods of obtaining the advertised savings; b) the definition of a ranking of commercial offers in the absence of the criteria used to obtain such ranking; c) the omission of specification that, through the comparator site, Supermoney operates on behalf of its partners as an intermediary/sales agent.</w:t>
      </w:r>
    </w:p>
    <w:p>
      <w:r>
        <w:t>51. Prior to evaluating the aforementioned conducts, it is noted, from a procedural perspective, the unfoundedness of the criticisms raised by the Professional, primarily regarding the alleged violation of the right of defense, supposedly due to the lack of clarity of the allegations made. In this regard, it is observed that this right has been widely guaranteed to the Professional, who, in response to the allegations in the initiation communication, subsequently confirmed in the communication of the closing deadline of the investigation phase, was able to access the case file, present commitments, be heard in a hearing, and submit defensive memoranda, as well as adopt measures aimed at overcoming the contested conducts.</w:t>
      </w:r>
    </w:p>
    <w:p>
      <w:r>
        <w:t>Secondly, it is highlighted, regarding the non-acceptance of the commitments, that it is within the Authority's discretion to assess the suitability of the commitments to remedy the critical aspects subject to contestation or whether there is a prevailing interest in ascertaining an unfair commercial practice.</w:t>
      </w:r>
    </w:p>
    <w:p>
      <w:r>
        <w:t>52. On the merits, with reference to the commercial practice carried out by the Professional, the following assessments are made. Regarding the conduct under a), related to the dissemination of advertising messages aimed, mostly, at emphasizing the savings achievable by consumers, "up to 400 euros," through the use of the comparator site, a widespread lack of information emerged regarding the content of the claims appearing both on the Professional's homepage and on the Google search engine. The hypothesized savings, in fact, would derive from the comparison between the rate related to the most advantageous commercial offer and that of the least advantageous among those present, not on Supermoney's site, but on ARERA's Offers Portal. Conversely, the comparison was made exclusively on the subset of offers from only those operators with whom the Company had partnership relationships. Therefore, the proposed savings were calculated on a basis of offers different from that actually referenced in the comparison. The consumer was not informed of this circumstance in any way, nor could they deduce it independently.</w:t>
      </w:r>
    </w:p>
    <w:p>
      <w:r>
        <w:t>53. For the purposes that are relevant here, the criticism does not concern per se the number of commercial relationships in place between Supermoney and the partner companies, but the circumstance that the consumer's lack of knowledge of the actual consistency of the offers subject to comparison is likely to affect the results achievable in terms of savings compared to those advertised and, therefore, on the consumer's choices.</w:t>
      </w:r>
    </w:p>
    <w:p>
      <w:r>
        <w:t>54. As recalled by the Regulator in its opinion, the offers present in the same Offers Portal include proposals from all operators in the sector, are aimed at the generality of domestic final customers and small businesses in the retail electricity and natural gas markets, so that these consumers can make informed choices.</w:t>
      </w:r>
    </w:p>
    <w:p>
      <w:r>
        <w:t>55. Furthermore, the aforementioned claims disseminated by Supermoney were also lacking the indications regarding the time period considered, so that the amount of savings remained constant over time. Similarly, the omission of relevant information also emerged with reference to further claims, such as the messages included in a section titled "Take the bill test" present on the page https://www.supermoney.it/energia-luce-gas/guide/risparmiare-bolletta-luce/ where, in front of summary information, the potentially achievable savings remained constant, regardless of the chosen offer.</w:t>
      </w:r>
    </w:p>
    <w:p>
      <w:r>
        <w:t>56. During the procedure, the Professional voluntarily removed all promotional messages related to the savings achievable by consumers, which, to date, are no longer disseminated on the comparator site.</w:t>
      </w:r>
    </w:p>
    <w:p>
      <w:r>
        <w:t>57. Regarding the conduct under b), since the service of comparing electricity and gas rates involves a limited number of offers, exclusively related to those proposed by Supermoney's partner suppliers, which overall represent a market share estimated to be less than 50%, there is a lack of informational transparency regarding the methods and criteria for defining the ranking reached. The failure to indicate the criteria for ordering the offers and the time period considered was misleading for consumers who, based on the prominently displayed message "With Supermoney you always find the best rate*", had no knowledge of the rules employed by the Professional for the ordering of the offers, both with reference to the "generic ranking" and the "personalized ranking."</w:t>
      </w:r>
    </w:p>
    <w:p>
      <w:r>
        <w:t>58. During the procedure, the aforementioned information was supplemented by the Professional, who included on the homepage the clarification that "the results of the comparison are based on the most convenient offers among those of our partners [...]". Furthermore, the timing of reference regarding the validity period of the commercial offers was included, concerning the "generic ranking." Additionally, the Professional has removed from the site the indication of market shares related to the commercial Partners in the electricity and gas supply market.</w:t>
      </w:r>
    </w:p>
    <w:p>
      <w:r>
        <w:t>59. As mentioned above, in order to overcome the informational omissions that emerged during the procedure, Supermoney has implemented some measures aimed at increasing transparency, specifying on a page of the website titled "Who we are and what we do," accessible from various sections of the site, some parameters through which the comparison is made, indicating in particular the criteria for comparison, specifying that the results are classified based on price, from the most advantageous offer to the most expensive one. Moreover, in several sections of the site, the Professional has indicated that the selection of offers concerns only those proposed by Supermoney's Partners.</w:t>
      </w:r>
    </w:p>
    <w:p>
      <w:r>
        <w:rPr>
          <w:b/>
        </w:rPr>
        <w:t>[Pages 73–75]</w:t>
      </w:r>
    </w:p>
    <w:p>
      <w:r>
        <w:t>BULLETIN NO. 9 OF MARCH 4, 2024 75</w:t>
      </w:r>
    </w:p>
    <w:p>
      <w:r>
        <w:t>60. Also in this regard, the Professional, in order to remedy this informational omission, has included a disclaimer on the website that is displayed at the time of entering the mobile number in the appropriate box, where it is indicated "We will use your phone number to contact you by phone to provide you with free and non-binding assistance on the services offered [...]".</w:t>
      </w:r>
    </w:p>
    <w:p>
      <w:r>
        <w:t>61. With reference to the conduct under c), relating to the failure to specify the circumstance that, through the comparison website, Supermoney operates on behalf of its Partners as a sales agent, it is noted that this informational deficiency was likely to lead consumers to believe that the Supermoney website was an impartial tool for comparing the offers proposed by the main operators in the sector. In reality, the Professional carries out, through the same website, a commercial intermediation activity exclusively in favor of certain Partner companies supplying electricity and gas from which it derives significant revenues, as emerged during the proceedings.</w:t>
      </w:r>
    </w:p>
    <w:p>
      <w:r>
        <w:t>62. The consumer was not informed of this activity, as demonstrated by the recordings of the audio files of the phone calls. In fact, the consumer believed they were providing their personal data solely for the purpose of obtaining, through the comparison website, an independent classification of the most convenient offers. In reality, the resulting phone contact is aimed at concluding a contract for the supply of electricity and gas with one of its Partners. During the proceedings, it emerged that the user, once reaching the webpage where the offers subject to comparison are listed, can only view the economic characteristics of the same. The only way for the consumer to enter into the contract necessarily involves the intermediation of Supermoney through a phone contact. As emerged during the investigation, all users of the website are contacted again by the Professional for the purpose of carrying out a consulting and sales activity, a circumstance that was not adequately highlighted on the website by the professional.</w:t>
      </w:r>
    </w:p>
    <w:p>
      <w:r>
        <w:t>63. The overall tenor of the information regarding the service offered that was present on the website assumed an ambiguous value, as it did not immediately highlight the real nature and purpose of the comparison website and the role played by the professional as a mere commercial intermediary for some energy suppliers.</w:t>
      </w:r>
    </w:p>
    <w:p>
      <w:r>
        <w:t>64. The Professional, during the proceedings, clarified its role as a sales intermediary, indicating in specific sections of the comparison website that the customer agrees to be contacted by phone for the purpose of signing a gas and electricity supply contract. In fact, a clarification regarding the free nature of the service for users and concerning the remuneration received by Supermoney related to the activation of energy contracts on behalf of the Partners has been included on the homepage. Furthermore, a disclaimer has been included, as already mentioned, where it is clarified that the mobile number provided by the user will be used by the professional for a phone contact in order to provide free assistance.</w:t>
      </w:r>
    </w:p>
    <w:p>
      <w:r>
        <w:t>65. In light of the above, the practice carried out by the Professional, implemented through the aforementioned conducts, characterized by profiles of misleading and omission, constitutes a violation of Articles 20, 21, and 22 of the Consumer Code, also resulting in non-compliance with the professional diligence expected by users of the website in question.</w:t>
      </w:r>
    </w:p>
    <w:p>
      <w:r>
        <w:t>76 BULLETIN NO. 9 OF MARCH 4, 2024</w:t>
      </w:r>
    </w:p>
    <w:p>
      <w:r>
        <w:t>VII. QUANTIFICATION OF THE SANCTION</w:t>
      </w:r>
    </w:p>
    <w:p>
      <w:r>
        <w:t>66. Pursuant to Article 27, paragraph 9, of the Consumer Code, with the measure that prohibits the unfair commercial practice, the Authority orders the application of an administrative pecuniary sanction from €5,000 to €10,000,000, taking into account the seriousness and duration of the violation.</w:t>
      </w:r>
    </w:p>
    <w:p>
      <w:r>
        <w:t>67. Regarding the quantification of the sanction, account must be taken, as applicable, of the criteria identified by Article 11 of Law No. 689/1981,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68. With regard to the seriousness of the violation, account is taken, in the case at hand:</w:t>
        <w:br/>
        <w:t>i) of the economic size of the Professional;</w:t>
        <w:br/>
        <w:t>ii) of the specificity of the energy sector, in which the purchasing consumer finds themselves in a position of inevitable informational asymmetry compared to the operators in the sector, so that the possibility of accessing a comparison website for commercial offers represents a facilitation tool in making an informed choice, also in view of the gradual phasing out of the price protection regime;</w:t>
        <w:br/>
        <w:t>iii) of the dissemination of the commercial practice at the national level carried out also through the dissemination of promotional messages, via the Internet, a tool capable of reaching a multitude of consumers.</w:t>
      </w:r>
    </w:p>
    <w:p>
      <w:r>
        <w:t>69. The Professional achieved, in the financial year 2022, a total business turnover of €39,654,328 and an EBITDA of €23,837,000. Regarding the possible prejudice, it is noted that, taking as a reference only the year 2022, the revenues directly attributable to the commercial intermediation activity carried out by Supermoney in the energy sector amounted to [€2,500,000-€3,500,000].</w:t>
      </w:r>
    </w:p>
    <w:p>
      <w:r>
        <w:t>70. As for the duration of the violation, from the available elements in the records, it appears that the commercial practice has been carried out since 2016 limited to the conduct under a) relating to the dissemination of advertising claims aimed at emphasizing the savings achievable by consumers. With reference to the conducts under b) and c), it appears that at least since 2021, the Professional did not clearly indicate the criteria for classifying the offers, the existence of commercial agreements with the compared operators, nor its role as a sales agent for contracts for the supply of electricity and gas. All conducts have ceased, following the measures voluntarily taken by Supermoney during the proceedings, through informational changes introduced between October and November 2023.</w:t>
      </w:r>
    </w:p>
    <w:p>
      <w:r>
        <w:t>71. For the purposes of determining the sanction, account is taken of the total turnover achieved by the Professional, the revenues obtained specifically from the commercial intermediation activity carried out in the energy sector, the EBITDA achieved by the Professional, as well as the measures voluntarily taken during the proceedings to mitigate the effects of the contested conducts.</w:t>
      </w:r>
    </w:p>
    <w:p>
      <w:r>
        <w:t>72. Taking into account all the factors listed above as well as the need to ensure that the sanction serves its function of general and specific deterrence, it is therefore deemed appropriate to determine the amount of the sanction at €1,480,000 (one million four hundred eighty thousand euros).</w:t>
      </w:r>
    </w:p>
    <w:p>
      <w:r>
        <w:t>CONSIDERING, therefore, taking into account the opinion of the Authority for Communications Guarantees and the opinion of the Regulatory Authority for Energy Networks and Environment, based on the considerations set forth above, that the commercial practice in question, consisting of the dissemination of advertising messages with misleading and omissive content, in the comparison of commercial offers in the absence of a clear indication of the criteria and methods used, and in the failure to specify the circumstance that Supermoney operates, through the comparison website, as a sales agent for some operators in the sector, as commercial partners, is unfair pursuant to the provisions of Articles 20, 21, and 22 of the Consumer Code;</w:t>
      </w:r>
    </w:p>
    <w:p>
      <w:r>
        <w:t>RESOLVES</w:t>
        <w:br/>
        <w:t>a) that the commercial practice described in point II of this measure, carried out by the company Supermoney S.p.A., constitutes, for the reasons and within the limits set out in the motivation, an unfair commercial practice pursuant to Articles 20, 21, and 22 of the Consumer Code and prohibits its dissemination or continuation;</w:t>
        <w:br/>
        <w:t>b) to impose on the company Supermoney S.p.A. an administrative pecuniary sanction of €1,480,000 (one million four hundred eighty thousand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rPr>
          <w:b/>
        </w:rPr>
        <w:t>[Pages 76–78]</w:t>
      </w:r>
    </w:p>
    <w:p>
      <w:r>
        <w:t>78 BULLETIN NO. 9 OF MARCH 4, 2024</w:t>
      </w:r>
    </w:p>
    <w:p>
      <w:r>
        <w:t>Pursuant to Article 27, paragraph 12, of the Consumer Code, in the event of non-compliance with the measure, the Authority applies an administrative pecuniary sanction from 10,000 to 10,000,000 euros. In cases of repeated non-compliance, the Authority may order the suspension of business activities for a period not exceeding thirty days.</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r>
    </w:p>
    <w:p>
      <w:r>
        <w:t>THE SECRETARY GENERAL THE PRESIDENT</w:t>
        <w:br/>
        <w:t>Guido Stazi Roberto Rustichelli</w:t>
      </w:r>
    </w:p>
    <w:p>
      <w:r>
        <w:t>BULLETIN NO. 9 OF MARCH 4, 2024 79</w:t>
      </w:r>
    </w:p>
    <w:p>
      <w:r>
        <w:t>PS12661 - HOT CHIP CHALLENGE</w:t>
      </w:r>
    </w:p>
    <w:p>
      <w:r>
        <w:t>Measure No. 31067</w:t>
      </w:r>
    </w:p>
    <w:p>
      <w:r>
        <w:t>THE COMPETITION AND MARKET AUTHORITY</w:t>
      </w:r>
    </w:p>
    <w:p>
      <w:r>
        <w:t>IN ITS MEETING of February 27, 2024;</w:t>
      </w:r>
    </w:p>
    <w:p>
      <w:r>
        <w:t>HEARD the Rapporteur, Saverio Valentino;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received on November 21, 2023, by which the company DAVE’S S.r.l. submitted commitments pursuant to Article 27, paragraph 7, of the Consumer Code and Article 9 of the Regulation;</w:t>
      </w:r>
    </w:p>
    <w:p>
      <w:r>
        <w:t>HAVING REGARD to the acts of the proceeding</w:t>
      </w:r>
    </w:p>
    <w:p>
      <w:r>
        <w:t>I. THE PARTIES</w:t>
      </w:r>
    </w:p>
    <w:p>
      <w:r>
        <w:t>1. The company DAVE’S S.r.l. (hereinafter also referred to as the Professional) as a professional, pursuant to Article 18, letter b), of the Consumer Code, is engaged in the marketing, supply, and distribution, wholesale and retail, of food products, also through the website https://www.davesamericanfood.com/ (hereinafter, Site), and, in particular, in the distribution in Italy of the product called “Hot Chip Challenge” of the company Hot-Chip s.r.o. with registered office in the Czech Republic. The balance sheet of the Professional, relating to the financial year closed on December 31, 2022, shows revenues of 3,446,005.00 euros.</w:t>
      </w:r>
    </w:p>
    <w:p>
      <w:r>
        <w:t>2. The National Consumers' Union, as the reporting party.</w:t>
      </w:r>
    </w:p>
    <w:p>
      <w:r>
        <w:t>II. THE CONDUCT SUBJECT TO THE PROCEEDING</w:t>
      </w:r>
    </w:p>
    <w:p>
      <w:r>
        <w:t>3. The proceeding concerns the behavior exhibited by the Professional, consisting of i) inducing a challenge – already present in the name of the product (i.e. “Hot Chip Challenge”) – aimed primarily at a group of consumers consisting of adolescents, which is disseminated through the internet page https://www.davesamericanfood.com/prodotto/hot-chip-challenge/; ii) inadequate representation of information regarding the risks associated with the use of the distributed product (i.e. “Hot Chip Challenge”); iii) omission of relevant information considering the distribution of a food product likely to endanger the health and safety of consumers, or likely – due to the marketing methods – to endanger the health and safety of children and adolescents; and iv) omission of relevant information regarding the main characteristics of the distributed product.</w:t>
      </w:r>
    </w:p>
    <w:p>
      <w:r>
        <w:t>80 BULLETIN NO. 9 OF MARCH 4, 2024</w:t>
      </w:r>
    </w:p>
    <w:p>
      <w:r>
        <w:t>III. THE OUTCOMES OF THE PROCEEDING: THE PRESENTATION OF COMMITMENTS</w:t>
      </w:r>
    </w:p>
    <w:p>
      <w:r>
        <w:t>1) The initiation of the investigation, the precautionary sub-proceeding, and the procedure process</w:t>
      </w:r>
    </w:p>
    <w:p>
      <w:r>
        <w:t>4. In relation to the conduct described above, on November 16, 20231, the Professional was notified of the initiation of the investigative proceeding PS12661, as well as the simultaneous initiation of a precautionary sub-proceeding for the possible provisional suspension of the practice. In this context, it was hypothesized that the conduct of DAVE’S S.r.l. could constitute a violation of Articles 20, paragraphs 2 and 3, 21, paragraph 1, letter b), paragraphs 3 and 4, 22, 24, and 25 of the Consumer Code, as it consisted of i) inducing a challenge involving the consumption of potentially harmful and dangerous products for health and personal safety aimed primarily at a group of adolescent consumers, which was disseminated through the internet page https://www.davesamericanfood.com/prodotto/hot-chip-challenge/; ii) inadequate representation of information regarding the risks associated with the use of the distributed product (i.e. “Hot Chip Challenge”); iii) omission of relevant information considering the distribution of a food product likely to endanger the health and safety of consumers, or likely – due to the marketing methods – to endanger the health and safety of children and adolescents; and iv) omission of relevant information regarding the main characteristics of the distributed product.</w:t>
      </w:r>
    </w:p>
    <w:p>
      <w:r>
        <w:t>5. Concurrently with the communication of the initiation of the investigative proceeding and the precautionary sub-proceeding, the Professional was requested, pursuant to Article 27, paragraphs 3 and 4, of the Consumer Code, as well as Articles 8 and 12 of the Regulation, to provide information, along with the relevant documentation, useful for assessing the prerequisites for the possible provisional suspension of the practice and, in general, of the commercial practice under examination, or to indicate the channels through which the marketing, supply, and distribution of the product called “Hot Chip Challenge” were carried out, the number of orders received for each month from 2019 to 2023, and the quantity of product placed on the Italian market, as well as the commercial relationships with the company Hot-Chip s.r.o. as the producer of the “Hot Chip Challenge”.</w:t>
      </w:r>
    </w:p>
    <w:p>
      <w:r>
        <w:t>6. On November 21, 20232, the Professional, within the assigned deadline, submitted a defense memorandum, accompanied by suitable supporting documentation, regarding the assessment of the prerequisites for the possible provisional suspension of the practice, transmitted the requested information in the communication of the initiation of the proceeding regarding the commercial practice under examination, and also presented a proposal for commitments.</w:t>
      </w:r>
    </w:p>
    <w:p>
      <w:r>
        <w:t>7. On November 30, 20233, having assessed the absence of the requirement of particular urgency (periculum in mora), the resolution of non-adoption of the precautionary measure pursuant to Article 27, paragraph 3, of the Consumer Code and Article 8 of the Regulation was communicated to the Professional, adopted by the College in the Meeting of November 28, 2023.</w:t>
      </w:r>
    </w:p>
    <w:p>
      <w:r>
        <w:t>8. On January 10, 20244, the date of conclusion of the investigative phase was communicated to the Party pursuant to Article 16, paragraph 1, of the Regulation.</w:t>
      </w:r>
    </w:p>
    <w:p>
      <w:r>
        <w:t>1 Doc. No. 5 investigative file.</w:t>
        <w:br/>
        <w:t>2 Doc. No. 7 investigative file.</w:t>
        <w:br/>
        <w:t>3 Doc. No. 10 investigative file.</w:t>
        <w:br/>
        <w:t>4 Doc. No. 12 investigative file.</w:t>
      </w:r>
    </w:p>
    <w:p>
      <w:r>
        <w:rPr>
          <w:b/>
        </w:rPr>
        <w:t>[Pages 79–81]</w:t>
      </w:r>
    </w:p>
    <w:p>
      <w:r>
        <w:t>BULLETIN NO. 9 OF MARCH 4, 2024 81</w:t>
      </w:r>
    </w:p>
    <w:p>
      <w:r>
        <w:t>9. On February 2, 20245, the Professional sent the non-confidential version of the commitments.</w:t>
      </w:r>
    </w:p>
    <w:p>
      <w:r>
        <w:t>10. On February 8, 20246, the opinion of the Authority for Communications Guarantees was received.</w:t>
      </w:r>
    </w:p>
    <w:p>
      <w:r>
        <w:t>2) The elements acquired and the commitments of the Professional</w:t>
      </w:r>
    </w:p>
    <w:p>
      <w:r>
        <w:t>11. Based on the report in the records, and the findings made ex officio on the Site, it emerged that the Professional, in the distribution and marketing of the product called “Hot Chip Challenge,” through the reference to a “challenge,” conveyed also through social media, would have exploited the element of challenge and its related danger as leverage to increase the attractiveness of the product, and consequently sales, thereby inducing consumers (especially minors and adolescents) to neglect normal rules of caution and vigilance.</w:t>
      </w:r>
    </w:p>
    <w:p>
      <w:r>
        <w:t>12. It also emerged that the product “Hot Chip Challenge” would be particularly dangerous to the health of consumers to the extent that it is described through expressions such as “so spicy that it is unbearable for some,” “face to face with the reaper,” “it’s a truly unique experience for strong palates,” “the spiciest chip in the world,” “your eyes will start to water,” and through the challenge “how long can you last without running to drink something to put out this fire?” feeding, precisely with such statements, the potential buyer's desire to take on and surpass that challenge, thus neglecting (and not valuing) the actual health risks of the product being sold, or of the challenge that itself becomes part of the product sold as demonstrated by its name and packaging.</w:t>
      </w:r>
    </w:p>
    <w:p>
      <w:r>
        <w:t>13. On November 21, 2023, the Professional submitted a proposal for commitments, pursuant to Article 27, paragraph 7, of the Consumer Code and Article 9 of the Regulation.</w:t>
      </w:r>
    </w:p>
    <w:p>
      <w:r>
        <w:t>14. In particular, these commitments – which are attached to this measure and constitute an integral part thereof – provide that the Professional: (i) no longer market the product “Hot Chip Challenge”; (ii) no longer advertise the product “Hot Chip Challenge” on the website and on social media, as well as (iii) remove the product “Hot Chip Challenge” from its price lists (B2B and B2C).</w:t>
      </w:r>
    </w:p>
    <w:p>
      <w:r>
        <w:t>IV. OPINION OF THE AUTHORITY FOR COMMUNICATIONS GUARANTEES</w:t>
      </w:r>
    </w:p>
    <w:p>
      <w:r>
        <w:t>15. Since the commercial practice subject to this measure has been disseminated through the internet, on January 23, 20247, the opinion was requested from the Authority for Communications Guarantees, pursuant to Article 27, paragraph 6, of the Consumer Code.</w:t>
      </w:r>
    </w:p>
    <w:p>
      <w:r>
        <w:t>16. With resolution No. 33/24/CONS, received on February 8, 2024, the aforementioned Authority expressed its opinion.</w:t>
      </w:r>
    </w:p>
    <w:p>
      <w:r>
        <w:t>17. In particular, with reference to the suitability of the specific means of communication used to disseminate the commercial practice, to impact and amplify any misleading and/or unfairness of the same practice, the aforementioned opinion indicates that “the means of communication used, in relation to the service offered by the Professional, is overall suitable to develop a significant impact on consumers who, based on the information on the Professional's website and in the aforementioned social media platforms, could be induced to make a commercial decision that they otherwise would not have made, thus concretely developing the full promotional potential of the promotion and sales methods used,” believing that “the internet is a means of communication suitable to significantly influence the realization of the commercial practice for which this Authority is requested an opinion.”</w:t>
      </w:r>
    </w:p>
    <w:p>
      <w:r>
        <w:t xml:space="preserve">5 Doc. n. 14 investigative file.  </w:t>
        <w:br/>
        <w:t xml:space="preserve">6 Doc. n. 15 investigative file.  </w:t>
        <w:br/>
        <w:t>7 Doc. n. 13 investigative file.</w:t>
      </w:r>
    </w:p>
    <w:p>
      <w:r>
        <w:t>82 BULLETIN NO. 9 OF MARCH 4, 2024</w:t>
      </w:r>
    </w:p>
    <w:p>
      <w:r>
        <w:t>V. EVALUATION OF THE COMMITMENTS</w:t>
      </w:r>
    </w:p>
    <w:p>
      <w:r>
        <w:t>18. The Authority believes that the commitments proposed by the Professional - taking into account the circumstances of the specific case - are suitable to remedy the possible illegitimacy profiles of the commercial practice contested in the initiation communication of November 16, 2023, consisting of i) inducing a challenge aimed primarily at a group of consumers made up of adolescents disseminated through the website https://www.davesamericanfood.com/prodotto/hot-chip-challenge/; ii) inadequate representation of information regarding the risks associated with the use of the distributed product (i.e. “Hot Chip Challenge”); iii) omission of relevant information considering the distribution of a food product likely to endanger the health and safety of consumers, or likely – due to the marketing methods – to endanger the health and safety of children and adolescents, as well as iv) omission of relevant information regarding the main characteristics of the distributed product.</w:t>
      </w:r>
    </w:p>
    <w:p>
      <w:r>
        <w:t>19. In particular, the commitments proposed by the Professional consisting of (i) no longer marketing the product “Hot Chip Challenge”; (ii) no longer advertising the product “Hot Chip Challenge” on the website and on social media; as well as (iii) removing the product “Hot Chip Challenge” from its price lists (B2B and B2C) – already implemented during the precautionary sub-procedure – appear fully suitable to remove the elements of illegality outlined at the initiation of the investigation.</w:t>
      </w:r>
    </w:p>
    <w:p>
      <w:r>
        <w:t>20. In light of the above considerations, it is believed that the commitments presented meet the requirements set forth in Article 27, paragraph 7, of the Consumer Code.</w:t>
      </w:r>
    </w:p>
    <w:p>
      <w:r>
        <w:t>THEREFORE, it is deemed that the commitments presented by the company DAVE’S S.r.l., in the terms outlined above, are suitable to eliminate the possible profiles of unfairness of the commercial practice subject to investigation;</w:t>
      </w:r>
    </w:p>
    <w:p>
      <w:r>
        <w:t>IT IS DEEMED appropriate to make the aforementioned commitments mandatory for the company DAVE’S S.r.l.;</w:t>
      </w:r>
    </w:p>
    <w:p>
      <w:r>
        <w:t>IT IS FURTHER DEEMED that, considering the significant level of dissemination (also on social media, particularly on TikTok as a platform frequented by a very young audience) that characterized the product “Hot Chip Challenge,” as also noted in the opinion of the Authority for Communications Guarantees, it is necessary to order, pursuant to Article 27, paragraph 7, of the Consumer Code, the publication of the commitments undertaken by DAVE’S S.r.l. at its own expense on the homepage of its website;</w:t>
      </w:r>
    </w:p>
    <w:p>
      <w:r>
        <w:t>THEREFORE, it is deemed appropriate to close the procedure without establishing the infringement;</w:t>
      </w:r>
    </w:p>
    <w:p>
      <w:r>
        <w:t>BULLETIN NO. 9 OF MARCH 4, 2024 83</w:t>
      </w:r>
    </w:p>
    <w:p>
      <w:r>
        <w:t>RESOLVES</w:t>
      </w:r>
    </w:p>
    <w:p>
      <w:r>
        <w:t>a) to make mandatory, for the company DAVE’S S.r.l., pursuant to Article 27, paragraph 7, of the Consumer Code and Article 9, paragraph 2, letter a), of the Regulation, the commitments proposed by it on November 21, 2023, and February 2, 2024, as described in the form attached to this measure, which constitutes an integral part thereof;</w:t>
      </w:r>
    </w:p>
    <w:p>
      <w:r>
        <w:t>b) to close the procedure without establishing the infringement, pursuant to Article 27, paragraph 7, of the Consumer Code and Article 9, paragraph 2, letter a), of the Regulation.</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ORDERS</w:t>
      </w:r>
    </w:p>
    <w:p>
      <w:r>
        <w:t>a) that the company DAVE’S S.r.l. publish, at its own expense, the commitments undertaken pursuant to Article 27, paragraph 7, of the Consumer Code, within thirty days from the notification of this measure, on the homepage of the website https://www.davesamericanfood.com/, and that this publication must remain for a period of sixty days;</w:t>
      </w:r>
    </w:p>
    <w:p>
      <w:r>
        <w:t>b) that the publication must be preceded by communication to the Authority of the date on which it will take place and must be followed, within three days, by sending to the Authority a copy of the relevant webpage.</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r>
    </w:p>
    <w:p>
      <w:r>
        <w:t>Guido Stazi Roberto Rustichelli</w:t>
      </w:r>
    </w:p>
    <w:p>
      <w:r>
        <w:rPr>
          <w:b/>
        </w:rPr>
        <w:t>[Pages 82–83]</w:t>
      </w:r>
    </w:p>
    <w:p>
      <w:r>
        <w:t>84 BULLETIN NO. 9 OF MARCH 4, 2024</w:t>
      </w:r>
    </w:p>
    <w:p>
      <w:r>
        <w:t>ANNEX 1</w:t>
      </w:r>
    </w:p>
    <w:p>
      <w:r>
        <w:t>FORM FOR THE SUBMISSION OF COMMITMENTS PURSUANT TO ART. 27, PARAGRAPH 7 OF THE CONSUMER CODE, ART. 8 PARAGRAPH 7 OF LEGISLATIVE DECREE 145/2007 AND ART. 9 OF THE REGULATION</w:t>
      </w:r>
    </w:p>
    <w:p>
      <w:r>
        <w:t>1) Procedure Number, date of receipt of the communication initiating the procedure by the professional</w:t>
        <w:br/>
        <w:t>Procedure No. PS/12661 - 11/16/2023.</w:t>
      </w:r>
    </w:p>
    <w:p>
      <w:r>
        <w:t>2) Professional submitting the commitments - In the name and on behalf as per Power of Attorney in the records</w:t>
        <w:br/>
        <w:t>DAVE'S S.r.l., tax code 0305618 0809, VAT number 03056180809; represented by the legal representative pro tempore, with registered office at via Strada provinciale 1, 89013, Gioia Tauro (RC).</w:t>
      </w:r>
    </w:p>
    <w:p>
      <w:r>
        <w:t>3) Advertising or commercial practice subject of the communication initiating the procedure</w:t>
        <w:br/>
        <w:t>Unfair commercial practice in violation of Articles 20, paragraphs 2 and 3, 21, paragraph 1, letter b), paragraphs 3 and 4, 22, 24 and 25 of the Consumer Code.</w:t>
      </w:r>
    </w:p>
    <w:p>
      <w:r>
        <w:t>4) Textual content of the proposed commitments and any validity period in relation to the individual profiles subject of the communication initiating the procedure</w:t>
        <w:br/>
        <w:t>The professional Dave’s S.r.l., in its capacity as distributor of the spicy chip “HotChip Challenge”, formally commits to:</w:t>
        <w:br/>
        <w:t>Not to market the specific product “HotChip Challenge”;</w:t>
        <w:br/>
        <w:t>Not to advertise (website and social media) the specific product "HotChip Challenge";</w:t>
        <w:br/>
        <w:t>To remove the specific product "HotChip Challenge" from its price lists (b2c and b2b).</w:t>
      </w:r>
    </w:p>
    <w:p>
      <w:r>
        <w:t>5) Considerations regarding the admissibility and suitability of the commitments to remove the profiles of illegitimacy contested in the initiation of the investigation</w:t>
        <w:br/>
        <w:t>Regarding the admissibility and suitability of the commitments to remove the profiles of illegitimacy contested in the initiation of the investigation, the Professional fully refers to the memorandum (and attachments) submitted concurrently with this commitment act. However, it wishes to clarify that there is no admission of liability as alleged above.</w:t>
      </w:r>
    </w:p>
    <w:p>
      <w:r>
        <w:t>6) Any non-confidential and non-private version of the commitments</w:t>
        <w:br/>
        <w:t>Regarding point no. 6, there are no confidentiality requirements.</w:t>
      </w:r>
    </w:p>
    <w:p>
      <w:r>
        <w:t>Gioia Tauro, on 11/20/2023</w:t>
      </w:r>
    </w:p>
    <w:p>
      <w:r>
        <w:t>Sincerely</w:t>
      </w:r>
    </w:p>
    <w:p>
      <w:r>
        <w:t>Competition and Market Authority Weekly Bulletin</w:t>
        <w:br/>
        <w:t>Year XXXIV - No. 9 - 2024</w:t>
        <w:br/>
        <w:t>Editorial Coordination Giulia Antenucci</w:t>
        <w:br/>
        <w:t>Editorial Staff Angela D’Auria, Valerio Ruocco, Manuela Villani</w:t>
        <w:br/>
        <w:t>Italian Competition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