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http://www.bundeskartellamt.de/SharedDocs/Entscheidung/DE/Fallberichte/Kartellverbot/2013/B03-11-13.pdf;jsessionid=0713801B294939C723A9AAD680CF025B.1_cid387?__blob=publicationFile&amp;v=6</w:t>
      </w:r>
    </w:p>
    <w:p>
      <w:r>
        <w:t>Pages translated : 4</w:t>
      </w:r>
    </w:p>
    <w:p/>
    <w:p>
      <w:r>
        <w:rPr>
          <w:b/>
        </w:rPr>
        <w:t>[Pages 1–3]</w:t>
      </w:r>
    </w:p>
    <w:p>
      <w:r>
        <w:t>Case Report Published on July 16, 2013</w:t>
        <w:br/>
        <w:t>Federal Cartel Office opens interregional competition for ophthalmologists</w:t>
        <w:br/>
        <w:t>Sector: Outpatient medical treatment</w:t>
        <w:br/>
        <w:t>File Number: B3 – 11/13</w:t>
        <w:br/>
        <w:t>Date of Decision: June 26, 2013 and July 1, 2013</w:t>
        <w:br/>
        <w:t>The Federal Cartel Office has terminated a cartel administrative procedure against the Ophthalmologists' Cooperative Brandenburg and AOK Nordost – The Health Fund after receiving commitments under § 32b GWB.</w:t>
      </w:r>
    </w:p>
    <w:p>
      <w:r>
        <w:t>The Ophthalmologists' Cooperative Brandenburg (aägb) and AOK Nordost – The Health Fund (AOK Nordost) have concluded two selective contracts under § 73c SGB V, which relate to cataract surgeries (cataract contract) and the treatment of wet age-related macular degeneration (IVI contract). These contracts previously tied the participation of resident ophthalmologists to the contractual physician's seat in the federal state of Brandenburg. Furthermore, participation in the IVI contract and participation as a conservatively practicing ophthalmologist in the cataract contract additionally required membership in the Ophthalmologists' Cooperative Brandenburg. This membership was, according to the statutes, only accessible to ophthalmologists with a contractual physician's seat in Brandenburg. Operating ophthalmologists who are not members of the cooperative could only participate in the cataract contract upon payment of a one-time compensation fee.</w:t>
      </w:r>
    </w:p>
    <w:p>
      <w:r>
        <w:t>Both selective contracts between the aägb and AOK Nordost as service contracts are subject to antitrust law according to § 69 para. 2 sentence 1 SGB V. The exception regulation of § 69 para. 2 sentence 2 SGB V does not apply, as health insurance funds are not legally obligated to conclude such contracts. The cataract contract and the IVI contract are contracts whose conclusion is at the discretion of the health insurance funds according to § 73c para. 1 SGB V.</w:t>
      </w:r>
    </w:p>
    <w:p>
      <w:r>
        <w:t>The contracts and the statutes of the Ophthalmologists' Cooperative Brandenburg led, according to the preliminary assessment of the Federal Cartel Office, to a restriction of competition in violation of § 1 GWB. Ophthalmologists - especially those from neighboring federal states like Berlin - who have billing authorization in Brandenburg but are only practicing ophthalmology in a branch practice or within the framework of an interregional professional practice association, have so far been unable to participate in the contracts.</w:t>
      </w:r>
    </w:p>
    <w:p>
      <w:r>
        <w:t>A physician receives approval for the location of their practice (contractual physician's seat) according to § 24 para. 1 of the Licensing Regulations for Contract Physicians, which refers to the main practice location. Nevertheless, a physician can also practice beyond the spatial boundaries of their contractual physician's seat in another federal state and bill their activities there to the Association of Statutory Health Insurance Physicians. This can be done either through a branch practice or through an Interregional Professional Practice Association (ÜBAG). A branch practice is defined according to § 1a No. 18 of the Federal Collective Agreement for Physicians as the approved additional practice location of a contractual physician or the ancillary operational facility of a medical care center. Furthermore, a resident physician can operate within the framework of an ÜBAG, § 33 para. 2 of the Physicians' Licensing Regulations. The term ancillary operational facility is used as a general term for any additional practice location of a contractual physician, employed physician, a professional practice association, or a medical care center, cf. § 1a No. 22 of the Federal Collective Agreement for Physicians.</w:t>
      </w:r>
    </w:p>
    <w:p>
      <w:r>
        <w:t>In the cataract contract and IVI contract, which represent selective contracts under § 73c SGB V, medical care outside the so-called standard care is individually agreed upon between the health insurance fund and the service providers or their associations. The insured persons commit themselves with their participation in the services towards the health insurance fund to only use contractually bound service providers for the contractually regulated services and are bound to this for at least one year (§ 73c para. 2 SGB V). The remuneration for the contractually agreed medical services occurs outside the collective contractual total remuneration for standard care based on the agreement and is usually higher than the standard remuneration. Furthermore, services of the selective contracts are not subject to the quantity budgeting according to § 87b SGB V, so that the remuneration is paid in full regardless of the volume of services.</w:t>
      </w:r>
    </w:p>
    <w:p>
      <w:r>
        <w:t>Ophthalmologists who do not have their contractual physician's seat in the federal state of Brandenburg but are lawfully practicing ophthalmology there in a branch practice or ÜBAG (out-of-state ophthalmologists) have so far been excluded from participating in the cataract and IVI contracts and thus restricted in their freedom of action.</w:t>
      </w:r>
    </w:p>
    <w:p>
      <w:r>
        <w:t>Out-of-state ophthalmologists could not participate in the cataract contract, which was exclusively concluded between AOK Nordost and the aägb, which provides for a higher remuneration than can be billed within the framework of standard care. Therefore, out-of-state ophthalmologists could not decide, unlike ophthalmologists with a contractual physician's seat in the federal state of Brandenburg, whether they wanted to offer the contractually regulated services to patients at the local fees. Participation was closed to them from the outset. Patients participating in the program are obligated for one year to have cataract operations performed only by doctors participating in the contract, so that treatment of participating patients by out-of-state ophthalmologists was not possible even within the framework of standard care. Additionally, the cataract contract provides a financial incentive for conservatively practicing ophthalmologists to refer their patients only to operating ophthalmologists who participate in the contract. They receive an additional pre- and post-operative fee for patients who enroll in the treatment program. This additionally leads to patients being directed into the program and not being treated by out-of-state ophthalmologists in competition with ophthalmologists with a contractual physician's seat in Brandenburg.</w:t>
      </w:r>
    </w:p>
    <w:p>
      <w:r>
        <w:t>Participation in the IVI contract has also not been possible for out-of-state ophthalmologists. This contract restricted the freedom of action of out-of-state ophthalmologists, as the services regulated by the IVI contract for intravitreal injections are recognized as statutory health insurance benefits, but cannot be billed via the insured card due to their lack of inclusion in the Uniform Evaluation Standard (EBM). Therefore, the services cannot be billed within the framework of standard care with the health insurance funds; rather, a private billing by the treating physician takes place. The IVI contract serves to enable direct billing with the health insurance funds. Out-of-state ophthalmologists could not directly bill IVI services provided in Brandenburg with the health insurance funds, unlike the contractual physicians working there, but the patient had to pay in advance. This led to a higher administrative burden for out-of-state ophthalmologists and their patients than for the contractual physicians and to a financial prepayment obligation, which could deter patients from consulting an out-of-state ophthalmologist.</w:t>
      </w:r>
    </w:p>
    <w:p>
      <w:r>
        <w:t>According to the preliminary view of the Federal Cartel Office, the restriction of the freedom of action of out-of-state ophthalmologists was not countered by the fact that they or other professional associations are de jure granted the opportunity to conclude their own contracts with AOK Nordost for the services regulated in the IVI contract. Initially, the IVI contract for the area of Brandenburg also required that the contracting partner had their contractual physician's seat in Brandenburg. An identical IVI contract could only be concluded by physicians with a contractual physician's seat in Berlin, for example, for their activities in Berlin. Furthermore, the possibility of individually concluding such a contract was de facto limited, as the conclusion...</w:t>
      </w:r>
    </w:p>
    <w:p>
      <w:r>
        <w:rPr>
          <w:b/>
        </w:rPr>
        <w:t>[Pages 4–4]</w:t>
      </w:r>
    </w:p>
    <w:p>
      <w:r>
        <w:t>of contracts according to § 73c para. 1 SGB V is at the discretion of the health insurance funds, meaning that the competitors of the ophthalmologists organized in the aägb have no entitlement to a contract conclusion or to similar conditions. Furthermore, the AOK Nordost had already achieved the goal pursued by the contract to compensate for supply deficits in the federal state of Brandenburg through the conclusion of the contract with the aägb. This limited competition between the ophthalmologists organized in the aägb with a contractual physician's seat in Brandenburg and the out-of-state ophthalmologists regarding the offer of selectively contracted ophthalmological services under the cataract and IVI contracts.</w:t>
      </w:r>
    </w:p>
    <w:p>
      <w:r>
        <w:t>The restriction of competition was intended and caused by the cataract and IVI contracts, according to the preliminary view of the Federal Cartel Office, and was also noticeable.</w:t>
      </w:r>
    </w:p>
    <w:p>
      <w:r>
        <w:t>After several discussions, the aägb and AOK Nordost agreed to cease the contested behavior. To this end, the aägb and AOK Nordost committed to amend the cataract contract and the IVI contract so that ophthalmologists with a contractual physician's seat outside the federal state of Brandenburg can also participate in the contracts, provided they are legally practicing medicine in the federal state of Brandenburg. Furthermore, in the future, any natural person who is an ophthalmologist and has a practice in Brandenburg shall be able to become a member of the aägb. When concluding future contracts with the aägb, to which antitrust law applies and for which a contractual physician's seat in Brandenburg is not a mandatory (social) legal requirement for participation in the contract, the AOK Nordost will fundamentally enable participation in the contract for those ophthalmologists who only have a practice in Brandenburg, such as those operating a branch practice or working within the framework of an interregional professional practice association in Brandenburg. The aägb will not make a contractual physician's seat in Brandenburg a prerequisite for participation when concluding such contracts with the health insurance funds. The AOK Nordost also committed to prominently indicate on its homepage that the contracts, which were previously only accessible to ophthalmologists with a contractual physician's seat in Brandenburg, can now also be concluded with ophthalmologists who only have a practice in Brandenburg.</w:t>
      </w:r>
    </w:p>
    <w:p>
      <w:r>
        <w:t>This eliminated the disadvantage of out-of-state ophthalmologists both under the cataract and IVI contracts as well as under all new contracts with other health insurance funds, so that they can also benefit from the contracts.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