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https://www.bundeskartellamt.de/SharedDocs/Entscheidung/DE/Fallberichte/Kartellverbot/2013/B05-144-13.pdf;jsessionid=7B36EF72C6AFBA82E33543B0A26931A0.1_cid371?__blob=publicationFile&amp;v=3</w:t>
      </w:r>
    </w:p>
    <w:p>
      <w:r>
        <w:t>Pages translated : 2</w:t>
      </w:r>
    </w:p>
    <w:p/>
    <w:p>
      <w:r>
        <w:rPr>
          <w:b/>
        </w:rPr>
        <w:t>[Pages 1–2]</w:t>
      </w:r>
    </w:p>
    <w:p>
      <w:r>
        <w:t xml:space="preserve">1  </w:t>
        <w:br/>
        <w:t xml:space="preserve">Case Report December 5, 2013  </w:t>
        <w:br/>
        <w:t xml:space="preserve">Federal Cartel Office Achieves Change in Dealer Discount System at GARDENA  </w:t>
        <w:br/>
        <w:t xml:space="preserve">Industry: Garden and Power Tools  </w:t>
        <w:br/>
        <w:t xml:space="preserve">File Number: B5-144/13  </w:t>
        <w:br/>
        <w:t xml:space="preserve">Date of Decision: 27.11.2013  </w:t>
        <w:br/>
        <w:t xml:space="preserve">The Federal Cartel Office has closed proceedings against the garden products manufacturer GARDENA after GARDENA committed to the Federal Cartel Office to treat future sales in brick-and-mortar retail and online sales equally. In granting discounts to retailers, there will no longer be differentiation based on the form of distribution. GARDENA is thus changing its recently introduced contractual clauses, which the Federal Cartel Office assessed as disadvantaging online sales. Specifically, it concerned so-called tiered functional discounts, which GARDENA ultimately linked to the distribution channel (brick-and-mortar or online) through which the product was sold. Retailers had complained about this to the Federal Cartel Office. The Federal Cartel Office examined these conditions and identified a prohibited so-called double pricing system, as the functional discounts were structured in such a way that a retailer could only benefit from the full discounts through their brick-and-mortar sales.  </w:t>
        <w:br/>
        <w:t xml:space="preserve">A double pricing system is referred to when a retailer is granted different purchase prices or different discounts depending on whether they sell their product online or through brick-and-mortar retail. By offering lower discounts and thus higher purchase prices, sales through the internet are disadvantaged. This gives retailers less incentive to reach more and different customers online. This can also deter a retailer from establishing an online distribution channel altogether. Such a double pricing system is therefore a restriction of competition under European and German antitrust law, which, as a core restriction, is not covered by the Block Exemption Regulation for vertical restrictions.1,2  </w:t>
        <w:br/>
        <w:t xml:space="preserve">1 Article 4 b of Regulation (EU) No. 330/2010 of the Commission of April 20, 2010, on the application of Article 101(3) of the Treaty on the Functioning of the European Union (TFEU) to groups of vertical agreements and concerted practices  </w:t>
        <w:br/>
        <w:t>2 See, for example, the Guidelines for Vertical Restraints of the European Commission (OJ of the EU 2010/C 130/1), para. 52 d).</w:t>
      </w:r>
    </w:p>
    <w:p>
      <w:r>
        <w:t xml:space="preserve">2  </w:t>
        <w:br/>
        <w:t xml:space="preserve">It is recognized that brick-and-mortar sales can sometimes be associated with higher costs than sales through the internet. It may then be permissible, for example, to offset these special costs through fixed subsidies that are independent of sales or quantities. In this case, the retailer would retain control over the choice of their distribution channels, as such fixed amounts from the manufacturer generally do not influence the retailer's pricing. However, GARDENA had made the functional discounts dependent on whether the retailer sold the products online or in-store.  </w:t>
        <w:br/>
        <w:t xml:space="preserve">GARDENA has abolished this discount system in the short term and has committed to a new regulation that is free from antitrust concerns: The new conditions apply regardless of whether retailers sell the products online, through brick-and-mortar stores, or simultaneously through both distribution channels (so-called hybrid retailers). Retailers will receive a separate letter from GARDENA regarding the change in discounts. By changing the conditions, GARDENA has rectified the criticized behavior, allowing the proceedings to be closed.  </w:t>
        <w:br/>
        <w:t xml:space="preserve">Further information on the topic "Vertical Restrictions in the Internet Economy" can be found at  </w:t>
        <w:br/>
        <w:t>http://www.bundeskartellamt.de/DE/UeberUns/Veranstaltungen/ArbeitskreisKartellrecht/arbeitskreis kartellrecht_node.html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