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https://www.bundeskartellamt.de/SharedDocs/Entscheidung/DE/Fallberichte/Fusionskontrolle/2023/B1-100-23.pdf?__blob=publicationFile&amp;v=1</w:t>
      </w:r>
    </w:p>
    <w:p>
      <w:r>
        <w:t>Pages translated : 4</w:t>
      </w:r>
    </w:p>
    <w:p/>
    <w:p>
      <w:r>
        <w:rPr>
          <w:b/>
        </w:rPr>
        <w:t>[Pages 1–3]</w:t>
      </w:r>
    </w:p>
    <w:p>
      <w:r>
        <w:t xml:space="preserve">Case Report December 19, 2023  </w:t>
        <w:br/>
        <w:t xml:space="preserve">Approval of the acquisition of control over neuform-Türenwerk Hans Glock GmbH &amp; Co. KG by the Hörmann Group  </w:t>
        <w:br/>
        <w:t xml:space="preserve">Industry: Manufacture and distribution of wooden doors for interior use  </w:t>
        <w:br/>
        <w:t xml:space="preserve">File Number: B1-100/23  </w:t>
        <w:br/>
        <w:t>Date of Decision: October 17, 2023</w:t>
      </w:r>
    </w:p>
    <w:p>
      <w:r>
        <w:t xml:space="preserve">After extensive investigations, the Federal Cartel Office has approved the acquisition of control over neuform-Türenwerk Hans Glock GmbH &amp; Co. KG (hereinafter: Neuform) by the Hörmann Group (hereinafter: Hörmann) in the first phase of review.  </w:t>
        <w:br/>
        <w:t>The target company, Neuform, operates in the field of manufacturing and distributing wooden doors for interior use. In addition to aesthetic design preferences, interior wooden doors can also fulfill various functions (hereinafter: wooden functional doors). The product range of Neuform includes frames and doors made of wood with a variety of different functions, such as fire, sound, smoke, radiation, and burglary protection, as well as protection for wet rooms and moisture-prone areas. Wooden functional doors can also fulfill several of the aforementioned functions in combination. Furthermore, there are different performance classes for certain functions that specify, for example, the duration or extent of sound, burglary, fire, or smoke resistance. Whether a door actually meets the corresponding functions or classifications is determined and documented by independent testing institutes through varying intensities of tests. Depending on the type of functional door, additional door components (locking mechanism, frame, etc.) are necessarily included in the approval. The corresponding door can then only be sold as part of this ensemble. The Hörmann Group is also active in the market for wooden functional doors with the companies Schörghuber, LEBO, and Huga and additionally holds strong positions in the manufacture and distribution of steel doors and frames as well as garage and industrial doors.</w:t>
      </w:r>
    </w:p>
    <w:p>
      <w:r>
        <w:t xml:space="preserve">Wooden functional doors for interior use are primarily used in the commercial sector, i.e., in administrative buildings, hospitals, schools, kindergartens, hotels, nursing homes, office buildings, etc., and less frequently in private residential construction (single-family or two-family houses). Generally, building regulatory requirements of the federal states determine where in a building doors with specific functions must be installed in which performance class. The federal states regularly refer to the Model Building Code for guidance.  </w:t>
        <w:br/>
        <w:t xml:space="preserve">Providers of functional doors must have the appropriate approvals for their products to operate in this market. Predominantly, wooden functional doors are in demand from processors and trade (building materials trade, building hardware, building elements trade). The processors, referred to as "objecteurs," can be companies specializing in the installation of wooden functional doors; however, larger drywall companies, carpentries, and interior fitters also offer the procurement and installation of functional doors as part of a comprehensive package. Not every manufacturer sells its products through each of these distribution channels. For instance, Neuform hardly supplies the trade but almost exclusively objecteurs, while the Hörmann Group serves all distribution channels.  </w:t>
        <w:br/>
        <w:t xml:space="preserve">The Federal Cartel Office has recognized a market for wooden functional doors that does not include simple interior doors (without function), exterior doors, or doors made of other materials. The reasons for this lie in the significantly differing market and provider structures, as well as in the price differences and different, non-interchangeable uses. Due to the legal regulations and approval requirements, a national market was assumed spatially.  </w:t>
        <w:br/>
        <w:t>The Federal Cartel Office extensively surveyed a large number of customers from trade and the objecteurs regarding their alternatives, as well as over 30 providers of wooden functional doors and several licensing systems regarding their sales, sales volumes, and market conditions. In this context, the Federal Cartel Office also examined whether and to what extent market segments could be identified in which the parties involved in the merger could achieve significant market strength through the merger. The surveys also extended to specific performance classes of individual wooden functional doors as well as oversized and extra-large sizes. The exceptionally high heterogeneity of the products due to the wide variety of combinations of functional features was also partially taken into account by the Federal Cartel Office in its investigations. Ultimately, even when considering various market segments, there were no sufficiently substantiated reasons for prohibiting the merger project.</w:t>
      </w:r>
    </w:p>
    <w:p>
      <w:r>
        <w:t xml:space="preserve">On an overall market for wooden functional doors, the two parties involved in the merger are not market leaders even after the merger, but rather compete with a larger number of competent manufacturers, some of which operate internationally. The market for the distribution of wooden functional doors in Germany is fragmented and features some larger providers or corporate groups and a multitude of smaller manufacturers. The share of the parties involved in the merger is below the presumption threshold for statutory market dominance in this market after the merger. Jeld-Wen is the market leader in Germany by a large margin, but the Arbonia Group, Herholz, and Westag are also among the providers that account for a more significant share of the market. These companies are providers specializing in the production of wooden doors and offer a wide range of wooden functional doors that encompasses almost all performance classes. Therefore, the Hörmann Group does not achieve a competitively uncontrolled scope of behavior through the merger in this overall market.  </w:t>
        <w:br/>
        <w:t xml:space="preserve">In the segments based on individual functions or performance classes of wooden functional doors, it is regularly also the aforementioned companies or corporate groups that belong to the significant market participants and sometimes have higher shares than the merged entity. This primarily applies to the segments where larger quantities of certain wooden functional doors are sold, such as soundproof doors (of all performance classes), simple fire protection and burglary protection doors, etc. Since the demand for these doors is relatively high, there is a larger number of active producers, and the shares are distributed accordingly among several competitors. In these segments, the parties involved in the merger are also not the strongest providers even after the merger.  </w:t>
        <w:br/>
        <w:t>In certain other segments, the position of the merger parties is stronger, and there are only relatively few providers. These are wooden functional doors for which only a small number of units sold could be determined in Germany and which meet higher performance classes. To obtain the necessary, often particularly elaborate tests and approvals for these doors, a significant amount of time and costs is required. This must be economically justifiable for a provider given the low sales figures. Therefore, it was expected that fewer providers would be active in these areas. However, even in these individual segments, alongside the parties involved in the merger, at least the aforementioned competitors have significant market shares.</w:t>
      </w:r>
    </w:p>
    <w:p>
      <w:r>
        <w:rPr>
          <w:b/>
        </w:rPr>
        <w:t>[Pages 4–4]</w:t>
      </w:r>
    </w:p>
    <w:p>
      <w:r>
        <w:t>Activities are present in these individual segments, so that there are sufficient options for the demand side. This was also confirmed when considering a possible segment of wooden functional doors that encompasses somewhat higher performance classes - possibly also in combination. Here, too, Jeld-Wen and the Arbonia Group, as well as to a limited extent Westag, are the largest competitors of the parties involved in the merger, who would become market leaders with a slight lead due to the merger.</w:t>
      </w:r>
    </w:p>
    <w:p>
      <w:r>
        <w:t>In evaluating the findings, it was always necessary to consider that the Federal Cartel Office did not conduct a complete survey of the market. For there are not only additional manufacturers who were not surveyed besides the manufacturers interviewed, but also three licensing systems, namely Moralt, STURM, and TSH, which grant licenses to carpentries for the production of almost all queried wooden functional doors and are utilized by them. According to the investigations, not every manufacturer of wooden functional doors sells all performance classes for which their production facilities could be used, meaning there are additional providers who, assuming appropriate economic incentives, could expand the supplier pool for wooden functional doors in certain segments and provide an alternative for demanders.</w:t>
      </w:r>
    </w:p>
    <w:p>
      <w:r>
        <w:t>Even though the merger leads to a market narrowing in an extremely heterogeneous market with highly diversified products, there were no sufficiently robust indications in any segment of the emergence of an uncontrolled behavioral leeway for the parties involved in the merger due to the planned merger.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