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https://www.bundeskartellamt.de/SharedDocs/Entscheidung/DE/Fallberichte/Fusionskontrolle/2021/B1-148-21.pdf?__blob=publicationFile&amp;v=5</w:t>
      </w:r>
    </w:p>
    <w:p>
      <w:r>
        <w:t>Pages translated : 4</w:t>
      </w:r>
    </w:p>
    <w:p/>
    <w:p>
      <w:r>
        <w:rPr>
          <w:b/>
        </w:rPr>
        <w:t>[Pages 1–3]</w:t>
      </w:r>
    </w:p>
    <w:p>
      <w:r>
        <w:t>Case Report 15.11.2021</w:t>
        <w:br/>
        <w:t>__________________________________________________________________________</w:t>
        <w:br/>
        <w:t>Approval of the acquisition of all shares in and sole control over GABLE Holding GmbH, Munich, and MeGa Grundbesitz GmbH, Neuss by STARK Deutschland GmbH, Offenbach am Main</w:t>
        <w:br/>
        <w:t>Industry: Retail of building materials (here particularly roof and facade products)</w:t>
        <w:br/>
        <w:t>File Number: B1-148/21</w:t>
        <w:br/>
        <w:t>Date of Decision: 08.10.2021 (Approval in the first phase)</w:t>
        <w:br/>
        <w:t>__________________________________________________________________________</w:t>
        <w:br/>
        <w:t>The Federal Cartel Office has approved the acquisition of all shares in and sole control over GABLE Holding GmbH, Munich, and MeGa Grundbesitz GmbH, Neuss, by STARK Deutschland GmbH, Offenbach am Main (hereinafter: Stark) in the first review phase. With the merger, Stark will indirectly acquire sole control over Melle Gallhöfer Dach GmbH, Neuss (hereinafter: MeGa).</w:t>
      </w:r>
    </w:p>
    <w:p>
      <w:r>
        <w:t>The merger will result in the parties becoming the leading retailer of roof and facade products when viewed nationwide in Germany. In certain regions, the merger leads to significant market share additions; however, the total combined market shares in the considered regional markets remain below the threshold for the presumption of market dominance.</w:t>
      </w:r>
    </w:p>
    <w:p>
      <w:r>
        <w:t>The merger project was originally notified to the EU Commission on June 29, 2021. On July 20, 2021, the Federal Cartel Office requested a referral of the notified merger project under Article 9 of the Merger Control Regulation. This request was granted by the EU Commission on August 11, 2021 (Case M.10235 - CVC/MeGa Grundbesitz).</w:t>
      </w:r>
    </w:p>
    <w:p>
      <w:r>
        <w:t>MeGa sells roof and facade products as a building materials specialist through a wide network of branches to commercial customers throughout Germany. Stark belongs to the Stark Group (hereinafter: StarkG), which is based in Denmark and primarily distributes building materials to commercial customers in Scandinavia and Germany. The parent company of StarkG is CVC Capital Partners SICAV-FIS S.A., Grand Duchy of Luxembourg. StarkG operates in Germany through 212 branches of its subsidiaries Raab Karcher, Kluwe, Dämmisol, Raab Karcher Handwerkerfachmarkt, Saxonia, Sporkenbach, and Balzer, particularly as a generalist in the distribution of heavy building materials (so-called heavy building materials), which include, in addition to roof and facade products, materials for structural components such as foundations, load-bearing walls, and stairs, as well as tiles, products for drywalls, and other product categories.</w:t>
      </w:r>
    </w:p>
    <w:p>
      <w:r>
        <w:t>Whether the relevant market concerns the retail of heavy building materials as a whole or is limited to the retail of roof and facade products can ultimately remain open. In the retail of roof and facade products, both specialized building materials retailers (specialists) and general building materials retailers (generalists) are significantly active. From the perspective of the demanding craft businesses, the assortments and services of specialists and generalists are similarly good. For the group of do-it-yourself (DIY) hardware stores, which primarily target private customers unlike building materials retailers, this only applies to a limited extent, even though some hardware store operators are increasingly tailoring their offerings to commercial customers and can sometimes compete quite effectively with building materials retailers.</w:t>
      </w:r>
    </w:p>
    <w:p>
      <w:r>
        <w:t>The geographical scope of the affected markets is regional. Market extension variants were considered that extend 30 to 50 kilometers (as the crow flies) around the location of the building materials retailer. The surveyed building materials retailers predominantly indicate that they achieve at least 80 percent of their sales within a radius of up to 50 kilometers around their respective locations. Customer self-pickup predominantly occurs within a distance of up to 30 kilometers. After delivery by the building materials retailer, self-pickup represents the second most important sourcing method from the perspective of commercial customers. Other sourcing methods include the distance business, direct business, and online trade.</w:t>
      </w:r>
    </w:p>
    <w:p>
      <w:r>
        <w:t>The merger will result in the merging parties becoming the leading provider for the retail of roof and facade products when viewed nationwide in Germany. However, the combined sales share in the trade of roof and facade products remains below 10 percent nationwide. The competitive landscape is also highly fragmented and is characterized primarily by medium-sized companies, which account for over 50 percent of the sales volume. In addition, there are some large competitors such as Bauking AG, BayWa AG, and various roofing and facade construction purchasing cooperatives. The demand side also largely consists of small and medium-sized craft businesses, which are only occasionally active on a supra-regional level.</w:t>
      </w:r>
    </w:p>
    <w:p>
      <w:r>
        <w:t>Although the purchasing power of the parties involved in the merger will increase after the merger, it will not reach a critical dimension due to the sales-side share of less than 10 percent when viewed nationwide. Furthermore, the merger has no vertical effects, as the parties involved do not own any manufacturers of building materials, tools, and equipment that operate in the German market.</w:t>
      </w:r>
    </w:p>
    <w:p>
      <w:r>
        <w:t>The retail trade in general building materials is also fragmented. According to estimates, more than 1,500 companies with more than 5,100 locations are active in the market for general building materials in Germany alone. Due to the multitude of market participants, the structure of regional markets for the retail of general building materials is generally sufficiently competitive.</w:t>
      </w:r>
    </w:p>
    <w:p>
      <w:r>
        <w:t>The activities of the parties overlap in some regions to a greater extent. The Federal Cartel Office conducted in-depth investigations in such regions where significant horizontal overlaps were expected in advance. The subject of the in-depth investigations were the geographical areas around the MeGa locations in Biederitz [Saxony-Anhalt], Frankfurt (Oder) [Brandenburg], Nordhausen [Thuringia], Amt Wachsenburg [Thuringia], and Großschweidnitz [Saxony].</w:t>
      </w:r>
    </w:p>
    <w:p>
      <w:r>
        <w:t>During the investigations, 18 competitors and 120 commercial customers of the target company were surveyed in the identified potentially critical areas. Additionally, research was conducted on other competitors that were not surveyed. The investigations revealed that the combined market shares of MeGa and Stark in the retail of roof and facade products in the five potentially competitively critical regional markets are indeed significant, but the threshold for the presumption of individual market dominance under § 18 Abs. 4 (GWB) is mostly clearly undershot in the considered market delineation variants. In the retail of heavy building materials overall, the combined market shares are consistently well below the threshold for the presumption of individual market dominance. Significant competitors in all five regional markets include primarily the roofing purchasing cooperatives, WeGo Systembaustoffe GmbH, Bauking AG, BayWa AG, and Hans Batzner GmbH.</w:t>
      </w:r>
    </w:p>
    <w:p>
      <w:r>
        <w:t>The only critical region with a combined market share close to the presumption threshold for market dominance, when considering a narrower geographical and product market delineation, would be Großschweidnitz in southern Saxony, although here the market volume itself is below the de minimis market threshold mentioned in § 36 Abs. 1 Sentence 2 No. 2 GWB even within a 50-kilometer radius.</w:t>
      </w:r>
    </w:p>
    <w:p>
      <w:r>
        <w:rPr>
          <w:b/>
        </w:rPr>
        <w:t>[Pages 4–4]</w:t>
      </w:r>
    </w:p>
    <w:p>
      <w:r>
        <w:t>20 million euros. Furthermore, the investigations have shown that the merger-related increases in market shares are, with the exception of the Biederitz region near Magdeburg, in the low single-digit percentage range.</w:t>
      </w:r>
    </w:p>
    <w:p>
      <w:r>
        <w:t>The surveyed craft businesses predominantly engage in multi-sourcing, as they do not only purchase roof and facade products from their respective main suppliers but also obtain offers and goods from other dealers. Therefore, they generally have alternative suppliers from whom they could source building materials in the event of a price increase following the merger. Due to this remaining competitive pressure, the pricing behavior of the parties involved in the merger will continue to be sufficiently controlled.</w:t>
      </w:r>
    </w:p>
    <w:p>
      <w:r>
        <w:t>The investigations have thus concluded that effective competition is not hindered by the merger and, in particular, that no dominant market position is established or strengthened. Therefore, the merger project did not meet the prohibition requirements under § 36 Abs. 1 S. 1 GWB and was thus to be cleared.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