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http://www.bundeskartellamt.de/SharedDocs/Entscheidung/DE/Fallberichte/Fusionskontrolle/2016/B1-150-16.pdf;jsessionid=C0410C1E6F8C0B52FEC448B9C3F33C8C.1_cid362?__blob=publicationFile&amp;v=2</w:t>
      </w:r>
    </w:p>
    <w:p>
      <w:r>
        <w:t>Pages translated : 4</w:t>
      </w:r>
    </w:p>
    <w:p/>
    <w:p>
      <w:r>
        <w:rPr>
          <w:b/>
        </w:rPr>
        <w:t>[Pages 1–3]</w:t>
      </w:r>
    </w:p>
    <w:p>
      <w:r>
        <w:t xml:space="preserve">Case Report December 7, 2016  </w:t>
        <w:br/>
        <w:t xml:space="preserve">Approval of the acquisition of Sierra Rutile Ltd. by Iluka Resources Ltd.  </w:t>
        <w:br/>
        <w:t xml:space="preserve">Industry: Mineral Sands, Titanium Dioxide Raw Materials  </w:t>
        <w:br/>
        <w:t xml:space="preserve">File Number: B1-150/16  </w:t>
        <w:br/>
        <w:t>Date of Decision: November 21, 2016</w:t>
      </w:r>
    </w:p>
    <w:p>
      <w:r>
        <w:t>The Federal Cartel Office has approved the acquisition of Sierra Rutile Ltd. by Iluka Resources Ltd. in the main examination procedure.</w:t>
      </w:r>
    </w:p>
    <w:p>
      <w:r>
        <w:t>The merger concerns the area of extraction and distribution of mineral sands or their valuable components. The two involved raw material companies operate in Sierra Leone and Australia in open-pit mining. Among other things, the minerals ilmenite and rutile are extracted. These contain titanium dioxide (chemical: TiO2). This does not occur in pure form in nature but is obtained from the aforementioned titanium dioxide-containing raw minerals or through their processing or refinement into synthetic rutile, titanium slag, and processed titanium slag. The titanium dioxide content of the mentioned raw materials varies significantly between approximately 44% and approximately 96%. The vast majority of the raw materials (approximately 90%) is used in the production of titanium dioxide pigments. These, in turn, are primarily used for the manufacture of paints and coatings, plastics, paper, ink, as well as ceramics, fibers, cosmetics, sunscreens, toothpaste, and other specialty products. Titanium dioxide imparts brightness and opacity to these products due to its high refractive index. Other, far less significant areas of application include the production of titanium and titanium sponge, as well as the manufacture of certain welding products.</w:t>
      </w:r>
    </w:p>
    <w:p>
      <w:r>
        <w:t>The target company Sierra Rutile specializes in the extraction and marketing of particularly titanium dioxide-rich natural rutile. In this area, there are significant horizontal overlaps with the product range of Iluka Resources. Therefore, competitive problems could not be ruled out after initial investigations, necessitating an in-depth examination in a main review procedure. However, based on the in-depth investigations, the Federal Cartel Office was able to rule out that effective competition would be significantly impeded by the merger. It is neither expected that the merger will establish or strengthen a dominant market position of the parties involved, nor is it expected that the merger will lead to non-coordinated effects that significantly impede competition.</w:t>
      </w:r>
    </w:p>
    <w:p>
      <w:r>
        <w:t>In terms of substance, based on the results of the market investigations, there is no assumption of a single overall market for all types of titanium dioxide raw materials. The relevant boundaries for the interchangeability of the raw materials arise particularly from the fact that there are two production processes in the field of pigment manufacturing, each of which uses different titanium dioxide raw materials. Therefore, the competitive assessment was based on separate relevant markets for titanium dioxide raw materials for use in the so-called chloride process (chloride raw materials) on the one hand and for titanium dioxide raw materials for use in sulfate processes (sulfate raw materials) on the other hand. In spatial terms, the raw material markets affected by the merger each have a global dimension.</w:t>
      </w:r>
    </w:p>
    <w:p>
      <w:r>
        <w:t>After the in-depth investigations, a narrow market limited exclusively to natural rutile could be ruled out. Natural rutile is technically and economically sufficiently interchangeable with other higher concentrated chloride raw materials in the context of the production of titanium dioxide pigments. This applies at least for some users even to chloride ilmenite, which has a lower titanium dioxide content. The same applies to manufacturers of titanium and titanium sponge, who can even switch to chloride ilmenite in even larger quantities if necessary. Only the manufacturers of welding products, for whose input needs a maximum of 5% of the annual sales of titanium dioxide raw materials is accounted for, have a more limited selection of substitutes. However, they can also rely on (reduced) chloride ilmenite as well as additionally on chemically synthesized titanium dioxide as alternative options.</w:t>
      </w:r>
    </w:p>
    <w:p>
      <w:r>
        <w:t>As important indicators for delineating a market encompassing various (chloride) raw materials, the Federal Cartel Office assessed the pronounced positive price correlations between the raw materials and the procurement behavior of the buyers, which is characterized by significant fluctuations in the raw material mix used, particularly over time. As a result, the question remains open in this context whether the market for chloride raw materials must be divided into a separate market for chloride ilmenite and a market for chloride raw materials with high titanium dioxide concentration (natural rutile, synthetic rutile, chloride slag, processed titanium slag). Even when applying the respective narrower delineation, the Federal Cartel Office was able to rule out that effective competition would be significantly impeded as a result of the merger.</w:t>
      </w:r>
    </w:p>
    <w:p>
      <w:r>
        <w:t>The prognosis against the emergence or strengthening of a single market-dominant position of the parties was already supported by the fact that the combined market shares of the parties in the relevant markets were each significantly below the statutory presumption threshold for a single market-dominant position. The market investigations also provided no other indications of current or future market dominance by the merger parties.</w:t>
      </w:r>
    </w:p>
    <w:p>
      <w:r>
        <w:t>Since the introduction of the SIEC test into German law, however, mergers also meet the prohibition requirements even if they fall below the threshold and outside the standard example of single market dominance due to non-coordinated or unilateral effects that suggest a significant impediment to effective competition. In markets that, as in the present case, are characterized by relatively homogeneous products, as opposed to highly differentiated consumer goods markets, significant competition-impeding non-coordinated effects can particularly arise from the fact that the merged company, as a result of the merger, has improved capabilities and increased incentives to induce price increases by reducing the supply quantity. If the remaining providers anticipate these enhanced capabilities and incentives and do not respond sufficiently with a compensating expansion of supply quantity, the merger overall leads to a tightening of supply and corresponding price increases.</w:t>
      </w:r>
    </w:p>
    <w:p>
      <w:r>
        <w:t>Based on the results of the in-depth investigations, the Federal Cartel Office was able to rule out for the following reasons that the capabilities and incentives of the parties for a quantity tightening increase to an extent that justifies the expectation of a significant impediment to effective competition: On the one hand, the merger significantly strengthens Iluka's market position in the market segment for natural rutile, and the parties are also to be regarded as close competitors in this respect. On the other hand, however, the area of higher concentrated chloride raw materials is characterized by large overcapacities, so that a strategy of quantity tightening in the natural rutile segment would be compensated by compensating quantity expansions in the chloride slag segment, among other things. The results of the market investigation also indicate that in the event of such a strategy, the entry of newcomers into the market is to be expected. These are already planning corresponding mineral sand mines or refining facilities and are only waiting for a favorable market environment for their realization.</w:t>
      </w:r>
    </w:p>
    <w:p>
      <w:r>
        <w:rPr>
          <w:b/>
        </w:rPr>
        <w:t>[Pages 4–4]</w:t>
      </w:r>
    </w:p>
    <w:p>
      <w:r>
        <w:t>The same applies to expansion projects of already established providers. Market entries are also favored by generally low to moderate market entry barriers. Sierra Rutile, as the target company, has not appeared as a particularly competitive and expansive market participant in relation to Iluka or in the market overall, according to the results of the market investigations. Finally, the market investigations also revealed that manufacturers of titanium dioxide pigments, some of whom are already active in the extraction of the required raw materials and are thus vertically integrated, could effectively counter a strategy of quantity restriction through counter and diversion strategies.</w:t>
      </w:r>
    </w:p>
    <w:p>
      <w:r>
        <w:t>In light of the results of the market investigations, the Federal Cartel Office was also able to rule out that the merger would lead to the emergence or strengthening of a jointly dominant market position and thus significantly impede effective competition through coordinated effects. Although the market share presumptions for a jointly dominant market position are mathematically fulfilled, this presumption can be considered rebutted due to the structural market conditions. The markets for chloride raw materials are, on the one hand, relatively transparent due to the homogeneity of the affected products, the comparatively high degree of concentration, and the availability of detailed market information compiled by external providers. On the other hand, however, the affected markets are characterized by a very asymmetric supplier structure due to the varying degrees of vertical integration and the differentiated product portfolio. The resulting conflicts of interest tend to complicate an agreement on a stable implicitly collusive parallel behavior and market outcome. The analysis of the actual competitive behavior also provided no indications of a lack of internal competition among the leading providers. The comparatively low market entry and expansion barriers, as well as the opportunities and incentives for the market counterpart for promising counter-strategies, also suggested that parallel behavior of the leading providers would be sufficiently destabilized or prevented by effective external competition.</w:t>
      </w:r>
    </w:p>
    <w:p>
      <w:r>
        <w:t>The merger could therefore be approved without conditions or obligations.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