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https://www.bundeskartellamt.de/SharedDocs/Entscheidung/EN/Fallberichte/Kartellverbot/2019/B1-189-18_B1-11-15.pdf?__blob=publicationFile&amp;v=1</w:t>
      </w:r>
    </w:p>
    <w:p>
      <w:r>
        <w:t>Pages translated : 5</w:t>
      </w:r>
    </w:p>
    <w:p/>
    <w:p>
      <w:r>
        <w:rPr>
          <w:b/>
        </w:rPr>
        <w:t>[Pages 1–3]</w:t>
      </w:r>
    </w:p>
    <w:p>
      <w:r>
        <w:t xml:space="preserve">Case summary 10 April 2019  </w:t>
        <w:br/>
        <w:t xml:space="preserve">Fine proceeding against manufacturer of asphalt mixes; DAV guidelines  </w:t>
        <w:br/>
        <w:t xml:space="preserve">Sector: Manufacture of asphalt mixes  </w:t>
        <w:br/>
        <w:t xml:space="preserve">Ref: B1-189/13; B1-11/15  </w:t>
        <w:br/>
        <w:t>Date of Decision: 7 December 2018</w:t>
      </w:r>
    </w:p>
    <w:p>
      <w:r>
        <w:t>On 7 December 2018 the Bundeskartellamt imposed a fine amounting to 1.43 million euros on Gaul GmbH (hereinafter “Gaul”), based in Sprendlingen, for participating in agreements on prices, sales areas, customers and quotas. The agreements took the form of supplier consortia. The order to impose the fine is now final. Gaul is the legal successor of K.H. Gaul GmbH &amp; Co. KG, which since 2011 has belonged to the STRABAG group.</w:t>
      </w:r>
    </w:p>
    <w:p>
      <w:r>
        <w:t>The proceeding was initiated in February 2014 with a sector-wide dawn raid following an application for leniency by Südhessische Asphalt-Mischwerke GmbH &amp; Co. KG based in Hanau (hereinafter “SHM”), a subsidiary of the Werhahn group. At a further stage in the proceeding Gaul also filed an application for leniency and extensively cooperated thereafter with the Bundeskartellamt. Another application for leniency was filed for Mitteldeutsche Hartstein-Industrie GmbH based in Hanau (hereinafter “MHI GmbH”) and the remaining companies of the MHI group by their parent company, Mitteldeutsche Hartstein-Industrie AG (“MHI AG”).</w:t>
      </w:r>
    </w:p>
    <w:p>
      <w:r>
        <w:t>The anticompetitive agreements examined by the Bundeskartellamt in this proceeding concerned the regular formation of supplier consortia for orders of asphalt mixes. Asphalt mixes are produced from aggregates and binding agents like bitumen and are laid on roads and other surfaces in several layers to create rolled asphalt. Asphalt mixes are purchased by road construction companies. Their most important contractor is the public sector. The capacities of the asphalt mixes plants of individual manufacturers are insufficient to guarantee the uninterrupted supply of construction sites at any given time as required by the contractor for major infrastructure projects in road construction. In this economic sector this can lead in individual cases to the formation of bidding syndicates and supplier consortia of two or more asphalt mix manufacturers.</w:t>
      </w:r>
    </w:p>
    <w:p>
      <w:r>
        <w:t xml:space="preserve">2  </w:t>
        <w:br/>
        <w:t xml:space="preserve">Information on the facts established in the fining decision  </w:t>
        <w:br/>
        <w:t>Gaul had its own asphalt mixing plants in Büttelborn, Ludwigshafen, Sprendlingen and Wiesbaden which have meanwhile been transferred to other companies of the STRABAG group. Gaul’s largest competitors were SHM and MHI GmbH, including its affiliate Odenwälder Hartstein-Industrie GmbH based in Hanau (hereinafter “OHI"), which also operate a number of asphalt mixing plants in the relevant market areas.</w:t>
      </w:r>
    </w:p>
    <w:p>
      <w:r>
        <w:t>On the basis of SHM’s and Gaul’s applications for leniency as well as further evidence, the facts established in the fining decision against Gaul are as follows: Based on a basic agreement initiated primarily by SHM’s managing director at the time, which was supported by representatives of Gaul, MHI GmbH and OHI and which dated back to 1999, the terms of which have been practiced since, Gaul regularly participated at least from the period of early 2005 to the end of 2013 covered by the fine in bidding syndicates and supplier consortia for the supply of asphalt mixes. Numerous bilateral supplier consortia were established between SHM and MHI GmbH or OHI. The participating companies neither examined nor questioned the admissibility under competition law of these supplier consortia between close competitors.</w:t>
      </w:r>
    </w:p>
    <w:p>
      <w:r>
        <w:t>On the contrary, the basic agreement from 1999 stipulated that the companies participating in the agreement were basically to form supplier consortia to bid for tenders of supply volumes in excess of 10,000 t of asphalt mixes. At a later date the volume threshold for setting up supplier consortia was significantly reduced. Accordingly the decisive factor for this kind of semi-automatic formation of permanent supplier consortia was purely the anticipated supply volume and not the objective necessity of the consortia or the subjective consideration that one company could not have met the demand on its own. With the aid of a location map; joint “market areas” with overlapping sales radiuses were identified in which suppliers of asphalt mixes which had previously competed with one another were now always to form supplier consortia for larger orders. Gaul was allocated the Wiesbaden market area, in which it was to form supplier consortia primarily with SHM which was also active there. The Darmstadt market area was to be served in principle by trilateral supplier consortia involving Gaul and SHM.</w:t>
      </w:r>
    </w:p>
    <w:p>
      <w:r>
        <w:t>During the period covered by the fining decision, from the beginning of 2005 until the end of 2013, at least 81 bilateral supplier consortia were formed in this way between Gaul and SHM as well as at least 28 trilateral supplier consortia between Gaul, SHM and MHI GmbH/OHI or third parties. Numerous talks between representatives of the companies participating in the basic agreement were held to pave the way for new supplier consortia or to discuss ongoing ones, including at least 120 talks in the relevant period from the beginning of 2005 until the end of 2013 in which</w:t>
      </w:r>
    </w:p>
    <w:p>
      <w:r>
        <w:t xml:space="preserve">3  </w:t>
        <w:br/>
        <w:t>Gaul participated. An important ongoing topic of discussion between Gaul and the other participating companies were target and actual supply quotas and quota balancing measures. In the supplier consortia mostly standard target supply quotas were applied, i.e. usually a target supply quota of 50% of the total asphalt mix tonnage for every participant in a bilateral supplier consortium and a target supply quota of 33% in a trilateral supplier consortium.</w:t>
      </w:r>
    </w:p>
    <w:p>
      <w:r>
        <w:t>As the actual supply quotas later often deviated from the agreed target supply quotas, the companies participating in the basic agreement set up a quota balancing system. Firstly, the participating companies kept individual handwritten lists or summary tables in which they noted the volumes supplied for construction works, balanced out deviations between the target volumes and the volumes actually supplied which were compensated for in subsequent orders with the individual companies or supplier consortia. At a later stage the companies concerned exchanged electronic target and actual supply lists in the form of Excel charts, which formed the basis for compensatory measures between the companies participating in the basic agreement.</w:t>
      </w:r>
    </w:p>
    <w:p>
      <w:r>
        <w:t>Apart from the semi-institutionalised formation of supplier consortia for asphalt mixes, in the case of orders for smaller supply volumes, the basic agreement from 1999 also provided for agreements on which company was to be responsible for the entire order and on the price to be demanded. In some cases these orders were allocated within the consortium to even out deviations in the quotas. In addition to the agreements relating to specific orders there were at least moves between Gaul and SHM towards agreements on customers and a regular exchange on the setting of ex-works prices for small quantities.</w:t>
      </w:r>
    </w:p>
    <w:p>
      <w:r>
        <w:t>In summary, during the period covered by the fining decision, i.e. from the beginning of 2005 to the end of 2013, Gaul systematically participated in agreements on sales areas, customers and supply quotas including price-fixing agreements for the supply of asphalt mixes in the Rhine-Main area. The prime aim of the basic agreement and its various elements was to safeguard the market shares of the participating companies and to prevent the already low price level for larger contracts from falling even further.</w:t>
      </w:r>
    </w:p>
    <w:p>
      <w:r>
        <w:t xml:space="preserve">Leniency applications:  </w:t>
        <w:br/>
        <w:t>In accordance with the Bundeskartellamt's leniency programme, no fine was imposed on SHM. In setting the fine against Gaul the authority took into account that the company had cooperated extensively with the Bundeskartellamt under the authority’s leniency programme and had significantly contributed to clarifying the facts of the case and providing evidence of the violation.</w:t>
      </w:r>
    </w:p>
    <w:p>
      <w:r>
        <w:rPr>
          <w:b/>
        </w:rPr>
        <w:t>[Pages 4–5]</w:t>
      </w:r>
    </w:p>
    <w:p>
      <w:r>
        <w:t>4 Termination of proceeding</w:t>
      </w:r>
    </w:p>
    <w:p>
      <w:r>
        <w:t>The proceeding against the legal successor of MHI GmbH and OHI was discontinued due to a legislative loophole, while the proceeding against MHI AG was discontinued for discretionary reasons. It was therefore not clarified in the context of this proceeding whether the MHI group was involved in this cartel. The proceedings against other asphalt mix manufacturers were terminated as the initial suspicion that they had participated in the anticompetitive agreements could not be confirmed. All proceedings against the individuals involved were also terminated. With the issue of the fine against Gaul, only Gaul GmbH was accused of having committed a cartel offence but not other companies. This therefore does not determine that other companies participated in the agreements. The presumption of innocence applies in this case. The other parties to the proceedings were therefore not formally heard before the fining decision against Gaul was issued.</w:t>
      </w:r>
    </w:p>
    <w:p>
      <w:r>
        <w:t>German asphalt association (DAV) guidelines for examining the admissibility of supplier consortia under competition law</w:t>
      </w:r>
    </w:p>
    <w:p>
      <w:r>
        <w:t>While the fine proceeding was ongoing, the Bundeskartellamt also assisted the German asphalt association (DAV e.V.) in setting up guidelines to help association members judge for themselves whether supplier consortia are admissible under competition law (according to the so-called self-assessment principle). The guidelines explain the following basic rules of appropriate self-assessment: Competition law obliges companies to act independently of one another in the market. However, entering into a supplier consortium with a competitor is admissible under competition law if • (1) the company considering entering a consortium is not in a position to make an offer on its own, and • (2) the cooperation is economically appropriate and commercially reasonable, and • (3) the company can only make an offer by combining its own resources with those of its competitor. All three conditions have to be fulfilled cumulatively. Should these conditions not be met, the formation of a supplier consortium can still be admissible in an exceptional case if a restriction of competition can be justified under Section 2 of the German Competition Act (GWB). However, the requirements for such an exemption are very high.</w:t>
      </w:r>
    </w:p>
    <w:p>
      <w:r>
        <w:t>5 Each case in which a company considers submitting a joint offer by entering a supplier consortium has to be examined and documented individually for its admissibility under competition law before contact is established with a competitor. This applies in particular to the examination of whether the company itself is able to execute the order on its own. Finally, it should be ensured that in the preparation and negotiation of a supplier consortium and during the cooperation no competitively sensitive information is exchanged which is not indispensable for implementing the consortium.</w:t>
      </w:r>
    </w:p>
    <w:p>
      <w:r>
        <w:t>Note</w:t>
      </w:r>
    </w:p>
    <w:p>
      <w:r>
        <w:t>Individuals who have suffered damage due to the infringement may claim compensation from the parties if the legal conditions are fulfilled. Final decisions of the Bundeskartellamt in which an infringement has been found to have occurred have a legally binding effect on the addressee of the fining decision within the meaning of Section 33b GWB. This case summary gives an account of the developments at the date of its publication and does not cover any subsequent events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