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https://www.bundeskartellamt.de/SharedDocs/Entscheidung/DE/Fallberichte/Fusionskontrolle/2020/B1-195_19.pdf;jsessionid=0F923AD5BC852B0026408B361EB98325.1_cid381?__blob=publicationFile&amp;v=4</w:t>
      </w:r>
    </w:p>
    <w:p>
      <w:r>
        <w:t>Pages translated : 8</w:t>
      </w:r>
    </w:p>
    <w:p/>
    <w:p>
      <w:r>
        <w:rPr>
          <w:b/>
        </w:rPr>
        <w:t>[Pages 1–3]</w:t>
      </w:r>
    </w:p>
    <w:p>
      <w:r>
        <w:t>Case Report November 26, 2020</w:t>
        <w:br/>
        <w:t>Bundeskartellamt approves the acquisition of 50 percent of the shares in Roller GmbH &amp; Co. KG and Tejo Möbel Management Holding GmbH &amp; Co. KG by the XXX-Lutz Group only with conditions</w:t>
        <w:br/>
        <w:t>Industry: Furniture Retail</w:t>
        <w:br/>
        <w:t>File Number: B1-195/19</w:t>
        <w:br/>
        <w:t>Date of Decision: November 25, 2020</w:t>
        <w:br/>
        <w:t>By decision of November 25, 2020, the Bundeskartellamt approved the project of the Austrian XXXLutz Group to acquire 50 percent of the shares in Roller GmbH &amp; Co. KG, Gelsenkirchen, and Tejo Möbel Management Holding GmbH &amp; Co. KG, Goslar, through its controlled Mann Mobilia Beteiligungs GmbH, Würzburg, thereby gaining joint control over the aforementioned companies. The Tessner Group, solely controlled by Mr. Hans-Joachim Tessner, remains involved with 50 percent in the target companies through Tessner Holding KG, Goslar. The approval was granted with the condition that 23 locations of the acquirer and the target company in competitively problematic market areas be sold to third parties. The project may only be executed after the Bundeskartellamt has confirmed the fulfillment of the conditions. For this, the parties to the merger must demonstrate the suitability of the specific acquirer(s) of the locations to be sold, along with the respective continuation concept.</w:t>
      </w:r>
    </w:p>
    <w:p>
      <w:r>
        <w:t>The examination of the project by the Bundeskartellamt was limited to the affected sales markets of furniture retail in Germany, as the investigation of the procurement markets remained under the jurisdiction of the European Commission. This exceptional examination by the two mentioned authorities occurred because the merger project would have had to be notified to the European Commission due to the revenues of the involved companies. Since the project will primarily impact Germany, the parties to the merger requested the European Commission to refer the case to the Bundeskartellamt (so-called referral application).1 However, since the procurement markets are expected to extend beyond Germany, meaning that furniture is also purchased by the parties outside of Germany, the European Commission referred the project to the Bundeskartellamt for merger control at the end of January 2020, but only concerning the affected sales markets (relationship between furniture trade/end customer).1 The procedure at the European Commission has not yet been concluded.</w:t>
      </w:r>
    </w:p>
    <w:p>
      <w:r>
        <w:t>The merger, in its originally notified form, was expected to significantly impede effective competition in 25 regional retail furniture markets. The parties involved in the merger are among the leading furniture retailers nationwide, each with a comprehensive network of locations and an online distribution channel. Nationwide, the acquirer XXXLutz Group ranks second in terms of revenue among furniture retailers after IKEA, while the seller Tessner Group ranks fourth. The XXXLutz Group has grown significantly in recent years through acquisitions of other furniture retailers and also through its own new openings in Germany. Unlike the Tessner Group, it operates across Europe and is also expanding into other countries, such as France, with the acquisition of Conforama France currently being reviewed by the French competition authority through the Mobilux (But) controlled by the XXXLutz Group.2</w:t>
      </w:r>
    </w:p>
    <w:p>
      <w:r>
        <w:t>The merger project directly affected 155 locations of the Tessner Group. The 23 "MEDA" kitchen specialty stores of Tessner Holding KG are not included in the transaction. The focus of the examination was on the effects on the stationary discount or take-away segment. In this segment, the parties to the merger, with the distribution lines POCO, Mömax, and Osca/Sparkauf (on the side of XXXLutz) and Roller and tejo’s SB Lagerkauf (on the side of Tessner), are by far the leading providers in terms of number of locations, area coverage, and particularly revenue in Germany. They also exhibit a pronounced competitive proximity to each other. Due to the merger, a loss of the previously intense competition between the parties to the merger was to be expected, particularly in this segment across various regional sales markets. Furthermore, the merger would have been associated with a pronounced merger-related resource growth and improved access of the parties to procurement markets. However, no effective potential competition or countervailing buyer power was found. The same applies to opposing implications of the current COVID-19 pandemic.</w:t>
      </w:r>
    </w:p>
    <w:p>
      <w:r>
        <w:t>I. The affected market for furniture retail</w:t>
        <w:br/>
        <w:t>In terms of subject matter, based on the activities of the parties involved in the merger, the retail trade with items of the basic furniture assortment is affected. The basic furniture assortment includes, among others, kitchen furniture and large appliances, living room and cabinet furniture, upholstered furniture, bedroom furniture, dining room furniture, children's and youth furniture, office furniture, outdoor and garden furniture, bathroom furniture, as well as small furniture and wardrobes. For adequate capture of all relevant competitive forces, it was appropriate to delineate a total market in the form of an assortment market, which also includes online trade as well as providers of partial assortments such as kitchen or upholstered furniture specialty retailers and hardware stores. However, the so-called furniture fringe assortment, such as home textiles, lighting, and boutique goods, was to be excluded.</w:t>
      </w:r>
    </w:p>
    <w:p>
      <w:r>
        <w:t>Within the total market for retail trade in items of the basic furniture assortment, different market segments were identified – with partially fluid transitions. The stationary discount trade on one hand and furniture stores on the other exhibit relevant distinguishing features, so that their separate consideration was relevant for the material assessment, particularly of the competitive proximity of the parties to the merger. Providers in the same segment exert particularly strong competitive pressure on each other. For typical customers of a furniture discounter, other furniture discounters represent the next best alternative. The same generally applies within furniture stores. Therefore, the competitive pressure exerted by furniture stores on furniture discounters (and vice versa) is less pronounced. The competition from IKEA stores, which are classified as furniture stores, is somewhat more significant here. A significantly lower competitive pressure on furniture discounters and furniture stores is exerted by specialized retailers focusing on individual types of furniture. For typical furniture discount customers, for example, purchasing a designer kitchen from a suitably oriented specialty retailer does not represent an alternative due to budget reasons or lack of corresponding willingness to pay.</w:t>
      </w:r>
    </w:p>
    <w:p>
      <w:r>
        <w:rPr>
          <w:b/>
        </w:rPr>
        <w:t>[Pages 4–6]</w:t>
      </w:r>
    </w:p>
    <w:p>
      <w:r>
        <w:t>The delineation of the geographically relevant market is carried out in accordance with previous decision-making practice, based on the target locations of the merger in question. The primary focus is on the catchment area based on 5-digit postal codes, where 90 percent of the customers of the relevant location are resident in terms of revenue. This offers the advantage of directly considering the purchasing decisions actually made by the affected demanders (in the past) and implicitly capturing the specific conditions in the vicinity of each individual location (including the presence of third parties and other own branches, topographical conditions, and transport infrastructure). Additionally, those market areas are included in the consideration that arise based on a broadly set radius of 30 km in a straight line around the target locations. Given the horizontal overlaps identified in the delineated geographical markets, particular focus was placed on the stationary discount segment in the substantive assessment. Furthermore, the parties involved in the merger are also active in the (adjacent) market segment of furniture stores in the domestic market with the distribution channels XXXLutz as well as the jointly controlled distribution channels Zurbrüggen, dodenhof, and Möbelzentrum Pforzheim, as well as the distribution channel Schulenburg of the Tessner Group. The XXXLutz Group is also among the leading providers nationwide here, with 53 locations distributed almost throughout the entire country, eight of which are not solely owned by it. The Tessner Group has eight furniture stores located in Northern Germany. Here too, there are overlaps in some market areas due to the merger that would warrant an individual examination of the conditions for prohibition. Where this was the case, the competitive assessment of the corresponding market areas naturally focused on the segment of furniture stores.</w:t>
      </w:r>
    </w:p>
    <w:p>
      <w:r>
        <w:t>II. Effects of the project</w:t>
      </w:r>
    </w:p>
    <w:p>
      <w:r>
        <w:t>The extensive investigations of the Bundeskartellamt indicated significant unilateral (or non-coordinated) effects on 25 market areas of furniture retail in the domestic market. Unilateral effects are generally to be expected when a merger eliminates important competitive pressure for one or more providers, thereby granting them increased market power. The most immediate effect of the merger lies in the elimination of competition between the merging companies (first-round effect). Other companies, particularly the closer competitors of the parties involved in the merger in the relevant market, may also benefit from the reduction of competitive pressure due to the merger (second-round effect). The merger-related reduction of competitive pressure can lead to significant price increases or other negative effects for the affected demanders in the relevant market. The Bundeskartellamt consistently referred to the basic condition of significant impediment to effective competition (SIEC) in § 36 Abs. 1 Satz 1 GWB when assessing the market areas.</w:t>
      </w:r>
    </w:p>
    <w:p>
      <w:r>
        <w:t>In the substantive examination of the 155 merger-affected market areas, the Bundeskartellamt established certain criteria and market segment-related thresholds for procedural economic reasons and to ensure a uniform approach. These provided an initial indication regarding the existence of the conditions for prohibition but needed to be supplemented by an individual examination of the market and competitive conditions in each relevant market area.</w:t>
      </w:r>
    </w:p>
    <w:p>
      <w:r>
        <w:t>An initial indicative threshold for the existence of the conditions for prohibition in a market area delineated from a discount location in furniture retail is, according to the Bundeskartellamt, a joint market share of the parties involved in the merger of about two-thirds in the stationary discount segment, as well as a merger-related increase in this market segment of at least in the low single-digit percentage range. As further indicative thresholds, the Bundeskartellamt considered a joint share of the parties involved in the merger of at least just under one-third or around 30 percent when considering all furniture retailers with a comprehensive assortment both stationary and online, or at least about one-quarter in the overall market including specialized retailers. At the same time, a merger-related increase of at least in the lower to mid single-digit percentage range had to be added to be able to assume a significant impediment to competition.</w:t>
      </w:r>
    </w:p>
    <w:p>
      <w:r>
        <w:t>In cases where the market area was delineated from a furniture store, the Bundeskartellamt considered, instead of the stationary discount segment, particularly the joint shares of the parties involved in the merger when looking at stationary discount retailers and furniture stores, as well as the increase there. As indicative thresholds, it saw a share of at least about half of the revenues and a merger-related increase in at least the mid single-digit percentage range.</w:t>
      </w:r>
    </w:p>
    <w:p>
      <w:r>
        <w:t>As a result, the Bundeskartellamt is convinced that the conditions for prohibition according to § 36 Abs. 1 Satz 1 GWB were met in 25 market areas, specifically for the 24 discount locations Itzehoe (tejo’s), Schwerin, Bremen-Oslebshausen and Stuhr (near Bremen), Neubrandenburg and Schwedt, Lüneburg (tejo’s) and Uelzen (tejo’s), Gifhorn (tejo’s), Goslar, Goslar (tejo’s) and Helmstedt (tejo’s), Haiger, Plettenberg, Herzogenrath, Karlsruhe and Pforzheim, Bad Neustadt an der Saale, Würzburg, Nürnberg and Regensburg, Mühldorf am Inn, Kaufbeuren, and Tettnang. In most market areas, the above-mentioned indicative thresholds are exceeded—partly significantly. The joint shares in the stationary discount segment exceed 80 percent in more than half of the market areas, and the merger-related increase is almost consistently over 10 percent, in some cases even over 40 percent. When considering all furniture retailers with a comprehensive assortment, the joint share is at least 40 percent in six cases, and the increase is at least 10 percent in seven cases, thus clearly exceeding the mentioned indicative thresholds. The same applies to the overall market, including partial assortments. Here, the joint share exceeds 30 percent in ten cases, and the increase in individual market areas exceeds 10 percent. The conditions for prohibition are also met in the furniture store-related market area Bremen (Schulenburg). The total of 25 SIEC market areas are distributed throughout the entire country. Some are adjacent to each other or overlap to varying degrees, as the following map shows.</w:t>
      </w:r>
    </w:p>
    <w:p>
      <w:r>
        <w:rPr>
          <w:b/>
        </w:rPr>
        <w:t>[Pages 7–8]</w:t>
      </w:r>
    </w:p>
    <w:p>
      <w:r>
        <w:t>III. Clearance with substantial conditions</w:t>
      </w:r>
    </w:p>
    <w:p>
      <w:r>
        <w:t>In order to eliminate the identified significant impediments to competition in the 25 aforementioned market areas, the parties involved in the merger offered commitments to the Bundeskartellamt. The commitments particularly involve the divestiture of a total of 23 retail furniture locations situated in SIEC market areas, including 21 discount markets and two furniture stores, to one or more independent purchasers. The divestiture must occur within a specified timeframe and – structured as a suspensive condition – prior to the execution of the merger.</w:t>
      </w:r>
    </w:p>
    <w:p>
      <w:r>
        <w:t>To secure the structural effect of the divestitures, the parties involved in the merger also offered additional conditions and obligations, which include ensuring the competitiveness of the affected locations and the suitability of the specific purchaser(s).</w:t>
      </w:r>
    </w:p>
    <w:p>
      <w:r>
        <w:t>The thorough examination of the commitments offered by the Bundeskartellamt, including a market test, revealed that the proposed commitments are suitable to avert the prohibition of the merger project. Concerns expressed during the market test regarding the effectiveness were also addressed by the parties in the revision of the commitments. Due to the extensive overlap of the SIEC market areas in and around Bremen and Goslar, the divestiture of a total of 23 locations is sufficient to eliminate the conditions for prohibition in 25 market areas.</w:t>
      </w:r>
    </w:p>
    <w:p>
      <w:r>
        <w:t>The divestiture commitments include, among other things, provisions regarding locations owned or leased, access to necessary storage space, as well as the transfer of inventory and employees. They are subject to a precisely defined implementation period. Furthermore, it was stipulated that the purchasers of the relevant locations must be companies already active in the furniture trade and, in themselves, do not raise competitive concerns prima facie. The Bundeskartellamt ultimately imposed certain obligations on the parties involved in the merger for the period before and after the divestiture of the locations, including a five-year prohibition on repurchase, a five-year prohibition on reopening in certain areas, and a two-year prohibition on poaching key personnel. Additionally, a trustee will be appointed to ensure the divestiture and the fulfillment of the aforementioned obligations.</w:t>
      </w:r>
    </w:p>
    <w:p>
      <w:r>
        <w:t>As a result, the project was cleared with the stated conditions. It may only be executed, due to its structuring as a suspensive condition, after the Bundeskartellamt has confirmed the fulfillment of the conditions. Among other things, the suitability of the specific purchaser(s) of the locations to be divested, along with their respective continuation concepts, will be the subject of the relevant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