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http://www.bundeskartellamt.de/SharedDocs/Entscheidung/EN/Fallberichte/Kartellverbot/2009/B1-200-06.pdf?__blob=publicationFile&amp;v=4</w:t>
      </w:r>
    </w:p>
    <w:p>
      <w:r>
        <w:t>Pages translated : 2</w:t>
      </w:r>
    </w:p>
    <w:p/>
    <w:p>
      <w:r>
        <w:rPr>
          <w:b/>
        </w:rPr>
        <w:t>[Pages 1–2]</w:t>
      </w:r>
    </w:p>
    <w:p>
      <w:r>
        <w:t xml:space="preserve">Case summary  </w:t>
        <w:br/>
        <w:t xml:space="preserve">Fine proceedings against companies in the German clay roof tile sector  </w:t>
        <w:br/>
        <w:t xml:space="preserve">Sector Roof tiles (26)  </w:t>
        <w:br/>
        <w:t xml:space="preserve">Ref. B 1 - 200/06  </w:t>
        <w:br/>
        <w:t xml:space="preserve">Date of Decision 15 December 2008 (cartel agreement)  </w:t>
        <w:br/>
        <w:t>9 February 2009 (breach of duty to supervise)</w:t>
      </w:r>
    </w:p>
    <w:p>
      <w:r>
        <w:t>1. In December 2008 and early 2009, the Bundeskartellamt imposed fines totaling €188 million on nine companies and twelve persons for their involvement in anti-competitive agreements on clay roof tiles.</w:t>
      </w:r>
    </w:p>
    <w:p>
      <w:r>
        <w:t>2. The companies involved are Creaton AG and Pfleiderer Dachziegel GmbH, which belong to the Belgian Etex group, Etex Holding GmbH, Koramic Dachprodukte GmbH &amp; Co. KG, a subsidiary of the Austrian Wienerberger group, Monier GmbH, which formerly belonged to the Lafarge group, Erlus AG, Jacobi Tonwerke GmbH, Walther Dachziegel GmbH, Gebr. Laumans GmbH &amp; Co. KG, and the roof tile factory Nelskamp GmbH. The fines against the companies that belong to a larger group are in the medium to high double-digit million euro range.</w:t>
      </w:r>
    </w:p>
    <w:p>
      <w:r>
        <w:t>3. At a trade association meeting in the summer of 2006, almost the entire clay roof tile sector had agreed to raise prices by 4 – 6% by levying a so-called “energy cost surcharge” for that year. Already in the spring of that year, Creaton, Pfleiderer, Koramic, Lafarge, and Erlus had agreed on a massive price increase in a specific clay roof tile segment. With a market volume of approx. €1 billion in 2006, the clay roof tile market represents an important segment of the building sector.</w:t>
      </w:r>
    </w:p>
    <w:p>
      <w:r>
        <w:t>4. In these proceedings, the fining guidelines issued by the Bundeskartellamt in 2005 were applied, in which the level of fines had been increased. Accordingly, the fines against four companies belonging to groups with an annual turnover of more than €2 billion were significantly raised to increase the deterrent effect. The remaining clay roof tile manufacturers, however, are SMEs and mainly single product manufacturers. In one case, the leading role of a group company within the cartel was taken into closer consideration. After a search of the companies in December 2006, during which substantial evidence was seized, two of the companies filed applications for leniency. In accordance with the Bundeskartellamt’s Leniency Programme, the cooperation offered by both companies was taken into account as a mitigating factor in the calculation of the fines. Other companies also admitted the charges. By the end of February 2009, orders imposing a total fine of €23.7 million had become final. However, Creaton, Pfleiderer, Erlus, and Koramic have challenged the order imposing the fine.</w:t>
      </w:r>
    </w:p>
    <w:p>
      <w:r>
        <w:t>5. A separate double-digit million euro fine was imposed on Etex Holding GmbH for breaching its duty of supervision. The investigations revealed that a senior manager of the Etex group in charge of the European business had found definite indications of an illegal agreement to levy an energy cost surcharge and yet had done nothing to prevent its implementation at the subsidiary companies Creaton and Pfleiderer. Whilst he failed to take the necessary supervisory procedures to prevent the cartel agreement, the fact that he was not actively involved in the agreement was treated as a mitigating factor in the calculation of the fines. Account was also taken of the fact that Creaton and Pfleiderer, as subsidiaries of the Etex Holding GmbH group, had already been fined for their wrongful involvement in the cartel agreement. Etex has challenged the order imposing the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