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http://www.bundeskartellamt.de/SharedDocs/Entscheidung/DE/Fallberichte/Fusionskontrolle/2014/B1-208-14.pdf;jsessionid=D2DAED8809B2AF5E6B973B6739235617.2_cid371?__blob=publicationFile&amp;v=4</w:t>
      </w:r>
    </w:p>
    <w:p>
      <w:r>
        <w:t>Pages translated : 3</w:t>
      </w:r>
    </w:p>
    <w:p/>
    <w:p>
      <w:r>
        <w:rPr>
          <w:b/>
        </w:rPr>
        <w:t>[Pages 1–3]</w:t>
      </w:r>
    </w:p>
    <w:p>
      <w:r>
        <w:t>1</w:t>
        <w:br/>
        <w:t>Case Report November 18, 2014</w:t>
        <w:br/>
        <w:t>Approval of the Acquisition of Sanitec by Geberit</w:t>
        <w:br/>
        <w:t>Industry: Sanitary Ceramics and Sanitary Technology</w:t>
        <w:br/>
        <w:t>File Number: B1 - 208/14</w:t>
        <w:br/>
        <w:t>Date of Decision: November 10, 2014</w:t>
        <w:br/>
        <w:t xml:space="preserve">The Federal Cartel Office has approved the project of the globally active sanitary technology provider Geberit International AG based in Switzerland ("Geberit") in the first phase of the merger control review to acquire control over the bathroom sanitary equipment supplier Sanitec Oyj based in Finland ("Sanitec") through a public takeover bid. </w:t>
        <w:br/>
        <w:t xml:space="preserve">The focus of the review was on conglomerate effects in Germany, particularly whether bundling strategies regarding WC flushing systems and sanitary ceramics would be possible and to what extent there would be economic incentives for such competitive behavior. However, these concerns could be dispelled. The project is also being examined by the competition authorities in France, the Netherlands, Austria, and Poland. </w:t>
        <w:br/>
        <w:t xml:space="preserve">In addition to WC flushing systems, Geberit produces and markets pipelines, appliance connections for basins and bathtubs, as well as fittings. The target company Sanitec manufactures sanitary ceramics for WCs, washbasins, sinks, bidets, and urinals and offers these in Germany under the KERAMAG brand. It also sells bathtubs and shower trays made of composite material, bathroom furniture fittings, and shower partitions. </w:t>
        <w:br/>
        <w:t>The merger affects various supply markets for sanitary technology and ceramics. The substantive and geographical market delineation could ultimately remain open. Geographically, the affected markets are most likely limited to the domestic market. As has already been shown in previous proceedings regarding mergers of wholesalers, the demand of the market-dominating three-tier sanitary distribution (manufacturers, wholesalers, and retailers) in Germany is nationally oriented. It is also not contradicted by the fact that manufacturers sell their products in other EU member states.</w:t>
      </w:r>
    </w:p>
    <w:p>
      <w:r>
        <w:t>2</w:t>
        <w:br/>
        <w:t xml:space="preserve">The product market initially concerned is for WC flushing systems "behind" and "in front of the wall." This includes installation systems, plastic cisterns, and buttons for water control. The market for shower WCs is a distinct market that significantly differs from the WC systems commonly used in Germany without body flushing in terms of function, cleaning scope, and sales price. The market for sanitary ceramics includes WCs (including seats), washbasins, sinks, bidets, and urinals made of ceramic, which are each manufactured according to identical procedures and standards and offered as a coordinated overall range in design. Geberit and Sanitec are not in a close competitive relationship in Germany. There are also no significant supply relationships between the companies. Geberit's WC flushing systems and Sanitec's WC ceramics are complementary products due to their technically standardized connection. The merger control review focused on whether Geberit, after the completion of the merger, would have the opportunity and economic incentives to transfer its strong, possibly even dominant position in the German market for WC flushing systems to the acquired market position in sanitary ceramics through bundling offers (anti-competitive conglomerate effects). Based on the investigations, including interviews with competitors and customers, this was ultimately denied. </w:t>
        <w:br/>
        <w:t xml:space="preserve">The possibility of a technical or economic bundling or the economic incentives for such competitive behavior are excluded for several reasons: A technical bundling would mean that Geberit's flushing systems would only fit with Sanitec's ceramic products. This is contradicted by the fact that WC flushing systems and sanitary ceramics are subject to extensive technical standardization and are therefore interoperable. A change in the product lines away from the standards would harm the brands Geberit and KERAMAG and is therefore not to be expected. Furthermore, in this case, customers could switch to the products of Geberit's competitors. Already today, other competitors, such as Grohe/Lixil, Toto, and Kohler Co., are active in both product areas and could also offer a combined offer. </w:t>
        <w:br/>
        <w:t xml:space="preserve">In response to bundling strategies, cooperation between companies covering only one product area is also conceivable, such as Viega and TECE (WC flushing systems) on one hand and Duravit, Villeroy &amp; Boch, and Roca (sanitary ceramics) on the other. Finally, the strong market position of the opposing market side also argues against the success of bundling strategies. In previous merger control proceedings, the Federal Cartel Office has already established that wholesalers have purchasing power. </w:t>
        <w:br/>
        <w:t xml:space="preserve">An economic bundling of the products through discounts for the purchase of WC flushing systems and sanitary ceramics is also not to be expected. The choice of ceramic products is made by the end customers. In contrast, the selection of WC flushing systems is usually made by the installer. Furthermore, the selection usually occurs at different times. A uniform steering of the demanders through discounts is therefore practically excluded. Additionally, WC flushing systems in bathroom renovations - this area accounts for the largest sales volume in sanitary equipment - do not necessarily need to be replaced together with the WC ceramics due to the additional effort involved. </w:t>
        <w:br/>
        <w:t xml:space="preserve">Against an economic incentive to employ bundling strategies is also the fact that the merged entity would have to accept a certain decline in sales in the highly profitable market for relatively low-value WC flushing systems in order to gain shares in the less profitable sanitary ceramics market for WCs, washbasins, and sinks. Moreover, the possible counter-strategies of competitors and the purchasing power of the opposing market side make successful economic bundling strategies very unlikely. Finally, especially the non-integrated providers could respond to the bundling strategies of the merged company with offers through alternative distribution channels such as hardware stores and online trade, which so far have not had a market penetration comparable to the three-tier distribution in Germany. </w:t>
        <w:br/>
        <w:t>In the market for shower WCs consisting of flushing and shower technology and WC ceramics, Geberit (brand Aqua Clean) currently holds a dominant market position. It is expected that Geberit will source WC ceramics from Sanitec in the future. However, there are no competitive concerns, not least because it is a growing market, into which several new providers have recently entered (including Grohe/Lixil and the Japanese company Toto with the Neorest brand). Other companies have announced their market entry. In recent years, Geberit has had to cede market shares to the newly entered competitors. Significant barriers to entry are therefore not to be expected in this area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