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https://www.bundeskartellamt.de/SharedDocs/Entscheidung/EN/Fallberichte/Fusionskontrolle/2020/B1-216-17.pdf?__blob=publicationFile&amp;v=2</w:t>
      </w:r>
    </w:p>
    <w:p>
      <w:r>
        <w:t>Pages translated : 5</w:t>
      </w:r>
    </w:p>
    <w:p/>
    <w:p>
      <w:r>
        <w:rPr>
          <w:b/>
        </w:rPr>
        <w:t>[Pages 1–3]</w:t>
      </w:r>
    </w:p>
    <w:p>
      <w:r>
        <w:t>1</w:t>
        <w:br/>
        <w:t>Case Summary 20 July 2020</w:t>
        <w:br/>
        <w:t>Unbundling of joint ventures in the ready-mix concrete sector</w:t>
        <w:br/>
        <w:t>Sector: Building materials</w:t>
        <w:br/>
        <w:t>File number: B1-216/17</w:t>
        <w:br/>
        <w:t>Date of decision: July 2020</w:t>
      </w:r>
    </w:p>
    <w:p>
      <w:r>
        <w:t>The Bundeskartellamt has largely concluded its unbundling proceedings in the ready-mix concrete industry. The proceedings were based on the “Sector inquiry cement and ready-mix concrete”1 concluded in 2017 in the context of which the Bundeskartellamt identified 79 joint ventures that were problematic in terms of competition law. 24 of these companies were already unbundled during the sector inquiry without the Bundeskartellamt’s formal intervention. In spring 2018, the Bundeskartellamt initiated unbundling proceedings with regard to 54 joint ventures; in another case, the Bundeskartellamt had already initiated unbundling proceedings due to a complaint. With the exception of three cases in which the already implemented measures merely have to be entered in the commercial register, the altogether 55 unbundling proceedings have been concluded.</w:t>
      </w:r>
    </w:p>
    <w:p>
      <w:r>
        <w:t>No formal decision had to be issued in any of the cases. After the Bundeskartellamt had informed the joint ventures concerned of its preliminary assessment under competition law, the companies in question implemented the unbundling measures they had suggested and discussed with the Bundeskartellamt. As a consequence, the proceedings were discontinued. Two proceedings were terminated for discretionary reasons after assessing the individual case.</w:t>
      </w:r>
    </w:p>
    <w:p>
      <w:r>
        <w:t>Sector inquiry: The basis for the proceedings</w:t>
        <w:br/>
        <w:t>In late 2013, the Bundeskartellamt initiated a sector inquiry into the cement and ready-mix concrete industry in Germany; the investigation results are explained in detail in the final report published in July 2017. The sector inquiry focused on the ready-mix and cement industry’s susceptibility to collusion2 and on horizontal cooperations in the form of joint ventures and supplier consortia.</w:t>
      </w:r>
    </w:p>
    <w:p>
      <w:r>
        <w:t>In the context of the sector inquiry, it was possible to collect information on a total of 1790 ready-mix concrete plants run by 658 operating companies. 444 of these 658 operating companies were joint ventures, meaning at least two companies were partners (the other companies had merely one partner or several natural persons as partners).</w:t>
      </w:r>
    </w:p>
    <w:p>
      <w:r>
        <w:t>Based on the results gathered from the investigations relating to market players, market concentration and market definition, the Bundeskartellamt identified altogether 79 joint ventures which it considered potentially problematic in terms of competition law.</w:t>
      </w:r>
    </w:p>
    <w:p>
      <w:r>
        <w:t>Antitrust-related influence of joint ventures on the ready-mix concrete market</w:t>
        <w:br/>
        <w:t>Horizontal connections and mutual dependence between independent market players are a problem under competition law if they limit the incentives for independent market conduct and lead to the coordination of competitive strategies, prices, other supply parameters or planned investments. In addition, market players can use these networks to access strategic information such as their competitors’ business secrets. Especially in stable supply markets with homogeneous products like cement and ready-mix concrete this may promote the coordination of competition.</w:t>
      </w:r>
    </w:p>
    <w:p>
      <w:r>
        <w:t>The Bundeskartellamt had been aware of the large number of horizontal ties in the form of joint ventures existing in the ready-mix concrete sector for quite some time; this was one of several reasons why the authority initiated the sector inquiry. In many cases, joint ventures serve as the operating company of one or several legally dependent plants.</w:t>
      </w:r>
    </w:p>
    <w:p>
      <w:r>
        <w:t>Joint ventures are companies or corporate law structures in which at least two independent companies hold an interest. Cooperation between the partners of a joint venture is to be regarded as a violation of Section 1 German Competition Act (GWB) or Article 101 TFEU in particular if the partners are still actual or potential competitors in the market, the cooperation appreciably restricts competition, and the requirements for exemption pursuant to Section 2 GWB (or Article 101(3) TFEU) or Section 3 GWB are not fulfilled.</w:t>
      </w:r>
    </w:p>
    <w:p>
      <w:r>
        <w:t>This refers to every parallel and coordinated conduct between competitors which directly restricts competition between the parties without necessarily violating competition law.</w:t>
      </w:r>
    </w:p>
    <w:p>
      <w:r>
        <w:t>2</w:t>
      </w:r>
    </w:p>
    <w:p>
      <w:r>
        <w:t>The reduction of market players associated with establishing a joint venture or the coordination between market players related to this usually results in the appreciable, if not significant, deterioration of competitive structures in the ready-mix concrete sector due to the narrow geographic markets3.</w:t>
      </w:r>
    </w:p>
    <w:p>
      <w:r>
        <w:t>Method and results of the unbundling proceedings</w:t>
        <w:br/>
        <w:t>The companies were classified as joint ventures potentially problematic under competition law based on an A, B, C typology which the Bundeskartellamt had also applied in the context of the sector inquiry into rolled asphalt (case no. B1-100/12); the necessary measures associated with this were also classified in this way.4 Accordingly, a joint venture is classified as a type A joint venture if at least two partners and the joint venture are active in the same product and geographic market.</w:t>
      </w:r>
    </w:p>
    <w:p>
      <w:r>
        <w:t>Type B cases differ from type A cases in terms of ownership structure and the geographic proximity of the partners’ competitive activity. They are further broken down into three configurations (B1-B3). In type B1 cases, the joint venture and, via affiliated companies, at least two partners are active in the same product and geographic market but only one partner controls one of the affiliated companies. In this configuration, the incentives to coordinate competition between the parties are in the specific case largely to be deemed analogous to those in type A cases. Type B2 cases are characterised by the fact that only one partner is active in the same geographic market in which the joint venture carries out its activity and at least one other partner is active in a neighbouring geographic market. In this regard, it especially has to be assessed whether a partner limits its competitive options in the market in which the joint venture is active or whether the joint venture refrains from driving competition in the market in which the partner is active. Type B3 cases are shown to exist if at least two partners of a joint venture that are neither active in the specific market in which the joint venture is active nor carry out their activities in a neighbouring geographic market compete with one another in additional other geographic markets. Restrictions of actual or potential competition between the partners may in this regard result from the partners refraining from conducting independent competitive activities in the joint venture’s market. Moreover, spill-over effects can occur in other markets. Competitive</w:t>
      </w:r>
    </w:p>
    <w:p>
      <w:r>
        <w:t>3 Ready-mix concrete has to be used on the construction site shortly after it has been mixed in order to avoid hardening. This seriously limits delivery distances.</w:t>
      </w:r>
    </w:p>
    <w:p>
      <w:r>
        <w:t>4 Bundeskartellamt: Sector inquiry into rolled asphalt (2012), https://www.bundeskartellamt.de/SharedDocs/Publikation/DE/Sektoruntersuchungen/Sektoruntersuchung%20Walzasphalt%20-%20Abschlussbericht.html (German only).</w:t>
      </w:r>
    </w:p>
    <w:p>
      <w:r>
        <w:rPr>
          <w:b/>
        </w:rPr>
        <w:t>[Pages 4–5]</w:t>
      </w:r>
    </w:p>
    <w:p>
      <w:r>
        <w:t>4</w:t>
        <w:br/>
        <w:t>Coordination can arise from balancing the interests relating to the participation in the joint venture and the interest not to undermine the cooperation through “conflicts” in other markets. Type C cases concern the exchange of competitively sensitive information between a joint venture and one or several partners that do not (jointly) control the joint venture. Since they cannot invoke group privileges, they are fully subject to the prohibition of restrictive agreements pursuant to Section 1 GWB or Article 101(1) TFEU and are not permitted to exchange competitively sensitive information. The unbundling proceedings resulted in the following measures implemented by the joint ventures:</w:t>
      </w:r>
    </w:p>
    <w:p>
      <w:r>
        <w:t xml:space="preserve">Type Type B1 Type B2 Type B3  </w:t>
        <w:br/>
        <w:t xml:space="preserve">A  </w:t>
        <w:br/>
        <w:t xml:space="preserve">Total number of proceedings 31 7* 17* 1  </w:t>
        <w:br/>
        <w:t xml:space="preserve">Structural unbundling 20 3* 12*  </w:t>
        <w:br/>
        <w:t xml:space="preserve">Division of assets 7 1  </w:t>
        <w:br/>
        <w:t xml:space="preserve">Merger 2 1 1  </w:t>
        <w:br/>
        <w:t xml:space="preserve">Sale of joint venture 1 1  </w:t>
        <w:br/>
        <w:t xml:space="preserve">Liquidation of joint venture 1 1  </w:t>
        <w:br/>
        <w:t xml:space="preserve">Solved through measures in 3 other unbundling proceedings  </w:t>
        <w:br/>
        <w:t xml:space="preserve">Agreement to set up Chinese walls (in addition to structural unbundling or other measures) 1 2 2  </w:t>
        <w:br/>
        <w:t>Discontinuation for discretionary reasons 1 1</w:t>
      </w:r>
    </w:p>
    <w:p>
      <w:r>
        <w:t>* One company was classified both as B1 and B2, which is why it is included in both columns. This company was structurally unbundled. A total of 31 of the 55 companies were type A cases. 20 of the 31 companies were structurally unbundled. This means that at least one partner left the joint venture. With regard to one joint venture, the remaining partners additionally agreed to set up a Chinese wall in order to stop the flow of competitively sensitive information to a minority shareholder. Seven joint ventures divided their assets (including distribution to previous shareholders). With respect to two other joint ventures, a merger was carried out. One of the remaining two joint ventures was sold and the other one liquidated. Altogether 24 cases were categorised as type B. Seven of these cases were classified as type B1. Three of these type B1 cases were structurally unbundled; one joint venture additionally agreed on Chinese walls in order to address the type C problem and another one was at the same time assessed as type B2 by the Bundeskartellamt. Another three of the seven type B1 cases no longer had to be dealt with due to structural measures taken in other proceedings; with regard to one of these cases, Chinese walls were additionally agreed. With respect to the seventh type B1 case, a merger was carried out. 17 of the altogether 24 type B cases were type B2 cases. Twelve of these 17 joint ventures were structurally unbundled, Chinese walls were additionally agreed with regard to two joint ventures and one joint venture was at the same time also assessed as type B1. With regard to the remaining four of the 17 joint ventures, one was liquidated and one was sold, the assets of the third joint venture were divided and in the fourth case the plants were temporarily shut down and a merger was carried out. The proceeding against one joint venture was discontinued for discretionary reasons. One of the 55 cases was a type B3 case. This proceeding was discontinued by the Bundeskartellamt for discretionary reasons since in this individual case there were no sufficient indications suggesting potentially appreciable effects on the relevant third market. In the unbundling proceedings relating to the ready-mix concrete sector, the Bundeskartellamt limited itself to type A and type B configurations for discretionary reasons. In this respect, the authority made sure, however, to also address any existing concerns due to type C configurations when solving competition law issues. The Bundeskartellamt reserves the right to review other type C configurations in the future, if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