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https://www.bundeskartellamt.de/SharedDocs/Entscheidung/DE/Entscheidungen/Kartellverbot/2005/B1-248-04.pdf?__blob=publicationFile&amp;v=1</w:t>
      </w:r>
    </w:p>
    <w:p>
      <w:r>
        <w:t>Pages translated : 9</w:t>
      </w:r>
    </w:p>
    <w:p/>
    <w:p>
      <w:r>
        <w:rPr>
          <w:b/>
        </w:rPr>
        <w:t>[Pages 1–3]</w:t>
      </w:r>
    </w:p>
    <w:p>
      <w:r>
        <w:t xml:space="preserve">BUNDESKARTELLAMT  </w:t>
        <w:br/>
        <w:t xml:space="preserve">1. DECISION DIVISION  </w:t>
        <w:br/>
        <w:t xml:space="preserve">B 1 – 248/04  </w:t>
        <w:br/>
        <w:t xml:space="preserve">For publication  </w:t>
        <w:br/>
        <w:t xml:space="preserve">Decision pursuant to § 32c GWB  </w:t>
        <w:br/>
        <w:t xml:space="preserve">Decision  </w:t>
        <w:br/>
        <w:t xml:space="preserve">In the administrative procedure B1 - 248/04  </w:t>
        <w:br/>
        <w:t xml:space="preserve">1. Ziegelwerk Bellenberg Wiest GmbH &amp; Co. KG, 89287 Bellenberg  </w:t>
        <w:br/>
        <w:t xml:space="preserve">2. JUWÖ Poroton – Werk Ernst Jungk &amp; Sohn GmbH, 55597 Wöllstein  </w:t>
        <w:br/>
        <w:t xml:space="preserve">3. Ziegelwerk Klosterbeuren, Ludwig-Leinsing GmbH &amp; Co., 87727 Babenhausen  </w:t>
        <w:br/>
        <w:t xml:space="preserve">4. Georg Rimmele KG, 89584 Ehingen  </w:t>
        <w:br/>
        <w:t xml:space="preserve">5. J. G. Scheerle KG, 88512 Mengen  </w:t>
        <w:br/>
        <w:t xml:space="preserve">6. Adolf Zeller GmbH &amp; Co. KG, 63755 Alzenau  </w:t>
        <w:br/>
        <w:t xml:space="preserve">– Authorized representatives for 1 to 6: Dr. Müller-Feldhammer  </w:t>
        <w:br/>
        <w:t xml:space="preserve">Attorneys at Law Dres. Hicker Hammer  </w:t>
        <w:br/>
        <w:t xml:space="preserve">Müller-Feldhammer  </w:t>
        <w:br/>
        <w:t xml:space="preserve">Arminstr. 14  </w:t>
        <w:br/>
        <w:t xml:space="preserve">70178 Stuttgart –  </w:t>
        <w:br/>
        <w:t xml:space="preserve">– Parties involved –  </w:t>
        <w:br/>
        <w:t xml:space="preserve">The 1st Decision Division of the Bundeskartellamt has decided on October 25, 2005, pursuant to § 32c GWB:  </w:t>
        <w:br/>
        <w:t xml:space="preserve">I.  </w:t>
        <w:br/>
        <w:t xml:space="preserve">Subject to new findings, there is no reason for the Decision Division to take action regarding the cartel agreement of April 1, 2005.  </w:t>
        <w:br/>
        <w:t>- 2 -</w:t>
      </w:r>
    </w:p>
    <w:p>
      <w:r>
        <w:t xml:space="preserve">- 2 -  </w:t>
        <w:br/>
        <w:t xml:space="preserve">II.  </w:t>
        <w:br/>
        <w:t xml:space="preserve">The fee for the decision is set at  </w:t>
        <w:br/>
        <w:t xml:space="preserve">xxx EUR  </w:t>
        <w:br/>
        <w:t xml:space="preserve">(in words: xxx EURO)  </w:t>
        <w:br/>
        <w:t xml:space="preserve">and imposed jointly and severally on the parties involved.  </w:t>
        <w:br/>
        <w:t xml:space="preserve">Reasons  </w:t>
        <w:br/>
        <w:t xml:space="preserve">A. Procedure  </w:t>
        <w:br/>
        <w:t xml:space="preserve">The parties 1 to 6 submitted a request for a decision on August 16, 2005, pursuant to § 3 para. 2 in conjunction with § 32c GWB, regarding the cooperation project outlined in the same letter.  </w:t>
        <w:br/>
        <w:t xml:space="preserve">B. Facts  </w:t>
        <w:br/>
        <w:t xml:space="preserve">The involved companies plan to establish a medium-sized cartel. The contract goods are backing bricks, which, together with aerated concrete blocks, calcium silicate bricks, pumice stones, and concrete blocks, belong to the market for masonry materials for the rising backing masonry. The contract area is the entire territory of the federal states of Baden-Württemberg, Saarland, Rhineland-Palatinate, and the majority of Hesse, as well as the western part of the Free State of Bavaria. The cartel area encompasses approximately 30 million inhabitants.  </w:t>
        <w:br/>
        <w:t xml:space="preserve">The cartel is intended to cover not only the joint procurement of raw materials and joint marketing but also particularly rationalization measures in the areas of distribution and research and development.  </w:t>
        <w:br/>
        <w:t xml:space="preserve">The members distribute the contract goods independently and at their own expense in their own name to customers. The joint distribution is coordinated by a sales manager conference, to which all members send representatives. The sales manager conference sets binding purchase and sale prices, discounts, as well as other conditions and the billing mode for the members.  </w:t>
        <w:br/>
        <w:t>- 3 -</w:t>
      </w:r>
    </w:p>
    <w:p>
      <w:r>
        <w:t xml:space="preserve">- 3 -  </w:t>
        <w:br/>
        <w:t xml:space="preserve">The sales manager conference allocates incoming orders and inquiries among the members based on the criteria of existing customer loyalty, special customer requests, transport costs (to the nearest member), and the respective utilization of the production facilities.  </w:t>
        <w:br/>
        <w:t xml:space="preserve">Later, a newly established company "Mein Ziegelhaus GmbH &amp; Co. KG" is to distribute the contract goods as an agent and as a contractual dealer for the members. In this context, the members are subject to a supply obligation.  </w:t>
        <w:br/>
        <w:t xml:space="preserve">In the cartel area, the involved companies achieve a total market share of approximately 10% in the market for building materials for the rising backing masonry. The cartel members achieved total sales in 2003 ranging from approximately 10 to 20 million euros each. The total sales of all involved companies with contract goods amounted to over 50 million euros. Of this, approximately 11 million euros were attributable to foreign European countries (France, Italy, Austria, Switzerland, Belgium). The total sales of the parties involved with contract goods in the contract area exceeded 40 million euros in 2004.  </w:t>
        <w:br/>
        <w:t xml:space="preserve">C. Legal Assessment  </w:t>
        <w:br/>
        <w:t xml:space="preserve">The Decision Division makes the decision pursuant to § 32c GWB, as the criteria for a significant impairment of interstate trade in regional cartels that only affect part of a Member State are subject to interpretation, have not yet been the subject of official practice, and are significant for a number of medium-sized cartels. They are decisive for the applicability of the primacy of European law. There is no specific regulation corresponding to § 3 GWB for medium-sized cartels in European law.  </w:t>
        <w:br/>
        <w:t xml:space="preserve">There is no reason for the cartel authority to take action because the conditions for a prohibition under § 1 GWB and Article 81 para. 1 of the Treaty establishing the European Community (EC) are not met according to the findings available. This is because European law does not apply (see I.) and the conditions of § 3 para. 1 GWB are fulfilled (see II.)  </w:t>
        <w:br/>
        <w:t xml:space="preserve">I. No Applicability of European Law  </w:t>
        <w:br/>
        <w:t xml:space="preserve">European law is not applicable to the present case. According to § 22 para. 1 GWB in conjunction with Article 3 para. 1 sentence 1 of Regulation (EC) No. 1/2003 of the Council of January 16.  </w:t>
        <w:br/>
        <w:t>- 4 -</w:t>
      </w:r>
    </w:p>
    <w:p>
      <w:r>
        <w:rPr>
          <w:b/>
        </w:rPr>
        <w:t>[Pages 4–6]</w:t>
      </w:r>
    </w:p>
    <w:p>
      <w:r>
        <w:t>- 4 -</w:t>
        <w:br/>
        <w:t>December 2002 for the implementation of the competition rules laid down in Articles 81 and 82 of the Treaty (OJ EC 2003 No. L 1, p. 1) and § 22 para. 2 sentence 3 GWB, Article 81 para. 1 EC is to be applied if an agreement is capable of significantly affecting trade between Member States. The cooperation project intended by the parties does affect interstate trade (see 1.). However, this effect is not significant (see 2.).</w:t>
      </w:r>
    </w:p>
    <w:p>
      <w:r>
        <w:t xml:space="preserve">1. Affecting interstate trade  </w:t>
        <w:br/>
        <w:t>Trade between Member States is affected by the present agreement. Trade between Member States includes all cross-border economic activities, including establishment (see also para. 19 of the Commission's Guidelines on the concept of affecting interstate trade in Articles 81 and 82 of the Treaty, OJ 2004 C 101/07, hereinafter Guidelines on Interstate Trade). The subject of the cartel in question is the coordination and/or assumption of business functions of all kinds related to the production and distribution of backing bricks. Thus, there is an economic activity. This activity is also cross-border. The products manufactured by the cartel members are also delivered abroad within Europe, in 2003 amounting to a total volume of approximately 11 million euros to Austria, Italy, Switzerland, Belgium, and France. It is sufficient that only a part of a Member State is affected (see para. 21 of the Guidelines on Interstate Trade). The interstate nature is also not excluded by the limitation of the contract to domestic territories. A deliberate spatial limitation does not prevent the competition-restricting agreements realized in Germany from having an impact on interstate trade with other Member States (see OLG Düsseldorf, decision of June 10, 2005, Vetra/Danzer, file no. VI – 2 Kart 12/04 (V), p. 7 of the original; the judgment is available at http://www.justiz.nrw.de/RB/index.html). The agreements are also capable of affecting trade between Member States. According to the assessment criteria developed by the Court, the formulation "capable of affecting" means that it can be reasonably foreseen based on objective legal or factual circumstances that the agreement or behavior can directly or indirectly, actually or potentially influence the movement of goods between Member States (see, for example, ECJ 14.12.1983, Kerpen and Kerpen, case 319/82, ECR 1983, 4173, ECJ 10.12.1985, Stichting Sigarettenindustrie, joined cases 240/82 and others, ECR 1985, 3831, para. 48, and ECJ 15.3.2000, Cimenteries CBR, joined cases T-25/95 and others, ECR 2000, II-491, para. 3930). In particular, Community law is applicable when the agreement or behavior is capable of affecting the competitive structure in the Community (Guidelines on Interstate Trade para. 23). The formulation "capable of affecting" and the Court's reference to a "sufficient probability" mean that it is not necessary for the applicability of Community law that the agreement or behavior will actually affect trade between Member States or has affected it. It is sufficient that the agreement or behavior is "capable" of causing such effects (see, for example, ECJ 7.10.1999, Irish Sugar, case T-228/97, ECR 1999, II-2969, para. 170, and ECJ 1.2.1978, Miller, case 19/77, ECR 1978, 131, para. 15). Furthermore, there is no obligation or necessity to calculate the actual volume of trade between Member States affected by the agreement or behavior (see para. 27 of the Guidelines on Interstate Trade). The planned agreements lead to several formerly independent companies now presenting themselves uniformly to customers regarding a variety of competitive parameters. This changes the competitive structure. The nature of the goods covered by the agreement also provides an indication of whether trade between Member States can be affected (Guidelines on Interstate Trade para. 30). Here, the capability to affect arises also from the fact that the goods in question are actually traded cross-border (see also OLG Düsseldorf, decision of June 10, 2005, Vetra/Danzer, file no. VI – 2 Kart 12/04 (V), p. 7). The participating companies also maintain production facilities abroad and generate foreign sales amounting to approximately 11 million euros. The agreement is thus capable of affecting trade between Member States.</w:t>
      </w:r>
    </w:p>
    <w:p>
      <w:r>
        <w:t>- 6 -</w:t>
        <w:br/>
        <w:t xml:space="preserve">2. Appreciable Effect  </w:t>
        <w:br/>
        <w:t>The present cartel agreement does not appreciably affect interstate trade. There is a lack of appreciable effect if the agreement, due to the weak market position of the participating companies, is not capable of affecting the relevant market more than insignificantly (ECJ 09.07.1969, Völk/Verwaecke, ECR 1969, 295, para. 7; ECJ 06.05.1971, Cadillon/Höss, ECR 1971, 351, paras. 7/10). Although the participating companies are small and medium-sized enterprises, whose agreements, according to the Commission, are rarely capable of appreciably affecting trade between Member States due to their regularly local and regional focus (see para. 50 of the Guidelines on Interstate Trade), the appreciability of the trade effect in the present case is not excluded from the outset. This is because the cartel members are active across borders. They sell contract goods in France, Italy, Austria, Switzerland, and Belgium worth approximately 11 million euros. For the determination of the appreciability of the effect on interstate trade, an individual case examination is required, as neither the positive nor the negative presumption of appreciability applies: The negative presumption of appreciability (see para. 52 of the Guidelines on Interstate Trade), according to which the appreciability of horizontal agreements is generally to be denied if the combined market share of the parties on any relevant market affected by the agreement is not greater than 5% and their annual turnover with goods covered by the agreement within the Community (contract goods) does not exceed 40 million euros, is not fulfilled. This is because the cartel has a market share of nearly 10% in the affected German regional market for building materials for the rising backing masonry, and the Community-wide turnover with contract goods in the contract area exceeded 40 million euros. The positive presumption rule (see para. 53 of the Guidelines on Interstate Trade) also does not apply, although both thresholds (i.e., more than 40 million euros turnover with the goods covered by the agreement within the Community or more than 5% market share of the participating companies in the spatially and factually relevant market) are exceeded. This is because the positive presumption of appreciability is not applicable to the present case constellation. The application of the positive presumption</w:t>
      </w:r>
    </w:p>
    <w:p>
      <w:r>
        <w:rPr>
          <w:b/>
        </w:rPr>
        <w:t>[Pages 7–9]</w:t>
      </w:r>
    </w:p>
    <w:p>
      <w:r>
        <w:t xml:space="preserve">- 7 -  </w:t>
        <w:br/>
        <w:t xml:space="preserve">requires that an agreement is, by its nature, capable of affecting trade between Member States, as is the case with agreements that concern imports and exports or extend to several Member States (see para. 53 sentence 1 of the Guidelines on Interstate Trade). However, the cartel agreement of the participating companies does not include the exports of the members, and the cartel area does not extend to several Member States, but only to the southwestern part of the Federal Republic of Germany.  </w:t>
        <w:br/>
        <w:t xml:space="preserve">The required individual case examination must be oriented towards the general principles of appreciability (see para. 59 and 45 of the Guidelines on Interstate Trade). According to this, the appreciability of the trade restriction is ultimately to be denied.  </w:t>
        <w:br/>
        <w:t xml:space="preserve">The stronger the market position of the participating companies, the greater the likelihood that a restriction of trade between Member States will be classified as appreciable due to an agreement (point 45 a. E. of the Guidelines on Interstate Trade). In the case of agreements that only concern a part of a Member State, the market position of the participating companies must exceed a higher threshold than that of the positive presumption of appreciability in order to affirm the appreciable restriction of trade. According to the opinion of the decision-making department, therefore, in the case of an agreement among medium-sized construction material companies that spatially and quantitatively concerns less than half of the territory of the Federal Republic of Germany, the appreciability of the trade restriction is generally to be denied if the parties have a market share of less than 10% in the relevant market and have an insignificant market position abroad.  </w:t>
        <w:br/>
        <w:t xml:space="preserve">Furthermore, there are no indications of market foreclosure. Trade between Member States can be appreciably affected by an agreement that only concerns a part of a Member State if the agreement forecloses a non-negligible part of a Member State (paras. 77, 84, 89, 90 of the Guidelines on Interstate Trade). In the area covered by the cartel agreement (Baden-Württemberg, Rhineland-Palatinate, Saarland in full, almost all of Hesse, and parts of Bavaria), approximately 30 million inhabitants live, so that a non-negligible part of the Federal Republic and its trade-open area is affected by the cartel. However, in this regional market, it has only a market share of just under 10%. Therefore, the cartel, consisting of small and medium-sized enterprises, does not have a market position that would allow it to foreclose the market. Other appreciable effects of the agreement are not apparent. The cartel's market position abroad is completely insignificant.  </w:t>
        <w:br/>
        <w:t xml:space="preserve">European law is therefore not applicable to the present agreement due to the lack of appreciability of the restriction of interstate trade.  </w:t>
        <w:br/>
        <w:t xml:space="preserve">II. Assessment according to § 1 and § 3 GWB  </w:t>
        <w:br/>
        <w:t xml:space="preserve">Agreements between competing companies that concern the rationalization of economic processes through inter-company cooperation are exempt from the cartel prohibition of § 1 GWB according to § 3 para. 1 GWB if they do not significantly impair competition in the market and the agreement serves to improve the competitiveness of small or medium-sized enterprises.  </w:t>
        <w:br/>
        <w:t xml:space="preserve">The submitted cartel agreement is an agreement within the meaning of § 1 GWB between small and medium-sized enterprises.  </w:t>
        <w:br/>
        <w:t xml:space="preserve">The cartel agreement concerns the rationalization of economic processes. This includes measures that improve the ratio of operational expenditure of the economic processes to the yield – converted to the production unit – for each participating small and medium-sized enterprise. This includes cooperative measures, particularly in the areas of production, research and development, financing, administration, advertising, as well as purchasing and distribution. The inter-company cooperation can take place both in the form of coordination and the outsourcing and communalization of individual or several company functions. The planned measures constitute a rationalization of economic processes within the meaning of § 3 para. 1 GWB.  </w:t>
        <w:br/>
        <w:t xml:space="preserve">Price agreements may be permissible if they are directly related to a cooperation aimed at increasing competitiveness and serve the rationalization. This can particularly be the case with an advertising or distribution community of medium-sized enterprises. The obligation for exclusive distribution through a common sales point (so-called supply obligation) can also be the subject of an agreement under § 3 para. 1 GWB if and to the extent that it is associated with a rationalization.  </w:t>
        <w:br/>
        <w:t xml:space="preserve">Through the cooperation, competition in the affected regional market for the rising backing masonry is not significantly impaired. The market for rising backing masonry includes, in addition to backing bricks, aerated concrete blocks, calcium silicate bricks, pumice stones, and concrete blocks.  </w:t>
        <w:br/>
        <w:t xml:space="preserve">The market share of the cartel is clearly below the competitively critical threshold of 10-15% at just under 10%. Large companies are also active in the relevant market.  </w:t>
        <w:br/>
        <w:t xml:space="preserve">D. Summary  </w:t>
        <w:br/>
        <w:t xml:space="preserve">The decision-making department has decided for the aforementioned reasons that there is no reason for it to take action based on the present findings. This decision is issued pursuant to § 32c GWB and does not include an exemption from the prohibition of § 1 GWB.  </w:t>
        <w:br/>
        <w:t xml:space="preserve">E. Fees  </w:t>
        <w:br/>
        <w:t xml:space="preserve">[...]  </w:t>
        <w:br/>
        <w:t xml:space="preserve">Legal remedy information  </w:t>
        <w:br/>
        <w:t xml:space="preserve">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w:t>
        <w:br/>
        <w:t xml:space="preserve">The appeal must be substantiated. The deadline for the appeal's substantiation is two months. It begins with the delivery of the contested decision and can be extended upon request by the presiding judge of the appellate court. The appeal's substantiation must contain the statement of the extent to which the decision is contested and the request for its amendment or repeal, and must specify the facts and evidence on which the appeal is based.  </w:t>
        <w:br/>
        <w:t xml:space="preserve">The appeal and the appeal's substantiation must be signed by a lawyer admitted to a German court.  </w:t>
        <w:br/>
        <w:t>Temme Zerwas Martin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