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http://www.bundeskartellamt.de/SharedDocs/Entscheidung/DE/Fallberichte/Fusionskontrolle/2017/B1-34-17.pdf;jsessionid=24F643DE91367296E48B1F03F6240979.2_cid371?__blob=publicationFile&amp;v=3</w:t>
      </w:r>
    </w:p>
    <w:p>
      <w:r>
        <w:t>Pages translated : 3</w:t>
      </w:r>
    </w:p>
    <w:p/>
    <w:p>
      <w:r>
        <w:rPr>
          <w:b/>
        </w:rPr>
        <w:t>[Pages 1–3]</w:t>
      </w:r>
    </w:p>
    <w:p>
      <w:r>
        <w:t>1</w:t>
        <w:br/>
        <w:t>Case Report 31.05.2017</w:t>
        <w:br/>
        <w:t>Withdrawal of the application for the intended acquisition of Sovitec Mondial S.A. by Potters Industries LLC</w:t>
        <w:br/>
        <w:t>Industry: Solid glass microspheres, reflective glass beads, glass blasting beads, filler glass beads</w:t>
        <w:br/>
        <w:t>File Number: B1-34/17</w:t>
        <w:br/>
        <w:t>Date of Withdrawal: 24.05.2017</w:t>
        <w:br/>
        <w:t>The application for the intended acquisition of Sovitec Mondial S.A., Fleurus (Belgium), by Potters Industries LLC, Malvern (USA), was withdrawn on 24.05.2017, after the Federal Cartel Office had communicated its competitive concerns to the parties in writing as part of the legal hearing ("warning").</w:t>
        <w:br/>
        <w:t>The intended merger concerned the production and distribution of so-called microspheres. Microspheres are flowable spherical particles (spherical bodies) available in the micrometer range, made from different raw materials. Depending on the raw material used and the type of microsphere (solid microspheres, hollow microspheres), microspheres are used in the production of construction and composite materials and medical technology products, in life sciences and biotechnology, in the manufacture of paints and coatings, cosmetics and personal care products, in the oil and gas industry, automotive construction, aerospace technology, and in other areas. The dominant raw material in the production of microspheres is glass.</w:t>
        <w:br/>
        <w:t>The activities of Potters and Sovitec overlap exclusively in the area of the production and distribution of solid glass microspheres. These are predominantly produced from recycled glass and to a lesser extent in a direct melt from new glass. They are used as reflective glass beads in road and floor marking ("Drop On" and "Premix" beads), in surface treatment ("glass blasting beads"), and as additives or fillers, e.g., in plastics as well as in paint and coating production ("filler glass beads").</w:t>
        <w:br/>
        <w:t>According to the results of the market investigations conducted as part of the main examination procedure, it was not to be assumed that there was an overall market for microspheres, but rather a distinct market for solid glass microspheres across the EEA. Ultimately, it would have been irrelevant for the decision whether this market should be further divided into distinct sub-markets for reflective glass beads, glass blasting beads, and filler glass beads based on their specific intended uses. The investigations have in any case confirmed that neither in an overall market for solid glass microspheres nor in possible sub-markets of solid glass microspheres according to their intended use are microspheres of other raw materials or hollow glass microspheres to be included. Decisive for this assessment was particularly the lack of short-term substitutability of solid glass microspheres with microspheres of other raw materials or with hollow glass microspheres, which is crucial for the objective market delineation. This applies without restriction to reflective glass beads for road markings. In the sub-segments for filler glass beads and blasting glass beads, a change of raw materials by purchasers was considered technically possible in part. However, such a change would have required a longer lead time for the development of new formulations, for the search for raw materials and suppliers, as well as for extensive product testing. Furthermore, it became apparent that, despite a technically possible substitutability of solid glass microspheres with microspheres of other raw materials or hollow glass microspheres, technically possible substitutes were not considered economically sensible for various reasons.</w:t>
        <w:br/>
        <w:t>For the delineation of a unified market for solid glass microspheres, there are also significant overlapping areas in the respective particle sizes (diameter) and their size distribution, the only limited price differences, as well as the corresponding distribution structures in the individual areas of use. The relevant objective market delineation is also supported by a pronounced production switching flexibility in the manufacture of solid glass microspheres for the various intended uses.</w:t>
        <w:br/>
        <w:t>According to the preliminary assessment of the merger effects, the project would have led to the emergence of a dominant position in the single market for solid glass microspheres for the companies involved in the merger across the EEA, and in any case to a significant hindrance of effective competition. This forecast would also have applied to the individual sub-segments based on the various intended uses of solid glass microspheres. The decisive reasons for this were particularly the following:</w:t>
        <w:br/>
        <w:t>Potters and Sovitec are the two leading suppliers of solid glass microspheres across the EEA. The merger would therefore have led to a market position far above the relevant presumption threshold for a dominant position in a single market, with a market volume of approximately 80 million euros in 2016 and a combined market share of over 50% (cf. § 18 Abs. 4 of the Act against Restraints of Competition, GWB). The remaining competitors have significantly lower market shares by considerable margins. The purchasers, who significantly pursue a strategy of so-called "multisourcing," have classified Potters and Sovitec as very close competitors, in some areas of use even as the closest competitors. Unlike some of the major remaining competitors, Potters and Sovitec are not vertically integrated into the areas of use of solid glass microspheres and thus do not compete with their purchasers. They can therefore be regarded as particularly attractive "independent" suppliers. Both companies also have several production facilities distributed across the EEA and, in contrast to their competitors, have larger free production capacities. The merger would have eliminated significant competitive pressure that is still effective in the market. Due to the limited expansion opportunities of the other competitors, purchasers would have had fewer effective alternatives available to respond to price increases, quality deterioration, or supply shortages.</w:t>
        <w:br/>
        <w:t>The market investigations have also revealed high market entry barriers, so that new entries of companies into the market would not have been expected during the forecast period. A significant actual market entry barrier is also formed by the high quality expectations of purchasers of solid glass microspheres, which evidently did not meet the products of Chinese manufacturers in the recent past. Furthermore, numerous quality criteria such as roundness, purity, etc., made it overall unlikely that a hypothetical new supplier of solid glass microspheres could have significantly contested the market shares of the merger participants during the forecast period without a longer learning curve and without substantial investment in production.</w:t>
        <w:br/>
        <w:t>Although the market volume for solid glass microspheres in Germany in 2016 was below 15 million euros for each of the individual sub-segments, in the present case, even assuming independent sub-markets for reflective glass beads, blasting glass beads, and filler glass beads, the regulation of § 36 Abs. 1 Sentence 2 No. 2 GWB ("de minimis market clause") would not have been applicable. Although in the last calendar year (2016) the relevant revenue threshold was individually undershot in the aforementioned hypothetical sub-markets, only a comprehensive competitive consideration of the markets in the sense of the so-called "bundle theory" would adequately account for the overall economic significance of the merger project according to the purpose and intent of this legal regulation. It is decisive that the respective sub-markets are very closely adjacent objective markets with comparable competitive conditions. In addition to the pronounced production switching flexibility, the comparable supplier structure as well as the distribution structures and price levels should also be taken into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