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https://www.bundeskartellamt.de/SharedDocs/Entscheidung/DE/Fallberichte/Kartellverbot/2021/B1-40-06_B1-110-09.pdf;jsessionid=D03C095FEB741A2C0A1ED9870BFF28C7.1_cid387?__blob=publicationFile&amp;v=2</w:t>
      </w:r>
    </w:p>
    <w:p>
      <w:r>
        <w:t>Pages translated : 8</w:t>
      </w:r>
    </w:p>
    <w:p/>
    <w:p>
      <w:r>
        <w:rPr>
          <w:b/>
        </w:rPr>
        <w:t>[Pages 1–3]</w:t>
      </w:r>
    </w:p>
    <w:p>
      <w:r>
        <w:t xml:space="preserve">Case Report March 5, 2021  </w:t>
        <w:br/>
        <w:t xml:space="preserve">Penalty Proceedings Against Mortar Manufacturers, Two Trade Cooperatives, and Two Building Materials Trade Associations  </w:t>
        <w:br/>
        <w:t xml:space="preserve">Industry: Building Materials  </w:t>
        <w:br/>
        <w:t xml:space="preserve">File Number: B1-40/06; B1-110/09  </w:t>
        <w:br/>
        <w:t xml:space="preserve">Dates of July 2009, March 2010, October 2011, and June 2012 (BKartA);  </w:t>
        <w:br/>
        <w:t xml:space="preserve">Decisions:  </w:t>
        <w:br/>
        <w:t xml:space="preserve">June 3, 2014, and December 16, 2014 (BGH);  </w:t>
        <w:br/>
        <w:t>October 29, 2012, December 17, 2012, August 12, 2020, and September 11, 2020 (OLG Düsseldorf)</w:t>
      </w:r>
    </w:p>
    <w:p>
      <w:r>
        <w:t>The Federal Cartel Office initiated penalty proceedings in 2006 against twelve manufacturers of dry mortar and plasters and their responsible parties, as well as against five trade associations, due to a coordinated introduction of a silo placement fee. In July 2009, the Federal Cartel Office issued penalty notices against nine mortar manufacturers. After three penalty notices became legally binding, one proceeding was discontinued, and in two cases, acquittals occurred due to legal succession, the OLG Düsseldorf has now imposed fines against the last three remaining mortar manufacturers with a legally binding judgment dated September 11, 2020, thereby nearly concluding the proceedings against the mortar manufacturers.</w:t>
      </w:r>
    </w:p>
    <w:p>
      <w:r>
        <w:t>The allegation concerning the companies at the downstream trade level, that they had participated in the manufacturers' agreement, was separated from the overall proceedings in October 2009. The violations by the trade were penalized in March 2010 and June 2012 through penalty notices against two building materials trade cooperatives. Following the withdrawal of objections against these two notices, the proceedings against the trade have been legally concluded since 2014.</w:t>
      </w:r>
    </w:p>
    <w:p>
      <w:r>
        <w:t xml:space="preserve">The following outlines the ultimately established facts (1), the proceedings against the mortar manufacturers (2), and the proceedings against the trade (3):  </w:t>
        <w:br/>
        <w:t>1</w:t>
      </w:r>
    </w:p>
    <w:p>
      <w:r>
        <w:t xml:space="preserve">1. Established Facts  </w:t>
        <w:br/>
        <w:t xml:space="preserve">At the beginning of 2006, the Federal Cartel Office received initial indications through a complaint regarding the uniform nationwide introduction of a silo placement fee by the mortar manufacturers organized in the (former) Industrial Association for Factory Mortar e.V. (IMW).  </w:t>
        <w:br/>
        <w:t>Two searches of a total of 16 premises took place. The searches were conducted on May 23, 2006, and January 23, 2007. Evidence was found in the documents seized during the first search, which reinforced the suspicion that two additional mortar manufacturers and also two building materials trade cooperatives in Germany were involved in the aforementioned agreements. The Federal Cartel Office subsequently conducted the second search. Extensive evidence was secured. According to the findings of the Federal Cartel Office and the OLG Düsseldorf, there was almost a complete coordination of behavior in the entire mortar industry after various initially inconclusive contacts between the mortar manufacturers in the years 2004 and 2005, ultimately leading to a behavioral coordination in October 2005, which aimed to impose an additional "silo placement fee" starting in 2006 for the setup of dry mortar silos beyond the actual mortar prices. The coordinated introduction of the silo placement fee at the beginning of 2006 concerned the setup of dry mortar silos throughout the entire federal territory.</w:t>
      </w:r>
    </w:p>
    <w:p>
      <w:r>
        <w:t>Dry mortar is distributed by manufacturers, among other things, as so-called bulk goods in silos through the building materials trade. The silos ordered by the craft businesses are usually delivered directly to the construction site by the mortar manufacturers. The silos were previously provided free of charge to the processors. In times of declining construction activity starting in 2003, logistics costs increased. However, the manufacturers were unable to enforce a silo placement fee for the setup and temporary provision of the silos among the buyers despite several attempts. The coordinated behavior occurred particularly at a summit meeting on October 27, 2005, which was attended by not only the mortar manufacturers but also the key representatives of the trade. At the summit meeting, the representatives of the mortar manufacturers discussed the specific circumstances of the introduction of the silo placement fee and the conditions for trade (discounts) from the perspective of their companies. Subsequently, all mortar manufacturers organized in the former Industrial Association for Factory Mortar (IMW) imposed a uniform flat fee of 100 EUR for setting up their silos with dry mortar from January 1, 2006, or March 1, 2006, until the fall of 2007. Quick-mix Deutschland GmbH was the first manufacturer to withdraw the silo placement fee at the end of 2006.</w:t>
      </w:r>
    </w:p>
    <w:p>
      <w:r>
        <w:t xml:space="preserve">Together with representatives of the two largest building materials trade cooperatives in Germany, hagebau and Eurobaustoff, as well as a representative each from the (now defunct) trade associations, the former Association of Northern German Building Material Dealers (VNB) and the former Federal Association of the German Building Materials Trade (BDB), the mortar manufacturers also participated in a coordination regarding a trade discount (or cash discount, bonus) on the silo placement fee. The coordinated trade bonus consisted of a deduction of approximately 10% for gypsum plasters and approximately 5% for dry mortar from the manufacturers' silo placement fee, resulting in net payments of 90 EUR for gypsum plasters and 95 EUR for dry mortar from the trade to the manufacturers. However, the end customers were uniformly charged 100 EUR.  </w:t>
        <w:br/>
        <w:t xml:space="preserve">2. Proceedings Against Mortar Manufacturers  </w:t>
        <w:br/>
        <w:t xml:space="preserve">In July 2009, the Federal Cartel Office imposed fines totaling 39.69 million EUR against nine manufacturers of dry mortar and plasters and their responsible parties due to a coordinated introduction of a silo placement fee. The affected companies included:  </w:t>
        <w:br/>
        <w:t xml:space="preserve">- Knauf Gips KG  </w:t>
        <w:br/>
        <w:t xml:space="preserve">- Schwenk Putztechnik GmbH &amp; Co. KG  </w:t>
        <w:br/>
        <w:t xml:space="preserve">- BaumitBayosan GmbH &amp; Co. KG  </w:t>
        <w:br/>
        <w:t xml:space="preserve">- quick-mix Deutschland GmbH  </w:t>
        <w:br/>
        <w:t xml:space="preserve">- Hasit Trockenmörtel GmbH  </w:t>
        <w:br/>
        <w:t xml:space="preserve">- Saint Gobain Weber GmbH  </w:t>
        <w:br/>
        <w:t xml:space="preserve">- Schaefer Krusemark GmbH &amp; Co. KG  </w:t>
        <w:br/>
        <w:t>3</w:t>
      </w:r>
    </w:p>
    <w:p>
      <w:r>
        <w:rPr>
          <w:b/>
        </w:rPr>
        <w:t>[Pages 4–6]</w:t>
      </w:r>
    </w:p>
    <w:p>
      <w:r>
        <w:t>in die gesetzliche Regelung aufgenommen.</w:t>
      </w:r>
    </w:p>
    <w:p>
      <w:r>
        <w:t>Die Bußgeldhöhe ist somit nicht nur an den gesetzlichen Rahmen gebunden, sondern muss auch den spezifischen Umständen des Einzelfalls Rechnung tragen. Dies bedeutet, dass die Bußgeldhöhe in einem angemessenen Verhältnis zu den wirtschaftlichen Verhältnissen des Unternehmens und der Schwere des Verstoßes stehen muss. Die Berücksichtigung der Erlöse aus der Silostellgebühr ist dabei ein zentraler Aspekt, um eine gerechte und verhältnismäßige Bußgeldfestsetzung zu gewährleisten.</w:t>
      </w:r>
    </w:p>
    <w:p>
      <w:r>
        <w:t>Insgesamt zeigt der Verlauf des Verfahrens, dass die Gerichte zunehmend Wert auf eine differenzierte Betrachtung der Umstände legen und die Bußgeldhöhe nicht nur nach dem gesetzlichen Rahmen, sondern auch nach der tatsächlichen wirtschaftlichen Situation der betroffenen Unternehmen bemessen.</w:t>
      </w:r>
    </w:p>
    <w:p>
      <w:r>
        <w:rPr>
          <w:b/>
        </w:rPr>
        <w:t>[Pages 7–8]</w:t>
      </w:r>
    </w:p>
    <w:p>
      <w:r>
        <w:t>expressly mentioned as a relevant circumstance (§ 81d Abs. 1 S. 2 Nr. 1 GWB). The ruling of the Higher Regional Court of Düsseldorf confirms that even for companies with high global corporate revenues, a placement in the lower range of the statutory fine framework may be appropriate for reasons of proportionality, and they should not regularly fear a "worsening" in the sense of a noticeable increase in the judicial fines compared to those set in the penalty notice.</w:t>
      </w:r>
    </w:p>
    <w:p>
      <w:r>
        <w:t>With regard to post-offense behavior, the Higher Regional Court of Düsseldorf also took into account for Schwenk and SGW that these companies developed and implemented extensive compliance programs after the offense (see also now § 81d Abs. 1 S. 2 Nr. 5 GWB). The Higher Regional Court of Düsseldorf simultaneously emphasized that mere sales training does not constitute an effective compliance program and therefore cannot be considered as a mitigating factor for fines.</w:t>
      </w:r>
    </w:p>
    <w:p>
      <w:r>
        <w:t>3. Regarding the punishment of the corresponding violations against involved building materials trading companies:</w:t>
        <w:br/>
        <w:t>The violations of the trade were also punished. The Federal Cartel Office initially imposed fines totaling EUR 13.36 million in March 2010 against the building materials trading cooperatives hagebau Handelsgesellschaft für Baustoffe mbH &amp; Co. KG (hagebau) and Eurobaustoff Handelsgesellschaft mbH &amp; Co. KG (Eurobaustoff), as well as the two building materials specialist trade associations, the Association of Northern German Building Material Dealers e.V. (VNB) and the Building Materials Specialist Trade Landsberg e.V., formerly the Federal Association of German Building Materials Specialist Trade (BDB-alt), and against four individuals for participating in anti-competitive agreements regarding setup fees for dry mortar silos. Objections were filed against all penalty notices. The Federal Cartel Office granted relief to the objections of VNB and the Building Materials Specialist Trade Landsberg, as the regional associations no longer existed and had merged into a Federal Association of German Building Materials Specialist Trade (BDB-neu).</w:t>
      </w:r>
    </w:p>
    <w:p>
      <w:r>
        <w:t>The imposition of a penalty notice against BDB-neu as a legal successor of VNB was excluded in light of the case law of the Federal Court of Justice in matters of HDI-Gerling, according to which an extension of the penalty liability to the total legal successor only comes into consideration if there is an almost (economic) identity between the old and the new asset binding.</w:t>
      </w:r>
    </w:p>
    <w:p>
      <w:r>
        <w:t>The penalty notices newly issued against the trading cooperatives Eurobaustoff and hagebau after the withdrawal of the original penalty notices in June 2012 are legally binding. After the scheduling of the oral hearing by the Higher Regional Court of Düsseldorf, the objections were withdrawn in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