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https://www.bundeskartellamt.de/SharedDocs/Entscheidung/DE/Entscheidungen/Kartellverbot/2015/B1-62-13.pdf;jsessionid=36C3DABE8CB869ED414063E394896867.2_cid381?__blob=publicationFile&amp;v=3</w:t>
      </w:r>
    </w:p>
    <w:p>
      <w:r>
        <w:t>Pages translated : 2</w:t>
      </w:r>
    </w:p>
    <w:p/>
    <w:p>
      <w:r>
        <w:rPr>
          <w:b/>
        </w:rPr>
        <w:t>[Pages 1–2]</w:t>
      </w:r>
    </w:p>
    <w:p>
      <w:r>
        <w:t>2</w:t>
        <w:br/>
        <w:t>exceed. It is further determined that the agreement of the aforementioned non-compete clauses also violates § 1 GWB insofar as the duration exceeds 5 years after the initial conclusion of the lease agreement.</w:t>
        <w:br/>
        <w:t>11. The affected party is obliged to cease further implementation of the non-compete agreements violating § 1 GWB as per item 1. The affected party is instructed to inform all tenants in the FOC Wertheim, with whom such non-compete clauses were agreed, within one month after this order becomes final, about the illegality of the respective clauses.</w:t>
        <w:br/>
        <w:t>12. The affected party is obliged not to agree to any new non-compete clauses violating § 1 GWB as per item 1.</w:t>
        <w:br/>
        <w:t>13. VR Franconia GmbH is, according to § 32 Abs. 1 in conjunction with §§ 1, 21 Abs. 2 GWB, obliged not to replace the non-compete clause prohibited under item II with the following agreements or measures that create economic incentives or disadvantages that may prevent tenants from renting in other FOC retail spaces competing with the FOC Wertheim:</w:t>
        <w:br/>
        <w:t>a. Exclusive agreements with tenants to offer their FOC goods exclusively in FOC of the Value Retail Group;</w:t>
        <w:br/>
        <w:t>b. Special conditions regarding rent or the promise of obtaining a lease in other FOC of the Value Retail Group with the explicit or tacit agreement that these benefits will only be granted if the prohibited non-compete clause is adhered to;</w:t>
        <w:br/>
        <w:t>c. Terminations of lease agreements in FOC Wertheim or their announcement, for which no factual, other justification - such as through a non-discriminatory application of the usual re-merchandising program at Value Retail - can be substantiated.</w:t>
        <w:br/>
        <w:t>14. The affected party's application for the suspension of the immediate enforceability of the decision is rejected.</w:t>
        <w:br/>
        <w:t>15. The fee for the proceedings, including this decision, amounts to [...] euros and is imposed on the affected party.</w:t>
      </w:r>
    </w:p>
    <w:p>
      <w:r>
        <w:t>124</w:t>
        <w:br/>
        <w:t>The radius clause is absolutely null and void under civil law, regardless of the orders of the decision-making department, so that Franconia cannot effectively rely on it regardless of the suspension of immediate enforceability. 255</w:t>
        <w:br/>
        <w:t>367. In light of the purely economic interest of Franconia in being allowed to use the radius clause unchanged in its lease agreements, the public interest in market opening outweighs this. The radius clause in FOG lease agreements is capable of hindering effective competition in the regional market for leasing retail spaces in FOC. It is therefore in the public interest to immediately prohibit the further use of the radius clauses.</w:t>
        <w:br/>
        <w:t>368. In view of all this, Franconia is not burdened with any undue hardship by the fact that the prohibition order issued against it must be followed immediately by law and that its complaints have no suspensive effect.</w:t>
        <w:br/>
        <w:t>Therefore, the application for suspension of enforcement cannot be granted.</w:t>
        <w:br/>
        <w:t>E. Costs</w:t>
        <w:br/>
        <w:t>369. The fee decision is based on § 80 Abs. 1 Sentence 2 No. 2 GWB. The amount of the fees is determined in accordance with § 80 Abs. 2 Sentence 1 GWB based on the personnel and material expenditure of the antitrust authority and the economic significance of the proceedings against the affected party. The application of these principles to the presented facts resulted in a fee of [...] euros, which is below the maximum fee of 25,000 euros (§ 80 Abs. 2 Sentence 2 No. 2 GWB). The decision-making department particularly considered the necessary expenditure due to numerous information orders, two joinder orders, several hearings, and the decision on an application for the suspension of immediate enforceability. Furthermore, the decision is of significant economic importance for the affected party due to the comprehensive and lasting practice of the radius clauses.</w:t>
        <w:br/>
        <w:t>370. The debtor of this fee is, according to § 80 Abs. 6 Sentence 1 No. 2 GWB, the affected party. The fee is due upon delivery of this decision and must be transferred within one month after delivery to the account.</w:t>
        <w:br/>
        <w:t>255 See also the decision of the LG Hamburg dated December 30, 2014, procedural file Vol. VIII, p. 363 as well as above Tz. 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