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https://www.bundeskartellamt.de/SharedDocs/Entscheidung/DE/Fallberichte/Kartellverbot/2012/B10-101-11.pdf?__blob=publicationFile&amp;v=4</w:t>
      </w:r>
    </w:p>
    <w:p>
      <w:r>
        <w:t>Pages translated : 2</w:t>
      </w:r>
    </w:p>
    <w:p/>
    <w:p>
      <w:r>
        <w:rPr>
          <w:b/>
        </w:rPr>
        <w:t>[Pages 1–2]</w:t>
      </w:r>
    </w:p>
    <w:p>
      <w:r>
        <w:t>1</w:t>
        <w:br/>
        <w:t>Case Report September 20, 2012</w:t>
        <w:br/>
        <w:t>Fines against Manufacturers of Power Transformers</w:t>
        <w:br/>
        <w:t>Industry: Power Transformers</w:t>
        <w:br/>
        <w:t>File Number: B10 - 101/11</w:t>
        <w:br/>
        <w:t>Date of Decision: September 19, 2012</w:t>
        <w:br/>
        <w:t>The Federal Cartel Office imposed fines totaling 24.3 million euros on September 19, 2012, against four manufacturers of power transformers. The four companies involved are</w:t>
        <w:br/>
        <w:t>- ABB AG, Mannheim,</w:t>
        <w:br/>
        <w:t>- Alstom Grid GmbH, Frankfurt am Main,</w:t>
        <w:br/>
        <w:t>- Siemens AG, Munich, and</w:t>
        <w:br/>
        <w:t>- Starkstrom-Gerätebau GmbH, Regensburg.</w:t>
        <w:br/>
        <w:t>The Federal Cartel Office initiated the proceedings in August 2008, based on an investigation conducted by the European Commission on February 7 and 8, 2007, in several EU member states at manufacturers of power transformers. The European Commission assigned the prosecution of the national power transformer cartel in Germany to the Federal Cartel Office, while it pursued territorial protection agreements between European and Japanese manufacturers and imposed fines totaling 67.6 million euros on seven companies on October 7, 2009 (Case COMP/39.129).</w:t>
        <w:br/>
        <w:t>The cartel pursued by the Federal Cartel Office concerned quota and bid-rigging agreements for medium (from 12.5 MVA) and large (from 100 MVA) power transformers in Germany. The cartel meetings took place from spring 1999 to March 2004, usually on the sidelines of meetings of the Power Transformers Working Group of the Central Association of the Electrical Engineering and Electronics Industry (hereinafter: ZVEI) in Frankfurt am Main. In the official part, market conditions and general price developments were discussed, among other things, based on ZVEI statistics. In the unofficial part, project-related discussions took place in small groups in the premises of the ZVEI. However, some cartel meetings also occurred on the eve of ZVEI meetings and intermittently at the level of sales managers in hotels in other German cities during joint excursions and factory visits.</w:t>
        <w:br/>
        <w:t>Initially, in 1999, there were only meetings of sales managers (sales manager level), and from autumn 2000, additional meetings of managing directors (managing director level) were held. Meetings at the managing director level occurred about once or twice a year after the initial phase. At the sales manager level, the sales representatives of the aforementioned companies met approximately every two to three months.</w:t>
        <w:br/>
        <w:t>In the agreements, the cartel members proceeded in a division of labor: while strategic decisions were made at the managing director level and market share quotas for medium and large power transformers were set, the meetings at the sales manager level focused on specific bid-rigging agreements.</w:t>
        <w:br/>
        <w:t>The Federal Cartel Office fined the companies for violating the criminal offense of bid-rigging (§ 298 StGB). All four companies submitted bonus applications to the Federal Cartel Office during the proceedings and thereby received a reduction in fines.</w:t>
        <w:br/>
        <w:t>The fines are not yet legally binding; any appeals will be decided by the Higher Regional Court of Düsseldorf. However, all companies have agreed to a consensual termination of the proceedings (so-called settlement).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