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https://www.bundeskartellamt.de/SharedDocs/Entscheidung/DE/Fallberichte/Kartellverbot/2015/B10-102-11-aktualisiert.pdf?__blob=publicationFile&amp;v=1</w:t>
      </w:r>
    </w:p>
    <w:p>
      <w:r>
        <w:t>Pages translated : 3</w:t>
      </w:r>
    </w:p>
    <w:p/>
    <w:p>
      <w:r>
        <w:rPr>
          <w:b/>
        </w:rPr>
        <w:t>[Pages 1–3]</w:t>
      </w:r>
    </w:p>
    <w:p>
      <w:r>
        <w:t>1</w:t>
        <w:br/>
        <w:t>Case Report October 27, 2015</w:t>
        <w:br/>
        <w:t>Fines Against Manufacturers of Automatic Door Systems</w:t>
        <w:br/>
        <w:t>Industry: Automatic Door Systems</w:t>
        <w:br/>
        <w:t>File Number: B10-102/11</w:t>
        <w:br/>
        <w:t>Date of Decision: July 20, 2012</w:t>
        <w:br/>
        <w:t>The Federal Cartel Office imposed fines totaling approximately €2.5 million on July 20, 2012, against eight manufacturers of automatic door systems and their association, as well as a responsible employee, due to various agreements.</w:t>
        <w:br/>
        <w:t>The door systems affected by the agreements allow for unobstructed passage in entrance, exit, and transit situations through automatic opening and closing; traditionally, sliding, swinging, and revolving doors are distinguished.</w:t>
        <w:br/>
        <w:t>The companies involved in the agreements were:</w:t>
        <w:br/>
        <w:t>- Assa Abloy Entrance Systems GmbH, Dieburg,</w:t>
        <w:br/>
        <w:t>- Blasi GmbH, Mahlberg,</w:t>
        <w:br/>
        <w:t>- Boon Edam GmbH, Düsseldorf,</w:t>
        <w:br/>
        <w:t>- Dorma Automatic GmbH + Co. KG KT Systeme, Ennepetal,</w:t>
        <w:br/>
        <w:t>- Geze GmbH, Leonberg,</w:t>
        <w:br/>
        <w:t>- GU Automatic GmbH, Rheda-Wiedenbrück, and GU Service GmbH &amp; Co. KG, Ditzingen,</w:t>
        <w:br/>
        <w:t>- Kaba Gallenschütz GmbH, Bühl,</w:t>
        <w:br/>
        <w:t>- Landert Motoren AG, Bülach/Switzerland,</w:t>
        <w:br/>
        <w:t>- record Türautomation GmbH, Wuppertal,</w:t>
        <w:br/>
        <w:t>as well as the Economic Association of Industrial and Construction Systems e. V., Hagen, (WIB).</w:t>
        <w:br/>
        <w:t>No fines were imposed against the companies GU Automatic GmbH and GU Service GmbH &amp; Co. KG, which belong to the Gretsch-Unitas Group, as they had submitted sufficient information to the Federal Cartel Office within the framework of a bonus application for the initiation of the procedure.1</w:t>
        <w:br/>
        <w:t>The agreements were partly made within the scope of association work. Already during the founding phase of the so-called Specialist Association for Door Automation, a sub-association of the WIB, in the year 2000, the aforementioned companies concluded an agreement on the mutual sale of spare parts and the discounts to be granted in this context, which was applied since 2001. At the 14th General Assembly of the Specialist Association for Door Automation in February 2006, the aforementioned companies also decided to apply uniform price ranges for certain manufacturer services (drawings, measurements, second visit, and storage costs) during a three-month trial period, which was partially implemented. The relevant General Assembly was prepared and organized by senior employees of the WIB, which is why a fine was imposed on the WIB.</w:t>
        <w:br/>
        <w:t>Furthermore, a part of the aforementioned companies reached an agreement in April 2006 on uniform hourly rates and travel flat rates for internal billing in the case of mutual commissioning as subcontractors for maintenance and repair services, which was subsequently applied.</w:t>
        <w:br/>
        <w:t>The Federal Cartel Office initiated the procedure in early 2009 following the notification from the bonus applicants that one of the aforementioned companies had proposed to the other companies another – anti-competitive – agreement, namely to "jointly establish a price scale for maintenance" of revolving doors at third-party facilities. Through the initiation of the procedure, the Federal Cartel Office was able to prevent the conclusion and implementation of this agreement.</w:t>
        <w:br/>
        <w:t xml:space="preserve">The Federal Cartel Office imposed moderate fines within the framework of the statutory regular fine range (up to one million euros) in order to take into account the nature and severity as well as, in part, the short duration of the agreements. Blasi GmbH and record Türautomation GmbH also received reductions in fines, as both companies had submitted bonus applications during the procedure that further contributed to the clarification of the facts. In addition, a consensual termination of the proceedings (so-called settlement) was achieved with all companies except for Geze GmbH. </w:t>
        <w:br/>
        <w:t>1 No. 3 of the Announcement No. 9/2006 on the Waiver and Reduction of Fines in Cartel Matters dated March 7, 2006 (Bonus Regulation).</w:t>
      </w:r>
    </w:p>
    <w:p>
      <w:r>
        <w:t>2</w:t>
        <w:br/>
        <w:t>After Geze GmbH and a personally responsible individual filed an objection – moreover, the fine notices became legally effective – the Federal Cartel Office conducted further investigations. In this context, it also made use of the instrument of information requests introduced with the 8th GWB Amendment according to § 81a GWB and was confirmed in this by the decision of the Bonn District Court dated January 23, 2014.</w:t>
        <w:br/>
        <w:t>In light of the investigations conducted in the meantime as well as the decision "Gray Cement" issued by the Federal Court of Justice in February 2013 and the subsequently amended fine guidelines of the Federal Cartel Office, the contested decision was revoked on March 25, 2014, in order to take the results of the investigations into account and to carry out a new assessment of the fines. The decision-making department discontinued the proceedings against the responsible individual of the affected Geze GmbH on October 30, 2014, particularly in view of his age and the fact that he had since retired. However, a new fine notice was issued against Geze GmbH on December 19, 2014, with a significant increase in the two previously imposed fines. The objection filed against this was withdrawn by Geze GmbH at the beginning of the oral main hearing before the Higher Regional Court of Düsseldorf on October 22, 2015, after the court had pointed out that in the event that the allegations were confirmed in court, a significant increase in one of the two fines would have to be expected.</w:t>
        <w:br/>
        <w:t>The proceedings are thus legally concluded.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