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https://www.bundeskartellamt.de/SharedDocs/Entscheidung/EN/Fallberichte/Kartellverbot/2014/B10-105-11.pdf?__blob=publicationFile&amp;v=2</w:t>
      </w:r>
    </w:p>
    <w:p>
      <w:r>
        <w:t>Pages translated : 3</w:t>
      </w:r>
    </w:p>
    <w:p/>
    <w:p>
      <w:r>
        <w:rPr>
          <w:b/>
        </w:rPr>
        <w:t>[Pages 1–3]</w:t>
      </w:r>
    </w:p>
    <w:p>
      <w:r>
        <w:t xml:space="preserve">1  </w:t>
        <w:br/>
        <w:t xml:space="preserve">Case Summary 2 April 2014  </w:t>
        <w:br/>
        <w:t xml:space="preserve">Fines imposed on breweries  </w:t>
        <w:br/>
        <w:t xml:space="preserve">Sector: Manufacture and sale of beer  </w:t>
        <w:br/>
        <w:t xml:space="preserve">Ref: B10-105/11  </w:t>
        <w:br/>
        <w:t xml:space="preserve">Date of Decision: 27.12.2013 and 31.03.2014  </w:t>
        <w:br/>
        <w:t xml:space="preserve">On 27 December 2013 and 31 March 2014 the Bundeskartellamt imposed fines totalling approx. 338 million euros on 11 companies, a trade association and 14 individuals personally involved. The companies and the association are  </w:t>
        <w:br/>
        <w:t xml:space="preserve">• Bitburger Braugruppe GmbH (Bitburger),  </w:t>
        <w:br/>
        <w:t xml:space="preserve">• Carlsberg Deutschland GmbH (Carlsberg),  </w:t>
        <w:br/>
        <w:t xml:space="preserve">• Krombacher Brauerei Bernhard Schadeberg GmbH &amp; Co. KG (Krombacher),  </w:t>
        <w:br/>
        <w:t xml:space="preserve">• Radeberger Gruppe KG (Radeberger),  </w:t>
        <w:br/>
        <w:t xml:space="preserve">• C. &amp; A. Veltins GmbH &amp; Co. KG (Veltins),  </w:t>
        <w:br/>
        <w:t xml:space="preserve">• Warsteiner Brauerei Haus Cramer KG (Warsteiner),  </w:t>
        <w:br/>
        <w:t xml:space="preserve">• Privat-Brauerei Ernst Barre GmbH (Barre),  </w:t>
        <w:br/>
        <w:t xml:space="preserve">• Privat-Brauerei Bolten GmbH &amp; Co. KG (Bolten),  </w:t>
        <w:br/>
        <w:t xml:space="preserve">• Erzquell Brauerei Bielstein Haas &amp; Co. KG (Erzquell),  </w:t>
        <w:br/>
        <w:t xml:space="preserve">• Cölner Hofbräu P. Josef Früh KG (Früh),  </w:t>
        <w:br/>
        <w:t xml:space="preserve">• Privat-Brauerei Gaffel Becker &amp; Co. OHG (Gaffel) and  </w:t>
        <w:br/>
        <w:t>• the trade association Verband Rheinisch-Westfälischer Brauereien e. V. (Brauereiverband NRW).</w:t>
      </w:r>
    </w:p>
    <w:p>
      <w:r>
        <w:t xml:space="preserve">2  </w:t>
        <w:br/>
        <w:t xml:space="preserve">No fine was imposed on Anheuser-Busch InBev Germany Holding GmbH (AB InBev), which belongs to the Belgian brewery group Anheuser-Busch InBev, as the information submitted by the company in its application for leniency had been sufficient to initiate the Bundeskartellamt's proceedings.1 According to the Bundeskartellamt's investigation results, the agreements leading to the fines involved two price increases, one for draught beer as from autumn 2006 and one for bottled and draught beer as from early 2008. Contacts for the agreement of the first price increase were established in October 2005 at the ANUGA trade fair in Cologne. Further multilateral and bilateral contacts took place between the breweries Bitburger, Krombacher, Veltins and Warsteiner until May 2006 and led to a price increase for draught beer as from autumn 2006. At a meeting of the competition committee of Brauereiverband NRW in June 2006 in which, among others, representatives of the breweries AB InBev, Veltins and Warsteiner participated, a price increase was discussed. There was general agreement that the increase should amount to a minimum of 5 to 6 euros per hectolitre for draught beer and become effective as from autumn 2006. Until the end of November 2006, prices for draught beer were raised almost throughout Germany. In March 2007, representatives of the breweries AB InBev, Bitburger, Carlsberg, Radeberger, Veltins and Warsteiner discussed the necessity for a further price increase at the Internorga trade fair in Hamburg. They broadly agreed on a price increase if Krombacher, the market leader, went along with this plan. The beer price increase was to amount to around 1.00 euro for a reference package size of 24 x 0.33l or 20 x 0.5l. After a number of bilateral contacts had taken place mainly in August 2007 with participants of the Internorga meeting, Krombacher decided at the end of that month to raise the price for bottled and draught beer as from early 2008 and announced this plan e.g. in trade journals. Apart from these activities a number of other bilateral contacts took place. A price increase was also discussed at a meeting of the competition committee of Brauereiverband NRW in early September 2007 in which representatives of the breweries AB InBev, Veltins and Warsteiner participated. The participants were informed about the decision of the German premium breweries to raise their beer prices in early 2008. This resulted in another price increase for bottled and draught beer almost throughout Germany.  </w:t>
        <w:br/>
        <w:t>1 Para 3 of the Bundeskartellamt's Notice no. 9/2006 of 7 March 2006 on the immunity from and reduction of fines in cartel cases (Leniency Programme).</w:t>
      </w:r>
    </w:p>
    <w:p>
      <w:r>
        <w:t xml:space="preserve">3  </w:t>
        <w:br/>
        <w:t xml:space="preserve">In response to an application for leniency filed by AB InBev and following its initial investigations, the Bundeskartellamt initiated proceedings in the spring of 2012. In the course of the proceedings Bitburger, Krombacher, Veltins and Warsteiner also filed applications for leniency. The Bundeskartellamt based its calculation of the fines on the assumption of a single offence because, according to the investigations, there was a basic understanding among the premium breweries that general price increases (i.e. increases not only applying to specific brands or package sizes) were to be agreed in advance and implemented at least by the large premium breweries. In Northrhine-Westphalia a similar basic understanding was reached between the participants of the competition committee of Brauereiverband NRW. Against the 14 individuals personally involved the Bundeskartellamt imposed fines in accordance with the statutory framework of fines (up to one million euros); the fines amounted to a total of approx. 3.6 million euros. All of the fines imposed on the 11 breweries were calculated in accordance with the turnover-based scale of fines in compliance with the Bundeskartellamt's Guidelines for the setting of fines2. In setting the amount of the fines the Bundeskartellamt took into account the type, gravity and duration of the infringement and also the economic situation of the companies. Brauereiverband NRW received a low level fine within the statutory framework of fines. Bitburger, Krombacher, Veltins, Warsteiner and Barre agreed to have the proceedings terminated by settlement; the Bundeskartellamt's December 2013 decisions imposing these fines have meanwhile become final. All other decisions imposing fines are not yet final and can be appealed to the Düsseldorf Higher Regional Court. This case summary gives an account of the developments up until 2 April 2014 and does not cover subsequent events (appeal, withdrawal of appeal etc.).  </w:t>
        <w:br/>
        <w:t>2 Guidelines for the setting of fines in cartel administrative offence proceedings, 25 June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