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https://www.bundeskartellamt.de/SharedDocs/Entscheidung/EN/Fallberichte/Missbrauchsaufsicht/2009/B10-16-08.pdf?__blob=publicationFile&amp;v=4</w:t>
      </w:r>
    </w:p>
    <w:p>
      <w:r>
        <w:t>Pages translated : 4</w:t>
      </w:r>
    </w:p>
    <w:p/>
    <w:p>
      <w:r>
        <w:rPr>
          <w:b/>
        </w:rPr>
        <w:t>[Pages 1–3]</w:t>
      </w:r>
    </w:p>
    <w:p>
      <w:r>
        <w:t xml:space="preserve">Published: 27. 08. 2009  </w:t>
        <w:br/>
        <w:t xml:space="preserve">Case Summary  </w:t>
        <w:br/>
        <w:t xml:space="preserve">Abuse proceedings from 2008 against gas suppliers (“2008 gas price proceedings”) – examination by the Bundeskartellamt of commitments offered by suppliers and gas price developments  </w:t>
        <w:br/>
        <w:t xml:space="preserve">Sector: Energy supply (40)  </w:t>
        <w:br/>
        <w:t>Ref: B10 - 16/08 to 56/08</w:t>
      </w:r>
    </w:p>
    <w:p>
      <w:r>
        <w:t>In 2008 the Bundeskartellamt initiated proceedings against 35 gas suppliers on the suspicion of excessive gas prices (see the Bundeskartellamt’s press releases of 1 December 2008 and 6 October 2008). Three of these proceedings1 were discontinued as no evidence of abuse was found. In one case (EWE) the company was used as a standard of comparison (in addition to the municipal utility Stadtwerke Stade) because of its price level. One case was referred to the competent Land competition authorities. 30 proceedings were discontinued on account of commitments undertaken by the companies.2</w:t>
      </w:r>
    </w:p>
    <w:p>
      <w:r>
        <w:t>These 30 companies have pledged to reimburse their customers with a total of almost €130 million in the form of credits or price reductions. The Bundeskartellamt also obtained a “no-repeated game” commitment from the companies which said that reimbursements to their customers would not be compensated for by future price measures.</w:t>
      </w:r>
    </w:p>
    <w:p>
      <w:r>
        <w:t>The reimbursements have either already been or are still to be paid out to customers. This is monitored by the Bundeskartellamt. In July/August 2009 the Bundeskartellamt also verified whether the "no-repeated game" clause had been observed for the first six months of 2009 and, on the basis of prognoses and planned price reductions, whether this is likely to be the case for the second half year. From the data submitted the Bundeskartellamt concludes that the companies have not recouped the credits paid out to their customers by way of later price rises and are not likely to do so in the future. It will take a final review of this situation at the end of 2009.</w:t>
      </w:r>
    </w:p>
    <w:p>
      <w:r>
        <w:t xml:space="preserve">1 N-Energie, Stadtwerke Essen, Gasversorgung Frankenwald  </w:t>
        <w:br/>
        <w:t>2 See list of companies concerned in the annex to this text.</w:t>
      </w:r>
    </w:p>
    <w:p>
      <w:r>
        <w:t>Published: 27. 08. 2009</w:t>
      </w:r>
    </w:p>
    <w:p>
      <w:r>
        <w:t>It is also clear from the information available that the 30 companies will completely pass on reductions in gas procurement costs to their end customers. Some of the gas suppliers are even planning to lower their prices further and beyond the reductions in procurement costs. However, a final statement to this effect can only be made at the end of 2009.</w:t>
      </w:r>
    </w:p>
    <w:p>
      <w:r>
        <w:t>In the course of monitoring compliance with the “no-repeated game” clause the Bundeskartellamt also looked into how the companies and comparative companies passed on changes in gas procurement costs to their customers in 2008. The results of this examination revealed that the companies and the comparative companies did not pass on increases in gas procurement costs of more than €230 million net to their end customers in 2008.</w:t>
      </w:r>
    </w:p>
    <w:p>
      <w:r>
        <w:t>Since increases in gas procurement costs were not passed on to end customers in 2008, the companies can, on the other hand, hardly be expected to automatically pass on reductions in gas procurement costs. The Bundeskartellamt thus abides by its investigative concept of comparing the net profits of the companies after the deduction of taxes, duties and network use fees over the period of one business year and to distinguish any excessive increases. By determining the companies’ total profits and gas procurement costs (business secrets which cannot be published) the Bundeskartellamt has a better data base for comparison purposes than the published data on gross revenue which is not volume-weighted.</w:t>
      </w:r>
    </w:p>
    <w:p>
      <w:r>
        <w:t>The Bundeskartellamt considers it necessary to deduct network use fees because these have already been examined and approved by the regulatory agencies and take account of differences in local infrastructure. A substantial increase in network use fees was recorded in 2009, which, however, not all the companies examined passed on to their customers at the expense of their profit margins. It should also be noted that many of the companies no longer have contracts which are exclusively linked to the oil price but which also contain fixed prices and other price formulas.</w:t>
      </w:r>
    </w:p>
    <w:p>
      <w:r>
        <w:t xml:space="preserve">Published: 27. 08. 2009  </w:t>
        <w:br/>
        <w:t xml:space="preserve">Annex:  </w:t>
        <w:br/>
        <w:t xml:space="preserve">List of gas suppliers which made financial commitments based on which the 2008 gas price proceedings were discontinued (in alphabetical sequence)  </w:t>
        <w:br/>
        <w:t xml:space="preserve">Bad Honnef AG  </w:t>
        <w:br/>
        <w:t xml:space="preserve">E.ON Avacon AG  </w:t>
        <w:br/>
        <w:t xml:space="preserve">E.ON Bayern AG  </w:t>
        <w:br/>
        <w:t xml:space="preserve">E.ON edis AG  </w:t>
        <w:br/>
        <w:t xml:space="preserve">E.ON Hanse AG  </w:t>
        <w:br/>
        <w:t xml:space="preserve">E.ON Mitte AG  </w:t>
        <w:br/>
        <w:t xml:space="preserve">E.ON Thüringer Energie AG  </w:t>
        <w:br/>
        <w:t xml:space="preserve">EnBW Ostwürttemberg DonauRies AG  </w:t>
        <w:br/>
        <w:t xml:space="preserve">Energie SaarLorLux AG  </w:t>
        <w:br/>
        <w:t xml:space="preserve">Energieversorgung Gera GmbH  </w:t>
        <w:br/>
        <w:t xml:space="preserve">Energieversorgung Sylt GmbH  </w:t>
        <w:br/>
        <w:t xml:space="preserve">Erdgas Schwaben GmbH  </w:t>
        <w:br/>
        <w:t xml:space="preserve">EVL Energieversorgung Limburg GmbH  </w:t>
        <w:br/>
        <w:t xml:space="preserve">Gas- und E-Werk Singen der Thüga AG  </w:t>
        <w:br/>
        <w:t xml:space="preserve">GASAG  </w:t>
        <w:br/>
        <w:t xml:space="preserve">Gasversorgung Wismar Land GmbH  </w:t>
        <w:br/>
        <w:t xml:space="preserve">Gas-Versorgungsbetriebe Cottbus GmbH  </w:t>
        <w:br/>
        <w:t xml:space="preserve">Harz Energie GmbH &amp; Co. KG  </w:t>
        <w:br/>
        <w:t xml:space="preserve">Stadtwerke Karlsruhe GmbH  </w:t>
        <w:br/>
        <w:t xml:space="preserve">LSW LandE-Stadtwerke Wolfsburg GmbH &amp; Co. KG  </w:t>
        <w:br/>
        <w:t xml:space="preserve">MITGAS Mitteldeutsche Gasversorgung GmbH  </w:t>
        <w:br/>
        <w:t xml:space="preserve">RheinEnergie AG  </w:t>
        <w:br/>
        <w:t xml:space="preserve">rhenag Rheinische Energie AG  </w:t>
        <w:br/>
        <w:t xml:space="preserve">RWE Westfalen-Weser-Ems AG  </w:t>
        <w:br/>
        <w:t>SpreeGas GmbH</w:t>
      </w:r>
    </w:p>
    <w:p>
      <w:r>
        <w:rPr>
          <w:b/>
        </w:rPr>
        <w:t>[Pages 4–4]</w:t>
      </w:r>
    </w:p>
    <w:p>
      <w:r>
        <w:t xml:space="preserve">Published: 27. 08. 2009  </w:t>
        <w:br/>
        <w:t xml:space="preserve">Stadtwerke Düsseldorf AG  </w:t>
        <w:br/>
        <w:t xml:space="preserve">Stadtwerke Homburg GmbH  </w:t>
        <w:br/>
        <w:t xml:space="preserve">Stadtwerke Rostock AG  </w:t>
        <w:br/>
        <w:t xml:space="preserve">Süwag Energie AG  </w:t>
        <w:br/>
        <w:t xml:space="preserve">swb Vertrieb Bremen GmbH  </w:t>
        <w:br/>
        <w:t>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