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https://www.bundeskartellamt.de/SharedDocs/Entscheidung/DE/Fallberichte/Kartellverbot/2024/B10-21-21.pdf?__blob=publicationFile&amp;v=7</w:t>
      </w:r>
    </w:p>
    <w:p>
      <w:r>
        <w:t>Pages translated : 3</w:t>
      </w:r>
    </w:p>
    <w:p/>
    <w:p>
      <w:r>
        <w:rPr>
          <w:b/>
        </w:rPr>
        <w:t>[Pages 1–3]</w:t>
      </w:r>
    </w:p>
    <w:p>
      <w:r>
        <w:t xml:space="preserve">Case Report March 13, 2024  </w:t>
        <w:br/>
        <w:t xml:space="preserve">Fines for Vertical Price Fixing in Protective Clothing  </w:t>
        <w:br/>
        <w:t xml:space="preserve">Industry: Protective Clothing  </w:t>
        <w:br/>
        <w:t xml:space="preserve">File Number: B10-21/21  </w:t>
        <w:br/>
        <w:t>Date of Decision: February 19, 2024</w:t>
      </w:r>
    </w:p>
    <w:p>
      <w:r>
        <w:t>The Federal Cartel Office has imposed a fine of 783,900 euros on Pfanner Schutzbekleidung GmbH, Koblach (Austria), on February 19, 2024, for vertical price fixing. Pfanner Schutzbekleidung GmbH (hereinafter: Pfanner) and a (non-fined) sister company distribute high-quality and high-priced functional and protective clothing through specialized dealers in Germany. The company is accused of having restricted the pricing of pants, jackets, shirts, and protective shoes as well as helmets (Protos Integral) including accessories (e.g., safety glasses, visors, lamp holders, hearing protection, or communication systems) in cooperation with the specialized dealers. The procedure was initiated by a cooperation request from a specialized dealer.</w:t>
      </w:r>
    </w:p>
    <w:p>
      <w:r>
        <w:t>Pfanner and the relevant, non-pursued specialized dealers agreed that the resale prices should be set by each specialized dealer in such a way that they correspond as closely as possible to the non-binding price recommendation (UVP) and, in any case, do not fall significantly below it. Dealers were generally to refrain from monetary discounts; instead, during special promotions when purchasing a high-priced Pfanner/Protos product, a small inexpensive product (e.g., a T-shirt or safety glasses) was to be given as a natural discount to maintain the price level of Pfanner/Protos items as much as possible. This applied not only to retail prices but also specifically to the online presence and online shops of the respective dealers.</w:t>
      </w:r>
    </w:p>
    <w:p>
      <w:r>
        <w:t>This agreement was practiced between early 2016 and the end of November 2021. The understanding underlying the agreement was regularly expressed already during the listing of dealers ("no price dumping allowed"). Furthermore, it often happened that dealers, when they encountered offers from other dealers that deviated significantly from the UVP, contacted the company Pfanner with a complaint about it; this frequently led to a corresponding intervention with the price deviators. However, the company Pfanner also independently conducted checks on the retail prices of the dealers (monitoring). This monitoring was systematized and centralized in the period from August 2019 to early 2020, before the situation from Pfanner's perspective relaxed again in early 2020.</w:t>
      </w:r>
    </w:p>
    <w:p>
      <w:r>
        <w:t>It also happened that dealers who were not business partners (sub-dealers) attracted attention through complaints or monitoring. In these cases, test purchases were usually conducted, as this allowed the serial number of the purchased product to be used to determine to which intermediary the relevant product had been sold and shipped. The intermediary was then usually contacted with a request to cease further sales under these conditions or to inform their sub-dealer that sales below the UVP were not permitted.</w:t>
      </w:r>
    </w:p>
    <w:p>
      <w:r>
        <w:t>In cases of repeated and frequent or very pronounced "price dumping" or also the explicit refusal to continue selling at the UVP, sanctions such as a delivery ban or delivery delays were also imposed. In a number of cases, the entire delivery relationship was terminated as a sanction.</w:t>
      </w:r>
    </w:p>
    <w:p>
      <w:r>
        <w:t>The Federal Cartel Office utilized the investigative powers newly introduced with the 10th Amendment to the GWB at the beginning of 2021, specifically § 82b GWB (information order in administrative offense proceedings), to clarify the cartel violation. Information orders allow the Federal Cartel Office to request information and evidence from companies (and, under certain conditions, also from company employees) – without a search – by means of a resolution. The addressees are obliged to truthfully answer all questions regarding facts (up to the limit of a confession) and to submit all requested documents to the Federal Cartel Office. The delivery of the first information order was carried out with the support of the Austrian Federal Competition Authority.</w:t>
      </w:r>
    </w:p>
    <w:p>
      <w:r>
        <w:t>In determining the fine, it was taken into account that the company Pfanner responded to the two information orders in a cooperative manner, promptly, comprehensively, and in a manner conducive to the proceedings, and agreed to an amicable settlement. The fine notice is legally binding. No proceedings were initiated against the relevant specialized dealers.</w:t>
      </w:r>
    </w:p>
    <w:p>
      <w:r>
        <w:t xml:space="preserve">Note  </w:t>
        <w:br/>
        <w:t>Persons who have suffered damage as a result of the violation may demand compensation from the parties involved, provided the legal requirements are met. To the extent that the decisions are already legally binding, they have a binding effect regarding the determination of the violation against the respective addressee of the notice according to § 33b GWB.</w:t>
      </w:r>
    </w:p>
    <w:p>
      <w:r>
        <w:t>Anyone who can credibly assert a claim for damages under § 33a GWB has, under further conditions, a right to the disclosure of evidence and the provision of information according to § 33g GWB.</w:t>
      </w:r>
    </w:p>
    <w:p>
      <w:r>
        <w:t>The case report reflects the status as of the date of publication and does not account for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