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https://www.bundeskartellamt.de/SharedDocs/Entscheidung/DE/Fallberichte/Kartellverbot/2020/B10-22-15.pdf;jsessionid=1993F2F81B78C9C98A7B5CC48B7C66EE.2_cid387?__blob=publicationFile&amp;v=2</w:t>
      </w:r>
    </w:p>
    <w:p>
      <w:r>
        <w:t>Pages translated : 3</w:t>
      </w:r>
    </w:p>
    <w:p/>
    <w:p>
      <w:r>
        <w:rPr>
          <w:b/>
        </w:rPr>
        <w:t>[Pages 1–3]</w:t>
      </w:r>
    </w:p>
    <w:p>
      <w:r>
        <w:t xml:space="preserve">Case Report October 21, 2020  </w:t>
        <w:br/>
        <w:t xml:space="preserve">Fine Proceedings Against Wholesalers of Plant Protection Products  </w:t>
        <w:br/>
        <w:t xml:space="preserve">Industry: Plant Protection Products  </w:t>
        <w:br/>
        <w:t xml:space="preserve">File Number: B10-22/15  </w:t>
        <w:br/>
        <w:t>Date of Decisions: January 13, 2020 to April 9, 2020</w:t>
      </w:r>
    </w:p>
    <w:p>
      <w:r>
        <w:t xml:space="preserve">The Federal Cartel Office imposed fines totaling approximately 157 million euros from January to April 2020 against eight wholesalers of plant protection products and their responsible individuals due to agreements on price lists, discounts, and some individual prices for sales to retailers and end consumers in Germany from 1998 until March 3, 2015. The affected companies are as follows (partly with individually differing periods of offense):  </w:t>
        <w:br/>
        <w:t xml:space="preserve">- AGRAVIS Raiffeisen AG, Hannover/Münster  </w:t>
        <w:br/>
        <w:t xml:space="preserve">- AGRO Agrargroßhandel GmbH &amp; Co. KG, Holdorf (from the year 2000)  </w:t>
        <w:br/>
        <w:t xml:space="preserve">- BayWa AG, Munich  </w:t>
        <w:br/>
        <w:t xml:space="preserve">- BSL Betriebsmittel Service Logistik GmbH &amp; Co. KG, Kiel (until 12.01.2015)  </w:t>
        <w:br/>
        <w:t xml:space="preserve">- Getreide AG, Hamburg (from the year 2008)  </w:t>
        <w:br/>
        <w:t xml:space="preserve">- Raiffeisen Waren GmbH, Kassel (until the end of 2011)  </w:t>
        <w:br/>
        <w:t xml:space="preserve">- Raiffeisen Waren-Zentrale Rhein-Main eG, Cologne, and  </w:t>
        <w:br/>
        <w:t>- ZG Raiffeisen eG, Karlsruhe.</w:t>
      </w:r>
    </w:p>
    <w:p>
      <w:r>
        <w:t>In the fine notices, in addition to the respective addressees, other companies are named as involved in the offense, against which the Federal Cartel Office did not issue a fine notice, but rather terminated the proceedings either due to a complete waiver of fines under the bonus regulation or for other reasons. No allegations of wrongdoing are made against these other companies with their mention in the fine notices, and there is neither a legal effect nor a binding effect against these companies under § 33b sentence 1 GWB or § 33 Abs. 4 GWB a.F.</w:t>
      </w:r>
    </w:p>
    <w:p>
      <w:r>
        <w:t>According to the findings of the fine notices, wholesalers of plant protection products agreed with each other in the spring and autumn on (discountable gross) list prices and partial discounts and partial net-net prices for plant protection products to retailers and end consumers. From 1998 to 2014, they used a uniform calculation to determine the list prices for sales to retailers and end customers, which resulted in largely uniform price lists from all wholesalers. The setting of gross list prices did not fundamentally exclude competition for discounts. However, from 1998 to 2008, agreements were also made among all wholesalers (except Getreide AG), and from 2009 to 2012 still among the cooperative wholesalers (Raiffeisen Waren GmbH only until 2011), regarding the discount margins to be granted and so-called net-net prices (sales prices to retailers without further discounting) for special focus products.</w:t>
      </w:r>
    </w:p>
    <w:p>
      <w:r>
        <w:t>The basic agreement of the wholesalers to coordinate these prices was practiced from 1998 to 2011 through a multitude of specific arrangements during various meetings with changing compositions. This included both separate meetings of the cooperative wholesalers among themselves and private wholesalers among themselves, as well as overarching meetings of all cooperative and private wholesalers operating nationwide or in a specific region. A significant role was also played by the so-called elephant round, in which the four strongest wholesalers in the market – two cooperative and two private – came together.</w:t>
      </w:r>
    </w:p>
    <w:p>
      <w:r>
        <w:t>These generally took over the preliminary coordination of the calculation of these price indications. Subsequently, further coordination took place among the wholesalers in two camps, on the one hand among the cooperatively organized wholesalers and on the other hand among the so-called private wholesalers, the non-cooperatively organized wholesalers. The result of this coordination, the calculation schemes, as well as the fully calculated (discountable gross) price lists, were then made available to all companies for each spring and autumn season. From 2012 to 2015, the exchange among wholesalers predominantly took place in writing and by telephone, until it ultimately came to a complete standstill with the search by the Federal Cartel Office on March 3, 2015 – still before the start of the spring season 2015.</w:t>
      </w:r>
    </w:p>
    <w:p>
      <w:r>
        <w:t>In application of the bonus regulation, no fine was imposed on Beiselen GmbH, which was the first to cooperate with the Federal Cartel Office. All affected wholesalers cooperated with the Federal Cartel Office during the proceedings and contributed to the clarification of the offense through their bonus applications. Initially, only six of the affected companies and the corresponding personally fined employees acknowledged the facts established by the Federal Cartel Office – as far as it concerns the respective company – as correct and agreed to a consensual termination of the proceedings. One further company rejected a settlement and initially filed an objection against the fine notice issued in January, but then reached a consensual termination of the proceedings with the Federal Cartel Office in April 2020. Of the two companies against which investigations were still ongoing in January (cf. press release of January 13, 2020), one agreed to a consensual termination of the proceedings, while the proceedings against the other company were ultimately discontinued for discretionary reasons. The consensual termination of the proceedings was taken into account in the determination of the fines. All imposed fines are now legally binding.</w:t>
      </w:r>
    </w:p>
    <w:p>
      <w:r>
        <w:t xml:space="preserve">Note  </w:t>
        <w:br/>
        <w:t xml:space="preserve">Persons who have suffered damage from the violation can claim compensation from the parties involved if the legal requirements are met. To the extent that the decisions are already legally binding, they have a binding effect against the respective addressee of the notice regarding the determination of the violation under § 33b GWB or § 33 Abs. 4 GWB a.F.  </w:t>
        <w:br/>
        <w:t xml:space="preserve">Anyone who can credibly assert a claim for damages may, under further conditions, have a claim for the return of evidence and provision of information under § 33g GWB.  </w:t>
        <w:br/>
        <w:t>The case report reflects the status as of the date of publication and does not take into account any subsequent events (court decisions, withdrawals of objections).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