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https://www.bundeskartellamt.de/SharedDocs/Entscheidung/DE/Fallberichte/Kartellverbot/2020/B10-22-17.pdf?__blob=publicationFile&amp;v=1</w:t>
      </w:r>
    </w:p>
    <w:p>
      <w:r>
        <w:t>Pages translated : 3</w:t>
      </w:r>
    </w:p>
    <w:p/>
    <w:p>
      <w:r>
        <w:rPr>
          <w:b/>
        </w:rPr>
        <w:t>[Pages 1–3]</w:t>
      </w:r>
    </w:p>
    <w:p>
      <w:r>
        <w:t xml:space="preserve">Case Report 29.05.2020  </w:t>
        <w:br/>
        <w:t xml:space="preserve">Fines Against German License Plate Manufacturers for Anti-Competitive Practices in the Sale of Vehicle License Plates  </w:t>
        <w:br/>
        <w:t xml:space="preserve">Industry: Distribution of Vehicle License Plates  </w:t>
        <w:br/>
        <w:t xml:space="preserve">File Number: B10-22/17  </w:t>
        <w:br/>
        <w:t>Date of Decision: December 13, 2019, December 17, 2019, and March 20, 2020</w:t>
      </w:r>
    </w:p>
    <w:p>
      <w:r>
        <w:t>The Federal Cartel Office has imposed fines totaling approximately eight million euros against Christoph Kroschke GmbH (hereinafter: Kroschke), EHA Autoschilder GmbH (hereinafter: EHA), ASTORGA Fritz Lange GmbH &amp; Co. Schilder und Stempelfabriken KG (hereinafter: Astorga), and Tönjes Holding AG (hereinafter: Tönjes), as well as against five individuals, for anti-competitive practices in the sale of embossed vehicle license plates to end customers in Germany. Investigations against three other companies engaged in license plate manufacturing were discontinued for discretionary reasons.</w:t>
      </w:r>
    </w:p>
    <w:p>
      <w:r>
        <w:t>The proceedings were initiated with an industry-wide search in January 2015 following a whistleblower application from a company primarily active in the upstream market for the production of blanks for vehicle license plates. The proceedings against this company and against other ancillary parties active in this upstream market have since been discontinued—also for discretionary reasons.</w:t>
      </w:r>
    </w:p>
    <w:p>
      <w:r>
        <w:t>The pursued agreements concerned behaviors in the markets for the sale of embossed vehicle license plates to end customers in Germany. Demanders in the affected markets are private end consumers who wish to register a motor vehicle. They must first apply for vehicle registration at a registration office and subsequently have the license plates manufactured by a license plate manufacturer. At the embossing locations, the vehicle license plates are embossed on special machines according to customer specifications and sold to the customer as a finished vehicle license plate—however, without a TÜV inspection sticker and official seal. The embossed license plate must then be presented again to the registration office to have the official seals affixed. The total market volume for embossed vehicle license plates comprises approximately 25 million vehicle license plates annually. The sale price to the private end customer was around 20 to 30 euros per pair of plates. The anti-competitive cooperations took place—in varying forms and with different participation—on about 40% of the more than 700 local license plate embossing markets in Germany.</w:t>
      </w:r>
    </w:p>
    <w:p>
      <w:r>
        <w:t>In the course of a practice that gradually developed and intensified since 1989 and continued until the search in January 2015, by the year 2000 at the latest, the representatives of Kroschke, EHA, Astorga, and Tönjes involved at that time had agreed to restrict competition in the local markets for the sale of embossed vehicle plates through special forms of cooperation among themselves. They developed a consensus that spanned the local license plate embossing markets and also crossed state lines to exchange competitively relevant information and to cooperate further when it seemed advantageous to the parties involved.</w:t>
      </w:r>
    </w:p>
    <w:p>
      <w:r>
        <w:t>The basis and expression of this consensus were, on the one hand, regular and frequent bilateral or multilateral discussions, during which competitively relevant information was exchanged, including information about end consumer prices for embossed vehicle plates. Furthermore, based on this consensus, numerous so-called cost center agreements were concluded. The subject of these agreements was to refrain from competition in the respective local markets and/or to communalize profits and losses in a corporate-like manner. The design of these cost center agreements varied in detail but generally resulted in only one provider from the group of companies mentioned above acting as a license plate manufacturer to the end customer.</w:t>
      </w:r>
    </w:p>
    <w:p>
      <w:r>
        <w:t>Additionally, they cooperated in fending off third-party competition by "blocking" potential retail locations (so-called "securing"), whether in their own interest or in the exclusive interest of other companies involved in the agreements operating locally. Finally, there were also agreements on prices for embossed vehicle license plates in certain local markets.</w:t>
      </w:r>
    </w:p>
    <w:p>
      <w:r>
        <w:t>All affected companies and individuals have acknowledged the facts established by the Federal Cartel Office as accurate and agreed to an amicable termination of the proceedings. This was taken into account in the determination of the fines, as was the fact that they—except for Astorga and one individual—cooperated with the Federal Cartel Office during the proceedings. One individual has filed an objection against the fine notice despite initially agreeing to an amicable termination of the proceedings, which will be decided by the Higher Regional Court of Düsseldorf. After the objection is filed, the court reviews the accusation along with the underlying factual findings. The other imposed fines have since become legally binding.</w:t>
      </w:r>
    </w:p>
    <w:p>
      <w:r>
        <w:t>Persons who have suffered damage as a result of the violation can demand compensation from the parties involved, provided the legal requirements are met (§ 33a GWB). The legally binding fine notices have a binding effect regarding the determination of the violation for their addressees according to § 33b GWB. Anyone who can credibly assert a claim for damages under § 33a GWB has, under further conditions, a right to the disclosure of evidence and provision of information according to § 33g GWB.</w:t>
      </w:r>
    </w:p>
    <w:p>
      <w:r>
        <w:t>In the fine notices, in addition to the respective addressee, other companies are partially named as co-offenders against which the Federal Cartel Office has not issued a fine notice but has either discontinued the proceedings due to a complete waiver of fines under the bonus regulation or for other reasons. Therefore, no accusation is raised against these other companies with their mention in the fine notices, and there is neither a legal effect nor a binding effect according to § 33b sentence 1 GWB concerning these companies.</w:t>
      </w:r>
    </w:p>
    <w:p>
      <w:r>
        <w:t>The case report reflects the status as of the date of publication and does not account for any subsequent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