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https://www.bundeskartellamt.de/SharedDocs/Entscheidung/DE/Fallberichte/Kartellverbot/2025/B10-23-18.pdf?__blob=publicationFile&amp;v=3</w:t>
      </w:r>
    </w:p>
    <w:p>
      <w:r>
        <w:t>Pages translated : 5</w:t>
      </w:r>
    </w:p>
    <w:p/>
    <w:p>
      <w:r>
        <w:rPr>
          <w:b/>
        </w:rPr>
        <w:t>[Pages 1–3]</w:t>
      </w:r>
    </w:p>
    <w:p>
      <w:r>
        <w:t>Case Report July 10, 2025</w:t>
        <w:br/>
        <w:t>Fines for Collusion in Tenders for Road Repairs</w:t>
        <w:br/>
        <w:t>Industry: Road Construction</w:t>
        <w:br/>
        <w:t>File Number: B10-23/18</w:t>
        <w:br/>
        <w:t>Date of Decision: December 18/20, 2024, and April 14, 2025</w:t>
        <w:br/>
        <w:t>The Federal Cartel Office imposed fines totaling approximately €10.5 million in December 2024 and April 2025 due to customer and bid-rigging agreements in the field of road repairs. The recipients of the fines for violations in two regions were the following companies:</w:t>
        <w:br/>
        <w:t>− AS Asphalt Road Rehabilitation GmbH, Langwedel, hereinafter: AS,</w:t>
        <w:br/>
        <w:t>− bausion Strassenbau-Produkte GmbH, Landsberg, hereinafter: Bausion,</w:t>
        <w:br/>
        <w:t>− BITUNOVA GmbH, Krefeld, hereinafter: Bitunova,</w:t>
        <w:br/>
        <w:t>− Gerhard Herbers GmbH, Spelle, hereinafter: Herbers,</w:t>
        <w:br/>
        <w:t>− Liesen … alles für den Bau GmbH, Lingen, hereinafter: Liesen,</w:t>
        <w:br/>
        <w:t>− Mainka GmbH Straßenunterhaltung, Rüdersdorf bei Berlin, hereinafter: Mainka, and</w:t>
        <w:br/>
        <w:t>− MOT Müritzer Oberflächentechnik GmbH, Röbel/Müritz, hereinafter: MOT.</w:t>
        <w:br/>
        <w:t>The violations affected tenders and contracts from public contracting authorities in five East German federal states, which involved simple construction methods for road repairs (surface treatment, patching of the road surface, crack rehabilitation) or the supply of bitumen emulsion and/or chippings. Road repairs can extend the service life of a road before an extensive fundamental renewal becomes necessary. The market includes a variety of rehabilitation contracts from municipalities and state road construction authorities, usually ranging from €40,000 to €200,000 each.</w:t>
        <w:br/>
        <w:t>In the region of Saxony, Thuringia, and Saxony-Anhalt, the companies AS, Bausion, Herbers, and Bitunova divided public contracting authorities among themselves from March 19, 2018, to August 27, 2019. They assigned each district in these three federal states and some state road construction authorities to one or more companies and recorded this comprehensive territorial division in lists and on a map. The municipalities were assigned to the respective provider according to the district in which they are located. Only four independent cities in Thuringia (Erfurt, Eisenach, Suhl, and Weimar) were not distributed. In upcoming tenders, the parties clarified—partly through metaphors—who would participate in the tender and above what minimum price the protective offers had to be. Two companies formed a "working group" to implement the agreement; however, after winning the contract, one of the two companies carried out the contract alone. Also, the contact between the companies was often disguised as an inquiry about a "bidding consortium."</w:t>
        <w:br/>
        <w:t>In the region of Brandenburg and Saxony-Anhalt, the companies Bausion, Liesen, Mainka, and MOT coordinated public tenders in these federal states regularly from 2016 until August 27, 2019 (for Saxony-Anhalt only in the years 2016 and 2017); the companies Liesen and MOT also coordinated tenders in Mecklenburg-Vorpommern from 2016 until August 27, 2019. To this end, the employees of the companies regularly maintained personal or telephone contact and met regularly for breakfast in a hotel near Berlin starting in 2017. During these meetings, they clarified who was interested in which tender, who should win the tender, and set minimum prices that the other bidders should adhere to for their protective offers. The providers designated certain municipalities as "regular customers" and thus claimed their contracts for themselves. There was no permanently stable assignment of customers or a fixed territorial division in Brandenburg, Saxony-Anhalt, or Mecklenburg-Vorpommern. In a few cases, the parties did communicate with each other but ultimately could not reach an agreement on the assignment of a tender or a customer.</w:t>
        <w:br/>
        <w:t>Larger tenders from a state road construction authority were divided by assigning each participating company a lot. This led to approximately six companies participating in these tenders with about six lots, and each bidder received the contract for one lot (rarely two lots).</w:t>
        <w:br/>
        <w:t>Because the contracts for road repairs were awarded by public contracting authorities through tenders, it was not sufficient to simply assign the contract to one of the companies; several other providers also had to submit protective offers for appearances' sake. To facilitate this, the designated winner frequently sent the other companies a detailed offer with a filled-out service specification by fax or email, sometimes disguised as an offer for a subcontract, or handed it over during meetings. The recipient then only had to transfer the specified prices into their offer and submit it to the designated awarding authority.</w:t>
      </w:r>
    </w:p>
    <w:p>
      <w:r>
        <w:t>Irregularities in Protective Bids</w:t>
        <w:br/>
        <w:t>In the evaluation of numerous tender documents, the following irregularities were observed in the coordinated tenders between the bid of the designated winner and the protective bids:</w:t>
        <w:br/>
        <w:t>• The protective bids often followed at a safety margin of approximately 10% from the bid of the designated winner.</w:t>
        <w:br/>
        <w:t>• The protective bids were often submitted incompletely or negligently; in one case, even a calculation error from the competitor's price specification was adopted into the protective bid. It was frequently offered in protective bids to submit missing documents in the event of being awarded the contract.</w:t>
        <w:br/>
        <w:t>• In a tender with multiple lots, the unit prices in the offer of a company were for the lot that the company wanted to win, over 15% cheaper than the protective bids for the other lots.</w:t>
        <w:br/>
        <w:t>• Sister companies with different company names were used to submit several seemingly independent offers in tenders.</w:t>
        <w:br/>
        <w:t>• If a provider accidentally or contrary to the agreement submitted the lowest bid, the parties sometimes agreed that they would not submit the required documents to fall out of the evaluation again. This allowed for control over awarding the contract to the second-lowest bidder.</w:t>
        <w:br/>
        <w:t>• The amount of the protective bids or uninterested offers varied greatly: some bidders wanted to be just slightly above the winner to remain remembered as a cost-effective company by the awarding authority. Other bidders submitted significantly inflated (apparently not serious) offers to obtain the tender results for market exploration.</w:t>
        <w:br/>
        <w:t>• If the awarding authority possibly knew that lower prices were being offered in the same area for other tenders, the cartel members ensured that the winner did not offer an excessively high price.</w:t>
        <w:br/>
        <w:t>The Federal Cartel Office has published an informational brochure on its website with a checklist of typical indicators to help awarding authorities recognize signs of possible collusion among companies in the context of tendering procedures.</w:t>
      </w:r>
    </w:p>
    <w:p>
      <w:r>
        <w:t>Parallel Proceedings of the Düsseldorf Public Prosecutor's Office</w:t>
        <w:br/>
        <w:t>The proceedings were triggered by a tip received by the Federal Cartel Office and a ministry of the state of North Rhine-Westphalia, which the Düsseldorf Public Prosecutor's Office and the NRW State Criminal Police Office followed up on, leading to investigations in 2018 due to the suspicion of offenses under § 298 StGB.</w:t>
      </w:r>
    </w:p>
    <w:p>
      <w:r>
        <w:rPr>
          <w:b/>
        </w:rPr>
        <w:t>[Pages 4–5]</w:t>
      </w:r>
    </w:p>
    <w:p>
      <w:r>
        <w:t>supervising two managing directors. On August 27, 2019, nationwide joint searches were conducted by the Düsseldorf Public Prosecutor's Office, the NRW State Criminal Police Office, and the Federal Cartel Office. The proceedings of the Federal Cartel Office were directed only against companies. The prosecution of bid-rigging agreements committed by employees is the responsibility of the Public Prosecutor's Office; the Düsseldorf Public Prosecutor's Office filed charges against 13 company employees at the Duisburg Regional Court in December 2024.</w:t>
      </w:r>
    </w:p>
    <w:p>
      <w:r>
        <w:t>Cartel violation and individual offenses</w:t>
      </w:r>
    </w:p>
    <w:p>
      <w:r>
        <w:t>The fines imposed by the Federal Cartel Office against the companies were based, on the one hand, on a violation of the cartel prohibition in § 1 GWB, which relates to a single and continuous infringement (basic agreement). Furthermore, the Federal Cartel Office has also imposed fines against the companies under § 82 GWB, § 30 OWiG for offenses because company employees submitted previously coordinated bids in individual tenders (bid-rigging agreements under § 298 StGB).</w:t>
      </w:r>
    </w:p>
    <w:p>
      <w:r>
        <w:t>In addition to the ongoing cartel violation, individual bid submissions in specific tenders were penalized as offenses due to the plurality of acts. This concerned certain tenders from the following municipalities, districts, and road construction authorities, with varying participation from the aforementioned companies: In Saxony, the city of Radebeul, the districts of Erzgebirgskreis, Görlitz, and Leipzig; in Thuringia, the districts of Vogtlandkreis and Saale-Holzlandkreis and the then road construction authorities of North Thuringia and East Thuringia; in Saxony-Anhalt, the city of Dessau-Roßlau, the district of Stendal, and the state road construction authority of Saxony-Anhalt; in Brandenburg, the state enterprise for road construction Brandenburg, regional areas West and East; in Mecklenburg-Vorpommern, the road construction authorities of Schwerin, Neustrelitz, and Stralsund, as well as the districts of Rostock and Ludwigslust-Parchim.</w:t>
      </w:r>
    </w:p>
    <w:p>
      <w:r>
        <w:t>Conclusion of the proceedings</w:t>
      </w:r>
    </w:p>
    <w:p>
      <w:r>
        <w:t>The proceedings against all fined companies were concluded through amicable settlement (so-called settlement). In determining the fine against Bitunova, it was taken into account that Bitunova cooperated with the Federal Cartel Office under the leniency program. All fine notices are legally binding.</w:t>
      </w:r>
    </w:p>
    <w:p>
      <w:r>
        <w:t>Notice</w:t>
      </w:r>
    </w:p>
    <w:p>
      <w:r>
        <w:t>Persons who have suffered damage as a result of the violation may demand compensation from the parties involved, provided the legal requirements are met (§ 33a GWB). The legally binding fine notice has a binding effect regarding the determination of the violation against its addressee according to § 33b GWB. Anyone who can credibly assert a claim for damages under § 33a GWB has, under further conditions, a right to the disclosure of evidence and provision of information according to § 33g GWB. The case report reflects the status as of the day of its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