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German</w:t>
      </w:r>
    </w:p>
    <w:p>
      <w:r>
        <w:t>Source URL       : https://www.bundeskartellamt.de/SharedDocs/Entscheidung/DE/Fallberichte/Kartellverbot/2024/B10-23-21.pdf?__blob=publicationFile&amp;v=3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Case Report March 7, 2025</w:t>
        <w:br/>
        <w:t>Federal Cartel Office Imposes Fine for Collusion in the Renovation of the Zoo Bridge in Cologne</w:t>
        <w:br/>
        <w:t>Sector: Civil Engineering Services</w:t>
        <w:br/>
        <w:t>File Number: B10-23/21</w:t>
        <w:br/>
        <w:t>Date of Decision: October 10, 2024</w:t>
        <w:br/>
        <w:t xml:space="preserve">The Federal Cartel Office has imposed a fine of 2.79 million euros on Strabag AG, Cologne, for illegal bid rigging. The collusion occurred in connection with the awarding of a construction contract for the renovation of the Zoo Bridge in Cologne at the beginning of 2017. After it became known in the industry that only a few bidders would apply for this tender, employees of Strabag asked employees of Kemna Bau Andreae GmbH &amp; Co. KG to submit a protective bid. To ensure the awarding of the contract to a bidding consortium involving Strabag (the so-called "Arge Zoobrücke"), the parties on the Kemna side communicated the total price of their protective bid to Strabag by phone. In return, Kemna was to receive a compensation payment. According to the agreement, the contract was awarded to the offer of the "Arge Zoobrücke." A sum of money was paid to Kemna as compensation for submitting the protective bid. </w:t>
        <w:br/>
        <w:t xml:space="preserve">The proceedings against Kemna were discontinued under the provisions of the leniency program, as the evidence provided by Kemna was necessary to establish the offense. </w:t>
        <w:br/>
        <w:t xml:space="preserve">In determining the fine against Strabag, it was taken into account that the proceedings could be concluded quickly through a consensual settlement. The fine notice is legally binding. </w:t>
        <w:br/>
        <w:t xml:space="preserve">Note: </w:t>
        <w:br/>
        <w:t>Persons who have suffered damage as a result of the violation may claim compensation from the parties involved, provided the legal requirements are met (§ 33a GWB). The legally binding fine notice has a binding effect regarding the determination of the violation against its addressee according to § 33b GWB. Anyone who can credibly assert a claim for damages under § 33a GWB has, under further conditions, a right to the disclosure of evidence and the provision of information according to § 33g GWB. The case report reflects the status as of the date of its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