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https://www.bundeskartellamt.de/SharedDocs/Entscheidung/DE/Fallberichte/Kartellverbot/2025/B10-23-23.pdf?__blob=publicationFile&amp;v=2</w:t>
      </w:r>
    </w:p>
    <w:p>
      <w:r>
        <w:t>Pages translated : 3</w:t>
      </w:r>
    </w:p>
    <w:p/>
    <w:p>
      <w:r>
        <w:rPr>
          <w:b/>
        </w:rPr>
        <w:t>[Pages 1–3]</w:t>
      </w:r>
    </w:p>
    <w:p>
      <w:r>
        <w:t xml:space="preserve">Case Report June 12, 2025  </w:t>
        <w:br/>
        <w:t xml:space="preserve">Federal Cartel Office imposes fines on Sennheiser electronic SE &amp; Co. KG and Sonova Consumer Hearing Sales Germany GmbH for vertical price maintenance in the distribution of "premium headphones"  </w:t>
        <w:br/>
        <w:t xml:space="preserve">Industry: Manufacturing and distribution of consumer electronics  </w:t>
        <w:br/>
        <w:t xml:space="preserve">File number: B10-23/23  </w:t>
        <w:br/>
        <w:t>Date of decision: April 16, 2025</w:t>
      </w:r>
    </w:p>
    <w:p>
      <w:r>
        <w:t>The Federal Cartel Office has imposed fines totaling nearly six million euros on Sennheiser electronic SE &amp; Co. KG (hereinafter: "Sennheiser") based in Wedemark, Sonova Consumer Hearing Sales Germany GmbH based in Wedemark, and three responsible employees for vertical price maintenance. The proceedings were initiated in connection with a request for assistance from the Austrian Federal Competition Authority (BWB) and a search action in September 2022.</w:t>
      </w:r>
    </w:p>
    <w:p>
      <w:r>
        <w:t>Under the brand "Sennheiser," high-quality products in the field of consumer electronics are produced and distributed. The focus is on the distribution of audio products, particularly headphones. Sonova AG, based in Stäfa (Switzerland), acquired this business area along with employees and brand usage rights from Sennheiser on March 1, 2022. The acquired business area, referred to as "Consumer Hearing" at Sonova AG, has since been managed by Sonova Consumer Hearing Sales Germany GmbH (hereinafter: "Sonova") and Sonova Consumer Hearing GmbH, both of which are wholly-owned subsidiaries of Sonova AG. Through the divestiture, Sennheiser has completely withdrawn from the "Consumer Electronics" business area.</w:t>
      </w:r>
    </w:p>
    <w:p>
      <w:r>
        <w:t>The distribution of products in the "Consumer Electronics" business area was carried out through a selective distribution system. Accordingly, dealers had to meet certain qualitative selection criteria in order to be allowed to distribute products from Sennheiser. To ensure compliance, since 2015, monitoring of the authorized dealers has been conducted using software developed for Sennheiser, which allows the observation of online offers for predefined articles through the use of so-called "crawlers." Employees of Sennheiser have used this monitoring at least since October 2015, not only for the usual negotiations over purchase prices with the German authorized dealers they contacted but also to implement price maintenance measures for the sale prices of "premium headphones" to end consumers. Low-priced headphones (under 50 euros) were not affected by the price maintenance, nor were "high-end headphones" (over 1,500 euros) or soundbars. The arrangements primarily concerned an increase in end consumer prices. These were continuously and systematically monitored, using not only the aforementioned software but also price comparison services on the internet. The sales representatives of Sennheiser informed each other (mostly) via email about (too) low prices from authorized dealers and sent each other links to the price comparison sites or corresponding screenshots. Internally, there were also literal references to "lowest prices" or "pig prices." This price monitoring also involved executives from Sennheiser.</w:t>
      </w:r>
    </w:p>
    <w:p>
      <w:r>
        <w:t>Internally, a "code language" was used for the price maintenance measures, which referred to compliance with the selective distribution criteria. This internal language regulation stemmed from a statement by lawyers during antitrust compliance training in 2015. They had pointed out that requests to the trade to adjust end consumer prices were impermissible. However, indications that dealers must meet the contractual selection criteria were permissible. Thus, the internal language regulation served the purpose of giving the antitrust-violating price maintenance measures a legitimate appearance and concealing them. In 2017, sales employees of Sennheiser organized an internal "workshop," where a specific course of action for the price maintenance measures carried out since 2015 was established.</w:t>
      </w:r>
    </w:p>
    <w:p>
      <w:r>
        <w:t>The price maintenance measures were carried out with varying intensity, particularly when end consumer prices were significantly below the recommended retail price (RRP) or following corresponding complaints from dealers about unprofitable end consumer prices. In principle, Sennheiser's sales employees avoided explicit requests to the authorized dealers to adjust end consumer prices during contact and instead used formulations where they assumed that the dealer employees would understand them as corresponding requests for price adjustments and would implement them. The dealers addressed in this way usually agreed to an increase in the contested end consumer prices or adjusted their end consumer prices upwards after interventions from Sennheiser.</w:t>
      </w:r>
    </w:p>
    <w:p>
      <w:r>
        <w:t>After the transfer of the business area to Sonova AG, these price maintenance measures continued with lower intensity and frequency until the search by the Federal Cartel Office in September 2022.</w:t>
      </w:r>
    </w:p>
    <w:p>
      <w:r>
        <w:t>In determining the fines, it was taken into account that Sennheiser and Sonova cooperated extensively with the Federal Cartel Office and that the proceedings could be concluded through a consensual settlement. The fine notices are legally binding. No fine notices have been issued against the involved dealers for discretionary reasons, as the focus of the price maintenance measures was on Sennheiser or Sonova.</w:t>
      </w:r>
    </w:p>
    <w:p>
      <w:r>
        <w:t xml:space="preserve">Note  </w:t>
        <w:br/>
        <w:t xml:space="preserve">Persons who have suffered damage as a result of the violation can claim compensation from the parties involved if the legal requirements are met (§ 33a GWB). The legally binding fine notice has a binding effect regarding the determination of the violation against its addressee according to § 33b GWB.  </w:t>
        <w:br/>
        <w:t xml:space="preserve">Anyone who can credibly assert a claim for damages under § 33a GWB has, under further conditions, a right to the disclosure of evidence and the provision of information according to § 33g GWB.  </w:t>
        <w:br/>
        <w:t>The case report reflects the status as of the date of its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